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  <w:jc w:val="center"/>
      </w:pPr>
      <w:r>
        <w:rPr>
          <w:b/>
          <w:bCs/>
          <w:color w:val="1F4E79"/>
          <w:sz w:val="34"/>
          <w:szCs w:val="34"/>
        </w:rPr>
        <w:t xml:space="preserve">ПРИЛОЖЕНИЕ № 1 К ТЕХНИЧЕСКОМУ ЗАДАНИЮ</w:t>
      </w:r>
    </w:p>
    <w:p>
      <w:pPr>
        <w:spacing w:after="100"/>
        <w:jc w:val="center"/>
      </w:pPr>
      <w:r>
        <w:rPr>
          <w:sz w:val="24"/>
          <w:szCs w:val="24"/>
        </w:rPr>
        <w:t xml:space="preserve">Платформа EventHub UZ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Категоризация товаров и услуг, стандарт карточки поставщика</w:t>
      </w:r>
    </w:p>
    <w:p>
      <w:pPr>
        <w:spacing w:after="700"/>
        <w:jc w:val="center"/>
      </w:pPr>
      <w:r>
        <w:rPr>
          <w:b/>
          <w:bCs/>
          <w:sz w:val="26"/>
          <w:szCs w:val="26"/>
        </w:rPr>
        <w:t xml:space="preserve">и регламент регистрации поставщиков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Версия документа: 1.0</w:t>
      </w:r>
    </w:p>
    <w:p>
      <w:pPr>
        <w:jc w:val="center"/>
      </w:pPr>
      <w:r>
        <w:rPr>
          <w:color w:val="555555"/>
          <w:sz w:val="20"/>
          <w:szCs w:val="20"/>
        </w:rPr>
        <w:t xml:space="preserve">Дата: сентябрь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Принцип категоризации</w:t>
      </w:r>
    </w:p>
    <w:p>
      <w:pPr>
        <w:spacing w:after="160"/>
      </w:pPr>
      <w:r>
        <w:t xml:space="preserve">Категоризация «как на обычном маркетплейсе» (плоский список товарных категорий) не подходит для ивент-индустрии: клиент планирует мероприятие как набор функциональных потребностей («нужна площадка», «нужна еда», «нужны артисты»), а не ищет «товар» в привычном смысле. Поэтому каталог строится на двух независимых осях.</w:t>
      </w:r>
    </w:p>
    <w:p>
      <w:pPr>
        <w:pStyle w:val="Heading3"/>
        <w:spacing w:after="100" w:before="220"/>
      </w:pPr>
      <w:r>
        <w:t xml:space="preserve">Ось 1 — Функциональная категория (что именно нужно)</w:t>
      </w:r>
    </w:p>
    <w:p>
      <w:pPr>
        <w:spacing w:after="160"/>
      </w:pPr>
      <w:r>
        <w:t xml:space="preserve">Основная структура каталога: 11 категорий верхнего уровня, соответствующих функциональным блокам организации любого мероприятия — от площадки до сувениров. Это и есть основная навигация (разделы 2).</w:t>
      </w:r>
    </w:p>
    <w:p>
      <w:pPr>
        <w:pStyle w:val="Heading3"/>
        <w:spacing w:after="100" w:before="220"/>
      </w:pPr>
      <w:r>
        <w:t xml:space="preserve">Ось 2 — Тип мероприятия (для кого и зачем)</w:t>
      </w:r>
    </w:p>
    <w:p>
      <w:pPr>
        <w:spacing w:after="160"/>
      </w:pPr>
      <w:r>
        <w:t xml:space="preserve">Сквозной фильтр/тег, который клиент выбирает в начале поиска или при создании мероприятия (свадьба, юбилей, корпоратив, тимбилдинг и т.д.). Он не создаёт отдельных веток каталога, а сужает и переупорядочивает результаты внутри функциональных категорий — например, при выборе «Корпоратив» в категории «Площадки» выше поднимаются конференц-залы, а не банкетные залы с восточным декором.</w:t>
      </w:r>
    </w:p>
    <w:p>
      <w:pPr>
        <w:spacing w:after="160"/>
      </w:pPr>
      <w:r>
        <w:t xml:space="preserve">Такой подход даёт то, что вы просили: единый стандарт карточек внутри каждой функциональной категории (все банкетные залы выглядят и заполняются одинаково) и одновременно интуитивность для трёх разных сегментов клиентов (частные лица, HoReCa, корпорации), которые получают релевантную нарезку каталога под свою задачу без дублирования структуры.</w:t>
      </w:r>
    </w:p>
    <w:p>
      <w:pPr>
        <w:pStyle w:val="Heading1"/>
        <w:spacing w:after="200" w:before="400"/>
      </w:pPr>
      <w:r>
        <w:t xml:space="preserve">2. Категории верхнего уровня</w:t>
      </w:r>
    </w:p>
    <w:p>
      <w:pPr>
        <w:spacing w:after="160"/>
      </w:pPr>
      <w:r>
        <w:t xml:space="preserve">Охват — 11 категорий, которые закрывают порядка 80–90% спроса по всем трём сегментам клиентов. Остальные, более редкие категории добавляются по мере роста платформы через тот же шаблон (раздел 5.2), без изменения архитектуры каталога.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  <w:gridCol w:w="138"/>
      </w:tblGrid>
      <w:tr>
        <w:tc>
          <w:tcPr>
            <w:tcW w:type="dxa" w:w="26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69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Подкатегории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1. Площадки и локации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Банкетные залы / рестораны · открытые площадки (сады, террасы) · конференц-залы и переговорные · необычные локации (лофты, крыши) · загородные комплексы и базы отдыха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2. Кейтеринг и напитки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Полный выездной кейтеринг · фуршет / кофе-брейк · бар-сервис и коктейль-бар · национальный/восточный стол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3. Ведущие и шоу-программа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Ведущие / тамада · аниматоры · шоу-программы (фаер, световые шоу, фокусники) · модераторы конференций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4. Музыка и артисты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Живые оркестры · музыкальные группы / кавер-бэнды · певцы и солисты · DJ · танцевальные и фольклорные коллективы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5. Декор и оформление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Флористика и декор зала · оформление шарами · световое/мультимедийное оформление · фотозоны и инсталляции · сценография для конференций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6. Кондитеры и торты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Свадебные и праздничные торты · кэнди-бары и десертные столы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7. Фото и видео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Фотографы · видеографы · аэросъёмка (дрон) · фотобудки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8. Полиграфия, сувениры и подарки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Приглашения и рассадочные карточки · брендированная продукция · подарки и сувениры гостям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9. Техническое оснащение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Звук и свет · сцена, подиум, шатры · генераторы и кондиционирование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10. Транспорт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Кортеж и декорированные авто · трансфер гостей / автобусы</w:t>
            </w:r>
          </w:p>
        </w:tc>
      </w:tr>
      <w:tr>
        <w:tc>
          <w:tcPr>
            <w:tcW w:type="dxa" w:w="26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11. Организация «под ключ»</w:t>
            </w:r>
          </w:p>
        </w:tc>
        <w:tc>
          <w:tcPr>
            <w:tcW w:type="dxa" w:w="6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Ивент-агентства полного цикла · свадебные координаторы · провайдеры тимбилдинг-программ</w:t>
            </w:r>
          </w:p>
        </w:tc>
      </w:tr>
    </w:tbl>
    <w:p>
      <w:pPr>
        <w:pStyle w:val="Heading2"/>
        <w:spacing w:after="150" w:before="300"/>
      </w:pPr>
      <w:r>
        <w:t xml:space="preserve">2.1. Теги «Тип мероприятия» (фильтр, ось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Свадьба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Никах / религиозные обряды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Юбилей / День рождения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Детский праздник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Корпоративное мероприятие / конференция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Тимбилдинг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Внутренний ивент HoReCa (тематический вечер, банкет ресторана)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Другое семейное торжество</w:t>
      </w:r>
    </w:p>
    <w:p>
      <w:pPr>
        <w:spacing w:after="160"/>
      </w:pPr>
      <w:r>
        <w:rPr>
          <w:i/>
          <w:iCs/>
          <w:color w:val="555555"/>
        </w:rPr>
        <w:t xml:space="preserve">Поставщик при регистрации отмечает, под какие типы мероприятий подходит его услуга (мультивыбор, минимум 1) — это и формирует фильтрацию для клиента.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Матрица актуальности категорий по сегментам клиентов</w:t>
      </w:r>
    </w:p>
    <w:p>
      <w:pPr>
        <w:spacing w:after="160"/>
      </w:pPr>
      <w:r>
        <w:t xml:space="preserve">Матрица определяет, какие категории показываются в приоритете при выборе клиентом своего сценария в мастере создания мероприятия (см. ТЗ, п. 4.2.3), а также какие категорийные атрибуты (раздел 5.3) обязательны именно для этого сегмента.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46"/>
        <w:gridCol w:w="2246"/>
        <w:gridCol w:w="2246"/>
      </w:tblGrid>
      <w:tr>
        <w:tc>
          <w:tcPr>
            <w:tcW w:type="dxa" w:w="29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Категория</w:t>
            </w:r>
          </w:p>
        </w:tc>
        <w:tc>
          <w:tcPr>
            <w:tcW w:type="dxa" w:w="2246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Частные торжества</w:t>
            </w:r>
          </w:p>
        </w:tc>
        <w:tc>
          <w:tcPr>
            <w:tcW w:type="dxa" w:w="2246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HoReCa</w:t>
            </w:r>
          </w:p>
        </w:tc>
        <w:tc>
          <w:tcPr>
            <w:tcW w:type="dxa" w:w="2246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Корпорации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Площадки и локации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Кейтеринг и напитки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Ведущие и шоу-программа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Музыка и артисты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Декор и оформление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Кондитеры и торты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приоритетная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 и видео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Полиграфия и подарки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приоритетная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Техническое оснащение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Транспорт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приоритетная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</w:tr>
      <w:tr>
        <w:tc>
          <w:tcPr>
            <w:tcW w:type="dxa" w:w="2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Организация «под ключ»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Второстепенная</w:t>
            </w:r>
          </w:p>
        </w:tc>
        <w:tc>
          <w:tcPr>
            <w:tcW w:type="dxa" w:w="2246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Ключевая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4. Стандарт карточки поставщика</w:t>
      </w:r>
    </w:p>
    <w:p>
      <w:pPr>
        <w:spacing w:after="160"/>
      </w:pPr>
      <w:r>
        <w:t xml:space="preserve">Карточка состоит из двух слоёв: универсальный блок (одинаков для всех категорий, разделы 4.1) и категорийный блок атрибутов (свой набор полей на каждую категорию, но единый для всех карточек внутри неё, разделы 4.3). Клиент, открывая любые две карточки банкетных залов, видит одинаковую структуру и может сравнивать их «поле в поле» — это и есть требование «единого стандарта».</w:t>
      </w:r>
    </w:p>
    <w:p>
      <w:pPr>
        <w:pStyle w:val="Heading2"/>
        <w:spacing w:after="150" w:before="300"/>
      </w:pPr>
      <w:r>
        <w:t xml:space="preserve">4.1. Универсальные поля (для всех категорий без исключения)</w:t>
      </w:r>
    </w:p>
    <w:p>
      <w:pPr>
        <w:pStyle w:val="Heading3"/>
        <w:spacing w:after="100" w:before="220"/>
      </w:pPr>
      <w:r>
        <w:t xml:space="preserve">Блок «Идентификация»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Логотип / аватар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Квадратное изображение, мин. 500×500 px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Обложка (главное фото карточки)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Показывается в результатах поиска и списках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Название компании / ФИО специалиста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 80 символов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Основная категория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Выбор из списка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Одна из 11 категорий (раздел 2)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Дополнительные категории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 3, каждая — со своим набором атрибутов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Теги «Тип мероприятия»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 (мин. 1)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Из списка раздела 2.1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Значок верификации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Системное поле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«На проверке» / «Проверено» / «Топ поставщик» — заполняется платформой, не редактируется поставщиком</w:t>
            </w:r>
          </w:p>
        </w:tc>
      </w:tr>
    </w:tbl>
    <w:p>
      <w:pPr>
        <w:pStyle w:val="Heading3"/>
        <w:spacing w:after="100" w:before="220"/>
      </w:pPr>
      <w:r>
        <w:t xml:space="preserve">Блок «Локация и зона обслуживания»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Город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Выбор из списка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Адрес / район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 + геометка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 для площадок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Для стационарных объектов (залы, рестораны)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Зона выезда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 районов или радиус, км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 для выездных услуг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Для декораторов, кейтеринга, артистов и т.п.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Доплата за выезд за пределы зоны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 / формула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Отображается клиенту при расчёте</w:t>
            </w:r>
          </w:p>
        </w:tc>
      </w:tr>
    </w:tbl>
    <w:p>
      <w:pPr>
        <w:pStyle w:val="Heading3"/>
        <w:spacing w:after="100" w:before="220"/>
      </w:pPr>
      <w:r>
        <w:t xml:space="preserve">Блок «Описание»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Короткое описание (слоган)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 120 символов, показывается в карточке списка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Полное описание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Текст (форматированный)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 1500 символов</w:t>
            </w:r>
          </w:p>
        </w:tc>
      </w:tr>
    </w:tbl>
    <w:p>
      <w:pPr>
        <w:pStyle w:val="Heading3"/>
        <w:spacing w:after="100" w:before="220"/>
      </w:pPr>
      <w:r>
        <w:t xml:space="preserve">Блок «Цены и пакеты»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Стартовая цена «от»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Число, сум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Используется для сортировки и фильтра по бюджету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Цена по запросу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Для эксклюзивных/индивидуальных поставщиков вместо фиксированной цены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Пакеты услуг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Структурированный список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 (мин. 1)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Название пакета, что входит, цена, объём (часы/гостей/шт.)</w:t>
            </w:r>
          </w:p>
        </w:tc>
      </w:tr>
    </w:tbl>
    <w:p>
      <w:pPr>
        <w:pStyle w:val="Heading3"/>
        <w:spacing w:after="100" w:before="220"/>
      </w:pPr>
      <w:r>
        <w:t xml:space="preserve">Блок «Медиа»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Фотогалерея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 (галерея)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Минимум по категории — см. раздел 4.4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Видео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Видео (ссылка/файл)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 категории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Обязательность и минимум — см. раздел 4.4</w:t>
            </w:r>
          </w:p>
        </w:tc>
      </w:tr>
    </w:tbl>
    <w:p>
      <w:pPr>
        <w:pStyle w:val="Heading3"/>
        <w:spacing w:after="100" w:before="220"/>
      </w:pPr>
      <w:r>
        <w:t xml:space="preserve">Блок «Доступность»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Календарь занятости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Календарь (свободно/занято/под вопросом)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Обновляется автоматически при подтверждённой брони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Стандартное время ответа на заявку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Системное поле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Рассчитывается платформой по истории</w:t>
            </w:r>
          </w:p>
        </w:tc>
      </w:tr>
    </w:tbl>
    <w:p>
      <w:pPr>
        <w:pStyle w:val="Heading3"/>
        <w:spacing w:after="100" w:before="220"/>
      </w:pPr>
      <w:r>
        <w:t xml:space="preserve">Блок «Доверие»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Рейтинг и отзывы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Системное поле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Только по завершённым сделкам (ТЗ, п. 4.1)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Количество заказов через платформу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Системное поле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Документы / лицензии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Файл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 категории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Обязательно для кейтеринга (сан. заключение), опционально для прочих</w:t>
            </w:r>
          </w:p>
        </w:tc>
      </w:tr>
    </w:tbl>
    <w:p>
      <w:pPr>
        <w:pStyle w:val="Heading3"/>
        <w:spacing w:after="100" w:before="220"/>
      </w:pPr>
      <w:r>
        <w:t xml:space="preserve">Блок «Контакты и действия»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Кнопка «Забронировать»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Открывает флоу бронирования (ТЗ, п. 4.2.2)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Кнопка «Написать»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Открывает встроенный чат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Прямой номер телефона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Скрыт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Открывается только после подтверждённой брони или начатого чата — мера защиты платформы от ухода сделок в обход комиссии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4.2. Принцип категорийных атрибутов</w:t>
      </w:r>
    </w:p>
    <w:p>
      <w:pPr>
        <w:spacing w:after="160"/>
      </w:pPr>
      <w:r>
        <w:t xml:space="preserve">Категорийный блок — это дополнительный набор из 6–12 полей, специфичных для конкретной категории, который встраивается в карточку после универсального блока. Правило формирования набора одинаково для любой категории: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Выделить 2–3 параметра, без которых клиент физически не может принять решение о брони (для зала — вместимость, для артиста — видео выступления).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Добавить параметры, которые чаще всего задают в переписке/по телефону при прямом поиске (это и есть данные, которые платформа должна сделать видимыми сразу, устраняя необходимость звонков).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Исключить любые поля, не влияющие на решение — ради принципа «всё необходимое и ничего лишнего».</w:t>
      </w:r>
    </w:p>
    <w:p>
      <w:pPr>
        <w:spacing w:after="160"/>
      </w:pPr>
      <w:r>
        <w:t xml:space="preserve">Ниже — пять готовых примеров по этому шаблону; для остальных категорий (раздел 2) набор атрибутов формируется по той же логике на этапе детального проектирования базы данных.</w:t>
      </w:r>
    </w:p>
    <w:p>
      <w:pPr>
        <w:pStyle w:val="Heading2"/>
        <w:spacing w:after="150" w:before="300"/>
      </w:pPr>
      <w:r>
        <w:t xml:space="preserve">4.3. Примеры категорийных наборов атрибутов</w:t>
      </w:r>
    </w:p>
    <w:p>
      <w:pPr>
        <w:pStyle w:val="Heading3"/>
        <w:spacing w:after="100" w:before="220"/>
      </w:pPr>
      <w:r>
        <w:t xml:space="preserve">Площадки (банкетные залы, открытые площадки, конференц-залы)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Вместимость, мин. – макс. гостей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 (диапазон)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Ключевой фильтр поиска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Тип площадки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Выбор из списка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Закрытая / открытая / шатёр / загородная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Своя кухня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Сторонний кейтеринг разрешён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Алкогольная политика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Выбор из списка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Включён / можно принести своё / запрещён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Парковка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 мест или да/нет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Своя сцена / танцпол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Комната для невесты / VIP-комната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Актуально для свадебного сегмента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Доступность для маломобильных гостей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Стандартное время аренды / доп. час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 часов + цена доп. часа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Разрешено собственное оформление декора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3"/>
        <w:spacing w:after="100" w:before="220"/>
      </w:pPr>
      <w:r>
        <w:t xml:space="preserve">Кейтеринг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Тип кухни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Узбекская, европейская, азиатская и т.д.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Минимальное количество гостей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Halal-сертификат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 + файл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Документ проверяется модерацией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Дегустация доступна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Обслуживающий персонал включён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Формат подачи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Банкет / фуршет / кофе-брейк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Средняя цена на 1 гостя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Число, сум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Используется в конструкторе сметы (ТЗ, п. 4.2.3)</w:t>
            </w:r>
          </w:p>
        </w:tc>
      </w:tr>
    </w:tbl>
    <w:p>
      <w:pPr>
        <w:pStyle w:val="Heading3"/>
        <w:spacing w:after="100" w:before="220"/>
      </w:pPr>
      <w:r>
        <w:t xml:space="preserve">Артисты, музыканты, танцевальные и шоу-коллективы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Жанр / стиль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Состав коллектива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 участников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Стандартная длительность выступления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Число, мин.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Требуется звуковая аппаратура от площадки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Важно для логистики мероприятия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Выезд за пределы города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 + доплата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Видео живого выступления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Видео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Да, минимум 1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См. обязательные требования — раздел 4.4</w:t>
            </w:r>
          </w:p>
        </w:tc>
      </w:tr>
    </w:tbl>
    <w:p>
      <w:pPr>
        <w:pStyle w:val="Heading3"/>
        <w:spacing w:after="100" w:before="220"/>
      </w:pPr>
      <w:r>
        <w:t xml:space="preserve">Декораторы и флористы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Стилевые направления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Классика, восточный, бохо, лофт и т.д.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Время на монтаж/демонтаж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 часов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Важно для тайминга площадки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Формат работы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Выбор из списка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Выездной / работает только с определёнными площадками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Уровни оформления (пакеты)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Структурированный список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Базовый / средний / премиум с ценами</w:t>
            </w:r>
          </w:p>
        </w:tc>
      </w:tr>
    </w:tbl>
    <w:p>
      <w:pPr>
        <w:pStyle w:val="Heading3"/>
        <w:spacing w:after="100" w:before="220"/>
      </w:pPr>
      <w:r>
        <w:t xml:space="preserve">Фото и видео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250"/>
        <w:gridCol w:w="4838"/>
      </w:tblGrid>
      <w:tr>
        <w:tc>
          <w:tcPr>
            <w:tcW w:type="dxa" w:w="21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14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5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4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Стиль съёмки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Мультивыбор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Классика, репортаж, artistic и т.д.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Срок сдачи материалов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 дней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Минимум фото в итоговой галерее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Число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Видеомонтаж включён</w:t>
            </w:r>
          </w:p>
        </w:tc>
        <w:tc>
          <w:tcPr>
            <w:tcW w:type="dxa" w:w="14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 + срок сдачи видео</w:t>
            </w:r>
          </w:p>
        </w:tc>
        <w:tc>
          <w:tcPr>
            <w:tcW w:type="dxa" w:w="125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</w:t>
            </w:r>
          </w:p>
        </w:tc>
        <w:tc>
          <w:tcPr>
            <w:tcW w:type="dxa" w:w="4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Аэросъёмка (дрон)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Да/нет</w:t>
            </w:r>
          </w:p>
        </w:tc>
        <w:tc>
          <w:tcPr>
            <w:tcW w:type="dxa" w:w="125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Нет</w:t>
            </w:r>
          </w:p>
        </w:tc>
        <w:tc>
          <w:tcPr>
            <w:tcW w:type="dxa" w:w="4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4.4. Обязательные требования к медиаконтенту (референсам)</w:t>
      </w:r>
    </w:p>
    <w:p>
      <w:pPr>
        <w:spacing w:after="160"/>
      </w:pPr>
      <w:r>
        <w:t xml:space="preserve">Это прямой ответ на исходную проблему («не было нормальных референсов»): платформа не публикует карточку без подтверждённого портфолио, а модерация обязана проверять, что материалы — собственная работа поставщика.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38"/>
        <w:gridCol w:w="1200"/>
        <w:gridCol w:w="2200"/>
      </w:tblGrid>
      <w:tr>
        <w:tc>
          <w:tcPr>
            <w:tcW w:type="dxa" w:w="24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3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12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Категории с визуальным результатом</w:t>
            </w:r>
          </w:p>
        </w:tc>
        <w:tc>
          <w:tcPr>
            <w:tcW w:type="dxa" w:w="3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Площадки, декор, кондитеры, полиграфия/сувениры, техническое оснащение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Мин. 10 фото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менее 3 разных мероприятий/объектов; без чужих водяных знаков</w:t>
            </w:r>
          </w:p>
        </w:tc>
      </w:tr>
      <w:tr>
        <w:tc>
          <w:tcPr>
            <w:tcW w:type="dxa" w:w="24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Категории с «живым исполнением»</w:t>
            </w:r>
          </w:p>
        </w:tc>
        <w:tc>
          <w:tcPr>
            <w:tcW w:type="dxa" w:w="3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Артисты, ведущие, музыканты, танцевальные коллективы, аниматоры, шоу-программы</w:t>
            </w:r>
          </w:p>
        </w:tc>
        <w:tc>
          <w:tcPr>
            <w:tcW w:type="dxa" w:w="12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Мин. 1 видео (рек. 2–3)</w:t>
            </w:r>
          </w:p>
        </w:tc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Живое выступление, от 1 минуты, давностью не более 2 лет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Кейтеринг</w:t>
            </w:r>
          </w:p>
        </w:tc>
        <w:tc>
          <w:tcPr>
            <w:tcW w:type="dxa" w:w="3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Блюда, сервировка, оформление стола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Мин. 10 фото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Видео процесса — опционально</w:t>
            </w:r>
          </w:p>
        </w:tc>
      </w:tr>
      <w:tr>
        <w:tc>
          <w:tcPr>
            <w:tcW w:type="dxa" w:w="24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Фото/видео-специалисты</w:t>
            </w:r>
          </w:p>
        </w:tc>
        <w:tc>
          <w:tcPr>
            <w:tcW w:type="dxa" w:w="3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Примеры готовых работ</w:t>
            </w:r>
          </w:p>
        </w:tc>
        <w:tc>
          <w:tcPr>
            <w:tcW w:type="dxa" w:w="12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Мин. 15 фото + 1 видео-шоурил</w:t>
            </w:r>
          </w:p>
        </w:tc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Демонстрирует стиль и качество монтажа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Транспорт</w:t>
            </w:r>
          </w:p>
        </w:tc>
        <w:tc>
          <w:tcPr>
            <w:tcW w:type="dxa" w:w="3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Собственный автопарк/техника</w:t>
            </w:r>
          </w:p>
        </w:tc>
        <w:tc>
          <w:tcPr>
            <w:tcW w:type="dxa" w:w="1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Мин. 5 фото</w:t>
            </w:r>
          </w:p>
        </w:tc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Фото реальных единиц, не каталожные изображения производителя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55555"/>
        </w:rPr>
        <w:t xml:space="preserve">Правило модерации: загруженные фото/видео проверяются на признаки заимствования (обратный поиск изображений, сверка с портфолио конкурентов и открытых источников). При обнаружении чужого контента анкета отклоняется с комментарием и правом повторной подачи с подтверждающими материалами (RAW-файлы, дата и место съёмки).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Регламент регистрации поставщика</w:t>
      </w:r>
    </w:p>
    <w:p>
      <w:pPr>
        <w:pStyle w:val="Heading2"/>
        <w:spacing w:after="150" w:before="300"/>
      </w:pPr>
      <w:r>
        <w:t xml:space="preserve">5.1. Уровни поставщиков и пакет документов</w:t>
      </w:r>
    </w:p>
    <w:p>
      <w:pPr>
        <w:spacing w:after="160"/>
      </w:pPr>
      <w:r>
        <w:t xml:space="preserve">Открыта регистрация и для компаний/ИП, и для самозанятых/физлиц (частные ведущие, артисты, декораторы и т.п.) — с разным набором запрашиваемых данных и разной глубиной верификации.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38"/>
        <w:gridCol w:w="3900"/>
      </w:tblGrid>
      <w:tr>
        <w:tc>
          <w:tcPr>
            <w:tcW w:type="dxa" w:w="19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38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39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1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Юрлицо / ИП</w:t>
            </w:r>
          </w:p>
        </w:tc>
        <w:tc>
          <w:tcPr>
            <w:tcW w:type="dxa" w:w="38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Название компании, ИНН, юридический адрес, ФИО контактного лица, банковские реквизиты для выплат</w:t>
            </w:r>
          </w:p>
        </w:tc>
        <w:tc>
          <w:tcPr>
            <w:tcW w:type="dxa" w:w="39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Свидетельство о регистрации / выписка из реестра; лицензия или санитарное заключение — если требуется по категории (кейтеринг, алкоголь)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1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Самозанятый / физлицо</w:t>
            </w:r>
          </w:p>
        </w:tc>
        <w:tc>
          <w:tcPr>
            <w:tcW w:type="dxa" w:w="38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ФИО, номер телефона (верифицирован по SMS), адрес проживания (город), реквизиты карты/счёта для выплат</w:t>
            </w:r>
          </w:p>
        </w:tc>
        <w:tc>
          <w:tcPr>
            <w:tcW w:type="dxa" w:w="39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Скан ID-карты или паспорта для верификации личности; сертификат самозанятого — если есть (необязателен для подачи, но повышает уровень доверия)</w:t>
            </w:r>
          </w:p>
        </w:tc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</w:tbl>
    <w:p>
      <w:pPr>
        <w:spacing w:after="160"/>
      </w:pPr>
      <w:r>
        <w:rPr>
          <w:i/>
          <w:iCs/>
          <w:color w:val="555555"/>
        </w:rPr>
        <w:t xml:space="preserve">Документы для верификации личности хранятся в защищённом виде и не публикуются в открытой карточке — используются только администратором платформы для проверки при регистрации и при разрешении спорных ситуаций.</w:t>
      </w:r>
    </w:p>
    <w:p>
      <w:pPr>
        <w:pStyle w:val="Heading2"/>
        <w:spacing w:after="150" w:before="300"/>
      </w:pPr>
      <w:r>
        <w:t xml:space="preserve">5.2. Пошаговый флоу регистрации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Выбор роли «Стать поставщиком» → выбор типа: Юрлицо/ИП или Самозанятый/физлицо.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Контактные данные (телефон, email) + верификация номера по SMS-коду.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Заполнение данных организации/физлица и загрузка документов согласно таблице раздела 5.1.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Выбор основной категории услуг (обязательно) и до 3 дополнительных категорий (опционально).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Заполнение карточки: универсальный блок (раздел 4.1) + категорийные атрибуты для каждой выбранной категории (раздел 4.3).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Загрузка портфолио (фото/видео) согласно обязательным минимумам по категории (раздел 4.4) — анкета не может быть отправлена на модерацию без выполнения этого минимума.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Настройка пакетов услуг и цен (минимум 1 пакет на категорию).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Первичная настройка календаря доступности.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Указание реквизитов для выплат (карта Uzcard/Humo, счёт или бизнес-кошелёк Payme/Click).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Принятие публичной оферты, согласия на обработку персональных данных и ознакомление с размером комиссии платформы.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Отправка анкеты на модерацию — статус «На проверке».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Проверка администратором: подлинность документов, соответствие портфолио требованиям раздела 4.4, полнота обязательных полей → «Проверено» / «Отклонено (с комментарием)» / запрос на доработку.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После одобрения — карточка публикуется в каталоге, поставщику открывается полный личный кабинет (приём заявок, чат, календарь, аналитика).</w:t>
      </w:r>
    </w:p>
    <w:p>
      <w:pPr>
        <w:pStyle w:val="Heading2"/>
        <w:spacing w:after="150" w:before="300"/>
      </w:pPr>
      <w:r>
        <w:t xml:space="preserve">5.3. Статусы профиля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7438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Обязат.</w:t>
            </w:r>
          </w:p>
        </w:tc>
        <w:tc>
          <w:tcPr>
            <w:tcW w:type="dxa" w:w="2000"/>
            <w:shd w:fill="1F4E79" w:val="clear"/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Описание / примечание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 проверке</w:t>
            </w:r>
          </w:p>
        </w:tc>
        <w:tc>
          <w:tcPr>
            <w:tcW w:type="dxa" w:w="74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Анкета отправлена, карточка не видна клиентам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Проверено</w:t>
            </w:r>
          </w:p>
        </w:tc>
        <w:tc>
          <w:tcPr>
            <w:tcW w:type="dxa" w:w="74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Пройдена модерация документов и портфолио — базовый уровень доверия, значок на карточке</w:t>
            </w:r>
          </w:p>
        </w:tc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Топ поставщик</w:t>
            </w:r>
          </w:p>
        </w:tc>
        <w:tc>
          <w:tcPr>
            <w:tcW w:type="dxa" w:w="74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Дополнительный статус, присваивается автоматически по рейтингу и количеству сделок через платформу либо приобретается через платное продвижение (ТЗ, раздел 5)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22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Отклонено</w:t>
            </w:r>
          </w:p>
        </w:tc>
        <w:tc>
          <w:tcPr>
            <w:tcW w:type="dxa" w:w="7438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Не пройдена модерация, указана причина, доступна повторная подача</w:t>
            </w:r>
          </w:p>
        </w:tc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2000"/>
            <w:shd w:fill="DDEBF7" w:val="clear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Заблокировано</w:t>
            </w:r>
          </w:p>
        </w:tc>
        <w:tc>
          <w:tcPr>
            <w:tcW w:type="dxa" w:w="7438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Нарушение правил платформы — карточка скрыта из каталога</w:t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  <w:tc>
          <w:tcPr>
            <w:tcW w:type="dxa" w:w="2000"/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Открытые вопросы для дальнейшего уточнения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Для всех ли «живых» категорий видео-референс обязателен без исключений, или для части из них (например, кондитеры) допустимо ограничиться фото?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Принимать ли видео-портфолио старше 2 лет, или ограничить давность жёстче/мягче?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Нужно ли заполнение карточки сразу на 3 языках (узб./рус./англ.) или на одном языке с последующим автопереводом для остальных?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Сколько дополнительных категорий разрешить одному поставщику бесплатно, и должна ли каждая следующая быть платной опцией (связь с моделью монетизации, ТЗ раздел 5)?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Нужен ли отдельный ускоренный уровень верификации («Топ поставщик») с ручным собеседованием/выездной проверкой для премиальных площадок и агентств полного цикла?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2026-09-05T09:43:31.468Z</dcterms:created>
  <dcterms:modified xsi:type="dcterms:W3CDTF">2026-09-05T09:43:31.480Z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