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B5E3F"/>
          <w:spacing w:val="40"/>
          <w:sz w:val="30"/>
          <w:szCs w:val="30"/>
        </w:rPr>
        <w:t xml:space="preserve">PANGA</w:t>
      </w:r>
    </w:p>
    <w:p>
      <w:pPr>
        <w:spacing w:after="100"/>
        <w:jc w:val="center"/>
      </w:pPr>
      <w:r>
        <w:rPr>
          <w:b/>
          <w:bCs/>
          <w:color w:val="1B3A4B"/>
          <w:sz w:val="60"/>
          <w:szCs w:val="60"/>
        </w:rPr>
        <w:t xml:space="preserve">Competitive Brief</w:t>
      </w:r>
    </w:p>
    <w:p>
      <w:pPr>
        <w:spacing w:after="600"/>
        <w:jc w:val="center"/>
      </w:pPr>
      <w:r>
        <w:rPr>
          <w:i/>
          <w:iCs/>
          <w:color w:val="5A5A5A"/>
          <w:sz w:val="26"/>
          <w:szCs w:val="26"/>
        </w:rPr>
        <w:t xml:space="preserve">Sellability, Positioning &amp; Pricing</w:t>
      </w:r>
    </w:p>
    <w:p>
      <w:pPr>
        <w:pBdr>
          <w:top w:val="single" w:color="CCCCCC" w:sz="6" w:space="8"/>
        </w:pBdr>
        <w:spacing w:after="400"/>
        <w:jc w:val="center"/>
      </w:pPr>
    </w:p>
    <w:p>
      <w:pPr>
        <w:spacing w:after="80"/>
        <w:jc w:val="center"/>
      </w:pPr>
      <w:r>
        <w:rPr>
          <w:b/>
          <w:bCs/>
          <w:color w:val="333333"/>
          <w:sz w:val="21"/>
          <w:szCs w:val="21"/>
        </w:rPr>
        <w:t xml:space="preserve">Prepared for:  </w:t>
      </w:r>
      <w:r>
        <w:rPr>
          <w:color w:val="333333"/>
          <w:sz w:val="21"/>
          <w:szCs w:val="21"/>
        </w:rPr>
        <w:t xml:space="preserve">Zahir</w:t>
      </w:r>
    </w:p>
    <w:p>
      <w:pPr>
        <w:spacing w:after="80"/>
        <w:jc w:val="center"/>
      </w:pPr>
      <w:r>
        <w:rPr>
          <w:b/>
          <w:bCs/>
          <w:color w:val="333333"/>
          <w:sz w:val="21"/>
          <w:szCs w:val="21"/>
        </w:rPr>
        <w:t xml:space="preserve">Date:  </w:t>
      </w:r>
      <w:r>
        <w:rPr>
          <w:color w:val="333333"/>
          <w:sz w:val="21"/>
          <w:szCs w:val="21"/>
        </w:rPr>
        <w:t xml:space="preserve">August 1, 2026</w:t>
      </w:r>
    </w:p>
    <w:p>
      <w:pPr>
        <w:spacing w:after="80"/>
        <w:jc w:val="center"/>
      </w:pPr>
      <w:r>
        <w:rPr>
          <w:b/>
          <w:bCs/>
          <w:color w:val="333333"/>
          <w:sz w:val="21"/>
          <w:szCs w:val="21"/>
        </w:rPr>
        <w:t xml:space="preserve">Prepared by:  </w:t>
      </w:r>
      <w:r>
        <w:rPr>
          <w:color w:val="333333"/>
          <w:sz w:val="21"/>
          <w:szCs w:val="21"/>
        </w:rPr>
        <w:t xml:space="preserve">"Mirror" — Panga coordination session</w:t>
      </w:r>
    </w:p>
    <w:p>
      <w:pPr>
        <w:spacing w:before="800"/>
        <w:jc w:val="center"/>
      </w:pPr>
      <w:r>
        <w:rPr>
          <w:b/>
          <w:bCs/>
          <w:color w:val="1B3A4B"/>
          <w:sz w:val="21"/>
          <w:szCs w:val="21"/>
        </w:rPr>
        <w:t xml:space="preserve">Question this brief answers:</w:t>
      </w:r>
    </w:p>
    <w:p>
      <w:pPr>
        <w:spacing w:after="40"/>
        <w:jc w:val="center"/>
      </w:pPr>
      <w:r>
        <w:rPr>
          <w:i/>
          <w:iCs/>
          <w:color w:val="333333"/>
          <w:sz w:val="22"/>
          <w:szCs w:val="22"/>
        </w:rPr>
        <w:t xml:space="preserve">Could Panga — currently a personal, single-user job-search tool —</w:t>
      </w:r>
    </w:p>
    <w:p>
      <w:pPr>
        <w:jc w:val="center"/>
      </w:pPr>
      <w:r>
        <w:rPr>
          <w:i/>
          <w:iCs/>
          <w:color w:val="333333"/>
          <w:sz w:val="22"/>
          <w:szCs w:val="22"/>
        </w:rPr>
        <w:t xml:space="preserve">become a sellable product?</w:t>
      </w:r>
    </w:p>
    <w:p>
      <w:r>
        <w:br w:type="page"/>
      </w:r>
    </w:p>
    <w:p>
      <w:pPr>
        <w:sectPr>
          <w:pgSz w:w="12240" w:h="15840" w:orient="portrait"/>
          <w:pgMar w:top="720" w:right="720" w:bottom="720" w:left="720" w:header="708" w:footer="708" w:gutter="0"/>
          <w:pgNumType/>
          <w:docGrid w:linePitch="360"/>
        </w:sectPr>
      </w:pPr>
    </w:p>
    <w:p>
      <w:pPr>
        <w:pStyle w:val="Heading1"/>
        <w:spacing w:after="160" w:before="3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720" w:right="720" w:bottom="720" w:left="720" w:header="708" w:footer="708" w:gutter="0"/>
          <w:pgNumType/>
          <w:docGrid w:linePitch="360"/>
        </w:sectPr>
      </w:pPr>
    </w:p>
    <w:p>
      <w:pPr>
        <w:pStyle w:val="Heading1"/>
        <w:spacing w:after="160" w:before="300"/>
      </w:pPr>
      <w:r>
        <w:t xml:space="preserve">Executive Summary</w:t>
      </w:r>
    </w:p>
    <w:p>
      <w:pPr>
        <w:spacing w:after="160" w:line="300"/>
      </w:pPr>
      <w:r>
        <w:rPr>
          <w:color w:val="222222"/>
          <w:sz w:val="21"/>
          <w:szCs w:val="21"/>
        </w:rPr>
        <w:t xml:space="preserve">This is a brand-new exploration. No prior business-model or pricing decisions exist for Panga as a sold product beyond a placeholder $200/year figure — explicitly not validated. Nothing in this brief assumes a target customer, price point, or positioning beyond what is demonstrated below.</w:t>
      </w:r>
    </w:p>
    <w:tbl>
      <w:tblPr>
        <w:tblW w:type="dxa" w:w="10800"/>
        <w:tblBorders>
          <w:top w:val="single" w:color="1B5E3F" w:sz="4"/>
          <w:left w:val="single" w:color="1B5E3F" w:sz="24"/>
          <w:bottom w:val="single" w:color="1B5E3F" w:sz="4"/>
          <w:right w:val="single" w:color="1B5E3F" w:sz="4"/>
          <w:insideH w:val="single" w:color="auto" w:sz="4"/>
          <w:insideV w:val="single" w:color="auto" w:sz="4"/>
        </w:tblBorders>
      </w:tblPr>
      <w:tblGrid>
        <w:gridCol w:w="10800"/>
      </w:tblGrid>
      <w:tr>
        <w:tc>
          <w:tcPr>
            <w:tcW w:type="dxa" w:w="10800"/>
            <w:shd w:fill="F2F5F3" w:val="clear"/>
            <w:tcMar>
              <w:top w:type="dxa" w:w="160"/>
              <w:left w:type="dxa" w:w="260"/>
              <w:bottom w:type="dxa" w:w="160"/>
              <w:right w:type="dxa" w:w="260"/>
            </w:tcMar>
          </w:tcPr>
          <w:p>
            <w:pPr>
              <w:spacing w:after="80"/>
            </w:pPr>
            <w:r>
              <w:rPr>
                <w:b/>
                <w:bCs/>
                <w:color w:val="1B5E3F"/>
                <w:sz w:val="21"/>
                <w:szCs w:val="21"/>
              </w:rPr>
              <w:t xml:space="preserve">Bottom line</w:t>
            </w:r>
          </w:p>
          <w:p>
            <w:pPr>
              <w:spacing w:line="290"/>
            </w:pPr>
            <w:r>
              <w:rPr>
                <w:color w:val="333333"/>
                <w:sz w:val="20"/>
                <w:szCs w:val="20"/>
              </w:rPr>
              <w:t xml:space="preserve">Yes. There is a real, differentiated, sellable product here — not a hedge, a conviction. Panga is competing as software-assisted executive search and application management — a category none of the eight reviewed competitors occupy, priced in a real, unclaimed gap between $40/month trackers and $2,000+/month human coaches. That position is earned by capability already built and working today: Prospector's pre-posting target-account identification, the gap-probing master-profile interview, and the Gmail-to-offer closed loop. What happens between here and revenue is execution, not validation of the opportunity — a sequenced build list (Section 9), not open questions about whether this is real. See Section 11, “Verdict,” for the full case.</w:t>
            </w:r>
          </w:p>
        </w:tc>
      </w:tr>
    </w:tbl>
    <w:p>
      <w:pPr>
        <w:spacing w:after="160" w:before="160"/>
      </w:pPr>
      <w:r>
        <w:rPr>
          <w:color w:val="222222"/>
          <w:sz w:val="21"/>
          <w:szCs w:val="21"/>
        </w:rPr>
        <w:t xml:space="preserve">Shelf life: pricing and feature claims in this category change fast — most competitors ship weekly. Flagged as of August 2026; re-verify before external use.</w:t>
      </w:r>
    </w:p>
    <w:p>
      <w:pPr>
        <w:pStyle w:val="Heading1"/>
        <w:spacing w:after="160" w:before="300"/>
      </w:pPr>
      <w:r>
        <w:t xml:space="preserve">1. What Panga Actually Does Today</w:t>
      </w:r>
    </w:p>
    <w:p>
      <w:pPr>
        <w:spacing w:after="160" w:line="300"/>
      </w:pPr>
      <w:r>
        <w:rPr>
          <w:color w:val="222222"/>
          <w:sz w:val="21"/>
          <w:szCs w:val="21"/>
        </w:rPr>
        <w:t xml:space="preserve">Verified against the PRD and code, not taken at face value.</w:t>
      </w:r>
    </w:p>
    <w:tbl>
      <w:tblPr>
        <w:tblW w:type="dxa" w:w="108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300"/>
        <w:gridCol w:w="1900"/>
      </w:tblGrid>
      <w:tr>
        <w:trPr>
          <w:tblHeader/>
        </w:trPr>
        <w:tc>
          <w:tcPr>
            <w:tcW w:type="dxa" w:w="2600"/>
            <w:shd w:fill="1B3A4B" w:val="clear"/>
            <w:tcMar>
              <w:top w:type="dxa" w:w="100"/>
              <w:left w:type="dxa" w:w="140"/>
              <w:bottom w:type="dxa" w:w="100"/>
              <w:right w:type="dxa" w:w="140"/>
            </w:tcMar>
          </w:tcPr>
          <w:p>
            <w:r>
              <w:rPr>
                <w:b/>
                <w:bCs/>
                <w:color w:val="FFFFFF"/>
                <w:sz w:val="19"/>
                <w:szCs w:val="19"/>
              </w:rPr>
              <w:t xml:space="preserve">Capability</w:t>
            </w:r>
          </w:p>
        </w:tc>
        <w:tc>
          <w:tcPr>
            <w:tcW w:type="dxa" w:w="6300"/>
            <w:shd w:fill="1B3A4B" w:val="clear"/>
            <w:tcMar>
              <w:top w:type="dxa" w:w="100"/>
              <w:left w:type="dxa" w:w="140"/>
              <w:bottom w:type="dxa" w:w="100"/>
              <w:right w:type="dxa" w:w="140"/>
            </w:tcMar>
          </w:tcPr>
          <w:p>
            <w:r>
              <w:rPr>
                <w:b/>
                <w:bCs/>
                <w:color w:val="FFFFFF"/>
                <w:sz w:val="19"/>
                <w:szCs w:val="19"/>
              </w:rPr>
              <w:t xml:space="preserve">What's actually built</w:t>
            </w:r>
          </w:p>
        </w:tc>
        <w:tc>
          <w:tcPr>
            <w:tcW w:type="dxa" w:w="1900"/>
            <w:shd w:fill="1B3A4B" w:val="clear"/>
            <w:tcMar>
              <w:top w:type="dxa" w:w="100"/>
              <w:left w:type="dxa" w:w="140"/>
              <w:bottom w:type="dxa" w:w="100"/>
              <w:right w:type="dxa" w:w="140"/>
            </w:tcMar>
          </w:tcPr>
          <w:p>
            <w:r>
              <w:rPr>
                <w:b/>
                <w:bCs/>
                <w:color w:val="FFFFFF"/>
                <w:sz w:val="19"/>
                <w:szCs w:val="19"/>
              </w:rPr>
              <w:t xml:space="preserve">Source</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Gap-probing interview → master profile</w:t>
            </w:r>
          </w:p>
        </w:tc>
        <w:tc>
          <w:tcPr>
            <w:tcW w:type="dxa" w:w="6300"/>
            <w:shd w:fill="FFFFFF" w:val="clear"/>
            <w:tcMar>
              <w:top w:type="dxa" w:w="90"/>
              <w:left w:type="dxa" w:w="140"/>
              <w:bottom w:type="dxa" w:w="90"/>
              <w:right w:type="dxa" w:w="140"/>
            </w:tcMar>
          </w:tcPr>
          <w:p>
            <w:pPr>
              <w:spacing w:line="260"/>
            </w:pPr>
            <w:r>
              <w:rPr>
                <w:color w:val="222222"/>
                <w:sz w:val="18"/>
                <w:szCs w:val="18"/>
              </w:rPr>
              <w:t xml:space="preserve">Structured interview beyond resume parse; captures nuance (“implemented AND maintained X”), feeds master_profile.json. Drafting reads structured fields, not free text.</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profile/interview.py, profile/storage.py</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Multi-channel sourcing</w:t>
            </w:r>
          </w:p>
        </w:tc>
        <w:tc>
          <w:tcPr>
            <w:tcW w:type="dxa" w:w="6300"/>
            <w:shd w:fill="F2F5F3" w:val="clear"/>
            <w:tcMar>
              <w:top w:type="dxa" w:w="90"/>
              <w:left w:type="dxa" w:w="140"/>
              <w:bottom w:type="dxa" w:w="90"/>
              <w:right w:type="dxa" w:w="140"/>
            </w:tcMar>
          </w:tcPr>
          <w:p>
            <w:pPr>
              <w:spacing w:line="260"/>
            </w:pPr>
            <w:r>
              <w:rPr>
                <w:color w:val="222222"/>
                <w:sz w:val="18"/>
                <w:szCs w:val="18"/>
              </w:rPr>
              <w:t xml:space="preserve">USAJOBS.gov (federal), ZipRecruiter/Dice/Indeed via MCP connectors (not direct API — a real dependency, detailed in Section 9), direct company-ATS APIs (Workday CXS, SmartRecruiters), pharma-specific industry boards. Cross-source dedup folds board postings into matching direct-site postings.</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search/*.py</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Fit scoring</w:t>
            </w:r>
          </w:p>
        </w:tc>
        <w:tc>
          <w:tcPr>
            <w:tcW w:type="dxa" w:w="6300"/>
            <w:shd w:fill="FFFFFF" w:val="clear"/>
            <w:tcMar>
              <w:top w:type="dxa" w:w="90"/>
              <w:left w:type="dxa" w:w="140"/>
              <w:bottom w:type="dxa" w:w="90"/>
              <w:right w:type="dxa" w:w="140"/>
            </w:tcMar>
          </w:tcPr>
          <w:p>
            <w:pPr>
              <w:spacing w:line="260"/>
            </w:pPr>
            <w:r>
              <w:rPr>
                <w:color w:val="222222"/>
                <w:sz w:val="18"/>
                <w:szCs w:val="18"/>
              </w:rPr>
              <w:t xml:space="preserve">fit_score per posting with plain-language rationale, feeding ranking/dedup — not a bare keyword-match percentage.</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ranking/prioritize.py</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Tailored drafting, never auto-submitted</w:t>
            </w:r>
          </w:p>
        </w:tc>
        <w:tc>
          <w:tcPr>
            <w:tcW w:type="dxa" w:w="6300"/>
            <w:shd w:fill="F2F5F3" w:val="clear"/>
            <w:tcMar>
              <w:top w:type="dxa" w:w="90"/>
              <w:left w:type="dxa" w:w="140"/>
              <w:bottom w:type="dxa" w:w="90"/>
              <w:right w:type="dxa" w:w="140"/>
            </w:tcMar>
          </w:tcPr>
          <w:p>
            <w:pPr>
              <w:spacing w:line="260"/>
            </w:pPr>
            <w:r>
              <w:rPr>
                <w:color w:val="222222"/>
                <w:sz w:val="18"/>
                <w:szCs w:val="18"/>
              </w:rPr>
              <w:t xml:space="preserve">Resume / cover letter / exec bio / leadership summary / Apply-Assist packet. ATS self-score + rationale on the resume. Exact-fact-fidelity rules enforced after a real bug. Edit-review gate blocks marking “applied” until edits are reconciled.</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tailoring/drafting.py, tailoring/applications.py</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Gmail CTA monitoring + auto-draft-reply</w:t>
            </w:r>
          </w:p>
        </w:tc>
        <w:tc>
          <w:tcPr>
            <w:tcW w:type="dxa" w:w="6300"/>
            <w:shd w:fill="FFFFFF" w:val="clear"/>
            <w:tcMar>
              <w:top w:type="dxa" w:w="90"/>
              <w:left w:type="dxa" w:w="140"/>
              <w:bottom w:type="dxa" w:w="90"/>
              <w:right w:type="dxa" w:w="140"/>
            </w:tcMar>
          </w:tcPr>
          <w:p>
            <w:pPr>
              <w:spacing w:line="260"/>
            </w:pPr>
            <w:r>
              <w:rPr>
                <w:color w:val="222222"/>
                <w:sz w:val="18"/>
                <w:szCs w:val="18"/>
              </w:rPr>
              <w:t xml:space="preserve">Real fulfillment loop, every 10 min: detects offer/interview/rejection emails, drafts a real reply via Claude, labels the thread — draft only, user sends.</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tailoring/cta_emails.py, PRD §14</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Prospector — proactive target-account ID</w:t>
            </w:r>
          </w:p>
        </w:tc>
        <w:tc>
          <w:tcPr>
            <w:tcW w:type="dxa" w:w="6300"/>
            <w:shd w:fill="F2F5F3" w:val="clear"/>
            <w:tcMar>
              <w:top w:type="dxa" w:w="90"/>
              <w:left w:type="dxa" w:w="140"/>
              <w:bottom w:type="dxa" w:w="90"/>
              <w:right w:type="dxa" w:w="140"/>
            </w:tcMar>
          </w:tcPr>
          <w:p>
            <w:pPr>
              <w:spacing w:line="260"/>
            </w:pPr>
            <w:r>
              <w:rPr>
                <w:color w:val="222222"/>
                <w:sz w:val="18"/>
                <w:szCs w:val="18"/>
              </w:rPr>
              <w:t xml:space="preserve">Identifies target companies before jobs post, using clinical-trial-progress, regulatory-filing, and commercial-hiring signals, plus a KPI/self-scoring loop. Currently pharma / life-sciences-vertical-specific.</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prospector/*.py</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LinkedIn profile gap analysis</w:t>
            </w:r>
          </w:p>
        </w:tc>
        <w:tc>
          <w:tcPr>
            <w:tcW w:type="dxa" w:w="6300"/>
            <w:shd w:fill="FFFFFF" w:val="clear"/>
            <w:tcMar>
              <w:top w:type="dxa" w:w="90"/>
              <w:left w:type="dxa" w:w="140"/>
              <w:bottom w:type="dxa" w:w="90"/>
              <w:right w:type="dxa" w:w="140"/>
            </w:tcMar>
          </w:tcPr>
          <w:p>
            <w:pPr>
              <w:spacing w:line="260"/>
            </w:pPr>
            <w:r>
              <w:rPr>
                <w:color w:val="222222"/>
                <w:sz w:val="18"/>
                <w:szCs w:val="18"/>
              </w:rPr>
              <w:t xml:space="preserve">Manual PDF export upload (no scraping/login) → 0–100 profile-strength score + per-section rewrite suggestions.</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linkedin/*.py</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Encryption at rest</w:t>
            </w:r>
          </w:p>
        </w:tc>
        <w:tc>
          <w:tcPr>
            <w:tcW w:type="dxa" w:w="6300"/>
            <w:shd w:fill="F2F5F3" w:val="clear"/>
            <w:tcMar>
              <w:top w:type="dxa" w:w="90"/>
              <w:left w:type="dxa" w:w="140"/>
              <w:bottom w:type="dxa" w:w="90"/>
              <w:right w:type="dxa" w:w="140"/>
            </w:tcMar>
          </w:tcPr>
          <w:p>
            <w:pPr>
              <w:spacing w:line="260"/>
            </w:pPr>
            <w:r>
              <w:rPr>
                <w:color w:val="222222"/>
                <w:sz w:val="18"/>
                <w:szCs w:val="18"/>
              </w:rPr>
              <w:t xml:space="preserve">AES-256-GCM on all stores except the deliberately-plain per-application .docx workspace files. Key held in Windows Credential Manager (DPAPI), with a recovery-code escape hatch.</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security/crypto_store.py</w:t>
            </w:r>
          </w:p>
        </w:tc>
      </w:tr>
    </w:tbl>
    <w:p>
      <w:pPr>
        <w:spacing w:after="40"/>
      </w:pPr>
      <w:r>
        <w:rPr>
          <w:color w:val="222222"/>
          <w:sz w:val="21"/>
          <w:szCs w:val="21"/>
        </w:rPr>
        <w:t xml:space="preserve"> </w:t>
      </w:r>
    </w:p>
    <w:p>
      <w:pPr>
        <w:spacing w:after="100" w:before="120"/>
      </w:pPr>
      <w:r>
        <w:rPr>
          <w:b/>
          <w:bCs/>
          <w:color w:val="222222"/>
          <w:sz w:val="21"/>
          <w:szCs w:val="21"/>
        </w:rPr>
        <w:t xml:space="preserve">What Panga is NOT today — stated plainly:</w:t>
      </w:r>
    </w:p>
    <w:p>
      <w:pPr>
        <w:pStyle w:val="ListParagraph"/>
        <w:numPr>
          <w:ilvl w:val="0"/>
          <w:numId w:val="2"/>
        </w:numPr>
        <w:spacing w:after="90" w:line="280"/>
      </w:pPr>
      <w:r>
        <w:t xml:space="preserve">Single-user, single-tenant, single-machine. Local JSON files, a machine-bound encryption key, VBS/batch desktop shortcuts. No concept of “customer accounts” anywhere in the architecture yet.</w:t>
      </w:r>
    </w:p>
    <w:p>
      <w:pPr>
        <w:pStyle w:val="ListParagraph"/>
        <w:numPr>
          <w:ilvl w:val="0"/>
          <w:numId w:val="2"/>
        </w:numPr>
        <w:spacing w:after="90" w:line="280"/>
      </w:pPr>
      <w:r>
        <w:t xml:space="preserve">MCP-connector-dependent for Gmail, LinkedIn import, and several job boards — core functionality currently only works inside a live Claude Code session, not as a standalone installed app.</w:t>
      </w:r>
    </w:p>
    <w:p>
      <w:pPr>
        <w:pStyle w:val="ListParagraph"/>
        <w:numPr>
          <w:ilvl w:val="0"/>
          <w:numId w:val="2"/>
        </w:numPr>
        <w:spacing w:after="90" w:line="280"/>
      </w:pPr>
      <w:r>
        <w:t xml:space="preserve">Vertical-locked Prospector. The single most differentiated capability in this whole comparison only has real signal sources for life-sciences/pharma today.</w:t>
      </w:r>
    </w:p>
    <w:p>
      <w:pPr>
        <w:spacing w:before="100"/>
      </w:pPr>
      <w:r>
        <w:rPr>
          <w:color w:val="222222"/>
          <w:sz w:val="21"/>
          <w:szCs w:val="21"/>
        </w:rPr>
        <w:t xml:space="preserve">This honesty matters for the verdict in Section 11, “Verdict” — the gap between “impressive personal tool” and “sellable product” is real, scoped, and mostly already named in the existing backlog.</w:t>
      </w:r>
    </w:p>
    <w:p>
      <w:pPr>
        <w:pStyle w:val="Heading1"/>
        <w:spacing w:after="160" w:before="300"/>
      </w:pPr>
      <w:r>
        <w:t xml:space="preserve">2. Competitive Landscape</w:t>
      </w:r>
    </w:p>
    <w:tbl>
      <w:tblPr>
        <w:tblW w:type="dxa" w:w="10800"/>
        <w:tblBorders>
          <w:top w:val="single" w:color="CCCCCC" w:sz="4"/>
          <w:left w:val="single" w:color="CCCCCC" w:sz="4"/>
          <w:bottom w:val="single" w:color="CCCCCC" w:sz="4"/>
          <w:right w:val="single" w:color="CCCCCC" w:sz="4"/>
          <w:insideH w:val="single" w:color="CCCCCC" w:sz="4"/>
          <w:insideV w:val="single" w:color="CCCCCC" w:sz="4"/>
        </w:tblBorders>
      </w:tblPr>
      <w:tblGrid>
        <w:gridCol w:w="1900"/>
        <w:gridCol w:w="2600"/>
        <w:gridCol w:w="2500"/>
        <w:gridCol w:w="3800"/>
      </w:tblGrid>
      <w:tr>
        <w:trPr>
          <w:tblHeader/>
        </w:trPr>
        <w:tc>
          <w:tcPr>
            <w:tcW w:type="dxa" w:w="1900"/>
            <w:shd w:fill="1B3A4B" w:val="clear"/>
            <w:tcMar>
              <w:top w:type="dxa" w:w="100"/>
              <w:left w:type="dxa" w:w="140"/>
              <w:bottom w:type="dxa" w:w="100"/>
              <w:right w:type="dxa" w:w="140"/>
            </w:tcMar>
          </w:tcPr>
          <w:p>
            <w:r>
              <w:rPr>
                <w:b/>
                <w:bCs/>
                <w:color w:val="FFFFFF"/>
                <w:sz w:val="19"/>
                <w:szCs w:val="19"/>
              </w:rPr>
              <w:t xml:space="preserve">Product</w:t>
            </w:r>
          </w:p>
        </w:tc>
        <w:tc>
          <w:tcPr>
            <w:tcW w:type="dxa" w:w="2600"/>
            <w:shd w:fill="1B3A4B" w:val="clear"/>
            <w:tcMar>
              <w:top w:type="dxa" w:w="100"/>
              <w:left w:type="dxa" w:w="140"/>
              <w:bottom w:type="dxa" w:w="100"/>
              <w:right w:type="dxa" w:w="140"/>
            </w:tcMar>
          </w:tcPr>
          <w:p>
            <w:r>
              <w:rPr>
                <w:b/>
                <w:bCs/>
                <w:color w:val="FFFFFF"/>
                <w:sz w:val="19"/>
                <w:szCs w:val="19"/>
              </w:rPr>
              <w:t xml:space="preserve">Category</w:t>
            </w:r>
          </w:p>
        </w:tc>
        <w:tc>
          <w:tcPr>
            <w:tcW w:type="dxa" w:w="2500"/>
            <w:shd w:fill="1B3A4B" w:val="clear"/>
            <w:tcMar>
              <w:top w:type="dxa" w:w="100"/>
              <w:left w:type="dxa" w:w="140"/>
              <w:bottom w:type="dxa" w:w="100"/>
              <w:right w:type="dxa" w:w="140"/>
            </w:tcMar>
          </w:tcPr>
          <w:p>
            <w:r>
              <w:rPr>
                <w:b/>
                <w:bCs/>
                <w:color w:val="FFFFFF"/>
                <w:sz w:val="19"/>
                <w:szCs w:val="19"/>
              </w:rPr>
              <w:t xml:space="preserve">Auto-submits?</w:t>
            </w:r>
          </w:p>
        </w:tc>
        <w:tc>
          <w:tcPr>
            <w:tcW w:type="dxa" w:w="3800"/>
            <w:shd w:fill="1B3A4B" w:val="clear"/>
            <w:tcMar>
              <w:top w:type="dxa" w:w="100"/>
              <w:left w:type="dxa" w:w="140"/>
              <w:bottom w:type="dxa" w:w="100"/>
              <w:right w:type="dxa" w:w="140"/>
            </w:tcMar>
          </w:tcPr>
          <w:p>
            <w:r>
              <w:rPr>
                <w:b/>
                <w:bCs/>
                <w:color w:val="FFFFFF"/>
                <w:sz w:val="19"/>
                <w:szCs w:val="19"/>
              </w:rPr>
              <w:t xml:space="preserve">Core wedge</w:t>
            </w:r>
          </w:p>
        </w:tc>
      </w:tr>
      <w:tr>
        <w:tc>
          <w:tcPr>
            <w:tcW w:type="dxa" w:w="1900"/>
            <w:shd w:fill="FFFFFF" w:val="clear"/>
            <w:tcMar>
              <w:top w:type="dxa" w:w="90"/>
              <w:left w:type="dxa" w:w="140"/>
              <w:bottom w:type="dxa" w:w="90"/>
              <w:right w:type="dxa" w:w="140"/>
            </w:tcMar>
          </w:tcPr>
          <w:p>
            <w:pPr>
              <w:spacing w:line="260"/>
            </w:pPr>
            <w:r>
              <w:rPr>
                <w:color w:val="222222"/>
                <w:sz w:val="18"/>
                <w:szCs w:val="18"/>
              </w:rPr>
              <w:t xml:space="preserve">Teal HQ</w:t>
            </w:r>
          </w:p>
        </w:tc>
        <w:tc>
          <w:tcPr>
            <w:tcW w:type="dxa" w:w="2600"/>
            <w:shd w:fill="FFFFFF" w:val="clear"/>
            <w:tcMar>
              <w:top w:type="dxa" w:w="90"/>
              <w:left w:type="dxa" w:w="140"/>
              <w:bottom w:type="dxa" w:w="90"/>
              <w:right w:type="dxa" w:w="140"/>
            </w:tcMar>
          </w:tcPr>
          <w:p>
            <w:pPr>
              <w:spacing w:line="260"/>
            </w:pPr>
            <w:r>
              <w:rPr>
                <w:color w:val="222222"/>
                <w:sz w:val="18"/>
                <w:szCs w:val="18"/>
              </w:rPr>
              <w:t xml:space="preserve">Tracker + resume builder</w:t>
            </w:r>
          </w:p>
        </w:tc>
        <w:tc>
          <w:tcPr>
            <w:tcW w:type="dxa" w:w="2500"/>
            <w:shd w:fill="FFFFFF" w:val="clear"/>
            <w:tcMar>
              <w:top w:type="dxa" w:w="90"/>
              <w:left w:type="dxa" w:w="140"/>
              <w:bottom w:type="dxa" w:w="90"/>
              <w:right w:type="dxa" w:w="140"/>
            </w:tcMar>
          </w:tcPr>
          <w:p>
            <w:pPr>
              <w:spacing w:line="260"/>
            </w:pPr>
            <w:r>
              <w:rPr>
                <w:color w:val="222222"/>
                <w:sz w:val="18"/>
                <w:szCs w:val="18"/>
              </w:rPr>
              <w:t xml:space="preserve">No</w:t>
            </w:r>
          </w:p>
        </w:tc>
        <w:tc>
          <w:tcPr>
            <w:tcW w:type="dxa" w:w="3800"/>
            <w:shd w:fill="FFFFFF" w:val="clear"/>
            <w:tcMar>
              <w:top w:type="dxa" w:w="90"/>
              <w:left w:type="dxa" w:w="140"/>
              <w:bottom w:type="dxa" w:w="90"/>
              <w:right w:type="dxa" w:w="140"/>
            </w:tcMar>
          </w:tcPr>
          <w:p>
            <w:pPr>
              <w:spacing w:line="260"/>
            </w:pPr>
            <w:r>
              <w:rPr>
                <w:color w:val="222222"/>
                <w:sz w:val="18"/>
                <w:szCs w:val="18"/>
              </w:rPr>
              <w:t xml:space="preserve">“Job search OS” — breadth, strong free tier</w:t>
            </w:r>
          </w:p>
        </w:tc>
      </w:tr>
      <w:tr>
        <w:tc>
          <w:tcPr>
            <w:tcW w:type="dxa" w:w="1900"/>
            <w:shd w:fill="F2F5F3" w:val="clear"/>
            <w:tcMar>
              <w:top w:type="dxa" w:w="90"/>
              <w:left w:type="dxa" w:w="140"/>
              <w:bottom w:type="dxa" w:w="90"/>
              <w:right w:type="dxa" w:w="140"/>
            </w:tcMar>
          </w:tcPr>
          <w:p>
            <w:pPr>
              <w:spacing w:line="260"/>
            </w:pPr>
            <w:r>
              <w:rPr>
                <w:color w:val="222222"/>
                <w:sz w:val="18"/>
                <w:szCs w:val="18"/>
              </w:rPr>
              <w:t xml:space="preserve">Huntr.co</w:t>
            </w:r>
          </w:p>
        </w:tc>
        <w:tc>
          <w:tcPr>
            <w:tcW w:type="dxa" w:w="2600"/>
            <w:shd w:fill="F2F5F3" w:val="clear"/>
            <w:tcMar>
              <w:top w:type="dxa" w:w="90"/>
              <w:left w:type="dxa" w:w="140"/>
              <w:bottom w:type="dxa" w:w="90"/>
              <w:right w:type="dxa" w:w="140"/>
            </w:tcMar>
          </w:tcPr>
          <w:p>
            <w:pPr>
              <w:spacing w:line="260"/>
            </w:pPr>
            <w:r>
              <w:rPr>
                <w:color w:val="222222"/>
                <w:sz w:val="18"/>
                <w:szCs w:val="18"/>
              </w:rPr>
              <w:t xml:space="preserve">Tracker + resume/cover-letter add-on</w:t>
            </w:r>
          </w:p>
        </w:tc>
        <w:tc>
          <w:tcPr>
            <w:tcW w:type="dxa" w:w="2500"/>
            <w:shd w:fill="F2F5F3" w:val="clear"/>
            <w:tcMar>
              <w:top w:type="dxa" w:w="90"/>
              <w:left w:type="dxa" w:w="140"/>
              <w:bottom w:type="dxa" w:w="90"/>
              <w:right w:type="dxa" w:w="140"/>
            </w:tcMar>
          </w:tcPr>
          <w:p>
            <w:pPr>
              <w:spacing w:line="260"/>
            </w:pPr>
            <w:r>
              <w:rPr>
                <w:color w:val="222222"/>
                <w:sz w:val="18"/>
                <w:szCs w:val="18"/>
              </w:rPr>
              <w:t xml:space="preserve">No</w:t>
            </w:r>
          </w:p>
        </w:tc>
        <w:tc>
          <w:tcPr>
            <w:tcW w:type="dxa" w:w="3800"/>
            <w:shd w:fill="F2F5F3" w:val="clear"/>
            <w:tcMar>
              <w:top w:type="dxa" w:w="90"/>
              <w:left w:type="dxa" w:w="140"/>
              <w:bottom w:type="dxa" w:w="90"/>
              <w:right w:type="dxa" w:w="140"/>
            </w:tcMar>
          </w:tcPr>
          <w:p>
            <w:pPr>
              <w:spacing w:line="260"/>
            </w:pPr>
            <w:r>
              <w:rPr>
                <w:color w:val="222222"/>
                <w:sz w:val="18"/>
                <w:szCs w:val="18"/>
              </w:rPr>
              <w:t xml:space="preserve">Clean Kanban tracker first</w:t>
            </w:r>
          </w:p>
        </w:tc>
      </w:tr>
      <w:tr>
        <w:tc>
          <w:tcPr>
            <w:tcW w:type="dxa" w:w="1900"/>
            <w:shd w:fill="FFFFFF" w:val="clear"/>
            <w:tcMar>
              <w:top w:type="dxa" w:w="90"/>
              <w:left w:type="dxa" w:w="140"/>
              <w:bottom w:type="dxa" w:w="90"/>
              <w:right w:type="dxa" w:w="140"/>
            </w:tcMar>
          </w:tcPr>
          <w:p>
            <w:pPr>
              <w:spacing w:line="260"/>
            </w:pPr>
            <w:r>
              <w:rPr>
                <w:color w:val="222222"/>
                <w:sz w:val="18"/>
                <w:szCs w:val="18"/>
              </w:rPr>
              <w:t xml:space="preserve">Simplify.jobs</w:t>
            </w:r>
          </w:p>
        </w:tc>
        <w:tc>
          <w:tcPr>
            <w:tcW w:type="dxa" w:w="2600"/>
            <w:shd w:fill="FFFFFF" w:val="clear"/>
            <w:tcMar>
              <w:top w:type="dxa" w:w="90"/>
              <w:left w:type="dxa" w:w="140"/>
              <w:bottom w:type="dxa" w:w="90"/>
              <w:right w:type="dxa" w:w="140"/>
            </w:tcMar>
          </w:tcPr>
          <w:p>
            <w:pPr>
              <w:spacing w:line="260"/>
            </w:pPr>
            <w:r>
              <w:rPr>
                <w:color w:val="222222"/>
                <w:sz w:val="18"/>
                <w:szCs w:val="18"/>
              </w:rPr>
              <w:t xml:space="preserve">Autofill extension + tracker</w:t>
            </w:r>
          </w:p>
        </w:tc>
        <w:tc>
          <w:tcPr>
            <w:tcW w:type="dxa" w:w="2500"/>
            <w:shd w:fill="FFFFFF" w:val="clear"/>
            <w:tcMar>
              <w:top w:type="dxa" w:w="90"/>
              <w:left w:type="dxa" w:w="140"/>
              <w:bottom w:type="dxa" w:w="90"/>
              <w:right w:type="dxa" w:w="140"/>
            </w:tcMar>
          </w:tcPr>
          <w:p>
            <w:pPr>
              <w:spacing w:line="260"/>
            </w:pPr>
            <w:r>
              <w:rPr>
                <w:color w:val="222222"/>
                <w:sz w:val="18"/>
                <w:szCs w:val="18"/>
              </w:rPr>
              <w:t xml:space="preserve">No (autofill only)</w:t>
            </w:r>
          </w:p>
        </w:tc>
        <w:tc>
          <w:tcPr>
            <w:tcW w:type="dxa" w:w="3800"/>
            <w:shd w:fill="FFFFFF" w:val="clear"/>
            <w:tcMar>
              <w:top w:type="dxa" w:w="90"/>
              <w:left w:type="dxa" w:w="140"/>
              <w:bottom w:type="dxa" w:w="90"/>
              <w:right w:type="dxa" w:w="140"/>
            </w:tcMar>
          </w:tcPr>
          <w:p>
            <w:pPr>
              <w:spacing w:line="260"/>
            </w:pPr>
            <w:r>
              <w:rPr>
                <w:color w:val="222222"/>
                <w:sz w:val="18"/>
                <w:szCs w:val="18"/>
              </w:rPr>
              <w:t xml:space="preserve">Free forever core, huge install base</w:t>
            </w:r>
          </w:p>
        </w:tc>
      </w:tr>
      <w:tr>
        <w:tc>
          <w:tcPr>
            <w:tcW w:type="dxa" w:w="1900"/>
            <w:shd w:fill="F2F5F3" w:val="clear"/>
            <w:tcMar>
              <w:top w:type="dxa" w:w="90"/>
              <w:left w:type="dxa" w:w="140"/>
              <w:bottom w:type="dxa" w:w="90"/>
              <w:right w:type="dxa" w:w="140"/>
            </w:tcMar>
          </w:tcPr>
          <w:p>
            <w:pPr>
              <w:spacing w:line="260"/>
            </w:pPr>
            <w:r>
              <w:rPr>
                <w:color w:val="222222"/>
                <w:sz w:val="18"/>
                <w:szCs w:val="18"/>
              </w:rPr>
              <w:t xml:space="preserve">Careerflow.ai</w:t>
            </w:r>
          </w:p>
        </w:tc>
        <w:tc>
          <w:tcPr>
            <w:tcW w:type="dxa" w:w="2600"/>
            <w:shd w:fill="F2F5F3" w:val="clear"/>
            <w:tcMar>
              <w:top w:type="dxa" w:w="90"/>
              <w:left w:type="dxa" w:w="140"/>
              <w:bottom w:type="dxa" w:w="90"/>
              <w:right w:type="dxa" w:w="140"/>
            </w:tcMar>
          </w:tcPr>
          <w:p>
            <w:pPr>
              <w:spacing w:line="260"/>
            </w:pPr>
            <w:r>
              <w:rPr>
                <w:color w:val="222222"/>
                <w:sz w:val="18"/>
                <w:szCs w:val="18"/>
              </w:rPr>
              <w:t xml:space="preserve">Tracker + LinkedIn optimizer</w:t>
            </w:r>
          </w:p>
        </w:tc>
        <w:tc>
          <w:tcPr>
            <w:tcW w:type="dxa" w:w="2500"/>
            <w:shd w:fill="F2F5F3" w:val="clear"/>
            <w:tcMar>
              <w:top w:type="dxa" w:w="90"/>
              <w:left w:type="dxa" w:w="140"/>
              <w:bottom w:type="dxa" w:w="90"/>
              <w:right w:type="dxa" w:w="140"/>
            </w:tcMar>
          </w:tcPr>
          <w:p>
            <w:pPr>
              <w:spacing w:line="260"/>
            </w:pPr>
            <w:r>
              <w:rPr>
                <w:color w:val="222222"/>
                <w:sz w:val="18"/>
                <w:szCs w:val="18"/>
              </w:rPr>
              <w:t xml:space="preserve">No</w:t>
            </w:r>
          </w:p>
        </w:tc>
        <w:tc>
          <w:tcPr>
            <w:tcW w:type="dxa" w:w="3800"/>
            <w:shd w:fill="F2F5F3" w:val="clear"/>
            <w:tcMar>
              <w:top w:type="dxa" w:w="90"/>
              <w:left w:type="dxa" w:w="140"/>
              <w:bottom w:type="dxa" w:w="90"/>
              <w:right w:type="dxa" w:w="140"/>
            </w:tcMar>
          </w:tcPr>
          <w:p>
            <w:pPr>
              <w:spacing w:line="260"/>
            </w:pPr>
            <w:r>
              <w:rPr>
                <w:color w:val="222222"/>
                <w:sz w:val="18"/>
                <w:szCs w:val="18"/>
              </w:rPr>
              <w:t xml:space="preserve">Best-in-class LinkedIn optimizer, generous free tier</w:t>
            </w:r>
          </w:p>
        </w:tc>
      </w:tr>
      <w:tr>
        <w:tc>
          <w:tcPr>
            <w:tcW w:type="dxa" w:w="1900"/>
            <w:shd w:fill="FFFFFF" w:val="clear"/>
            <w:tcMar>
              <w:top w:type="dxa" w:w="90"/>
              <w:left w:type="dxa" w:w="140"/>
              <w:bottom w:type="dxa" w:w="90"/>
              <w:right w:type="dxa" w:w="140"/>
            </w:tcMar>
          </w:tcPr>
          <w:p>
            <w:pPr>
              <w:spacing w:line="260"/>
            </w:pPr>
            <w:r>
              <w:rPr>
                <w:color w:val="222222"/>
                <w:sz w:val="18"/>
                <w:szCs w:val="18"/>
              </w:rPr>
              <w:t xml:space="preserve">JobScan</w:t>
            </w:r>
          </w:p>
        </w:tc>
        <w:tc>
          <w:tcPr>
            <w:tcW w:type="dxa" w:w="2600"/>
            <w:shd w:fill="FFFFFF" w:val="clear"/>
            <w:tcMar>
              <w:top w:type="dxa" w:w="90"/>
              <w:left w:type="dxa" w:w="140"/>
              <w:bottom w:type="dxa" w:w="90"/>
              <w:right w:type="dxa" w:w="140"/>
            </w:tcMar>
          </w:tcPr>
          <w:p>
            <w:pPr>
              <w:spacing w:line="260"/>
            </w:pPr>
            <w:r>
              <w:rPr>
                <w:color w:val="222222"/>
                <w:sz w:val="18"/>
                <w:szCs w:val="18"/>
              </w:rPr>
              <w:t xml:space="preserve">ATS keyword/match analyzer</w:t>
            </w:r>
          </w:p>
        </w:tc>
        <w:tc>
          <w:tcPr>
            <w:tcW w:type="dxa" w:w="2500"/>
            <w:shd w:fill="FFFFFF" w:val="clear"/>
            <w:tcMar>
              <w:top w:type="dxa" w:w="90"/>
              <w:left w:type="dxa" w:w="140"/>
              <w:bottom w:type="dxa" w:w="90"/>
              <w:right w:type="dxa" w:w="140"/>
            </w:tcMar>
          </w:tcPr>
          <w:p>
            <w:pPr>
              <w:spacing w:line="260"/>
            </w:pPr>
            <w:r>
              <w:rPr>
                <w:color w:val="222222"/>
                <w:sz w:val="18"/>
                <w:szCs w:val="18"/>
              </w:rPr>
              <w:t xml:space="preserve">No</w:t>
            </w:r>
          </w:p>
        </w:tc>
        <w:tc>
          <w:tcPr>
            <w:tcW w:type="dxa" w:w="3800"/>
            <w:shd w:fill="FFFFFF" w:val="clear"/>
            <w:tcMar>
              <w:top w:type="dxa" w:w="90"/>
              <w:left w:type="dxa" w:w="140"/>
              <w:bottom w:type="dxa" w:w="90"/>
              <w:right w:type="dxa" w:w="140"/>
            </w:tcMar>
          </w:tcPr>
          <w:p>
            <w:pPr>
              <w:spacing w:line="260"/>
            </w:pPr>
            <w:r>
              <w:rPr>
                <w:color w:val="222222"/>
                <w:sz w:val="18"/>
                <w:szCs w:val="18"/>
              </w:rPr>
              <w:t xml:space="preserve">Best-in-class granular keyword/match-rate analysis — an analyzer, not a writer</w:t>
            </w:r>
          </w:p>
        </w:tc>
      </w:tr>
      <w:tr>
        <w:tc>
          <w:tcPr>
            <w:tcW w:type="dxa" w:w="1900"/>
            <w:shd w:fill="F2F5F3" w:val="clear"/>
            <w:tcMar>
              <w:top w:type="dxa" w:w="90"/>
              <w:left w:type="dxa" w:w="140"/>
              <w:bottom w:type="dxa" w:w="90"/>
              <w:right w:type="dxa" w:w="140"/>
            </w:tcMar>
          </w:tcPr>
          <w:p>
            <w:pPr>
              <w:spacing w:line="260"/>
            </w:pPr>
            <w:r>
              <w:rPr>
                <w:color w:val="222222"/>
                <w:sz w:val="18"/>
                <w:szCs w:val="18"/>
              </w:rPr>
              <w:t xml:space="preserve">Sonara</w:t>
            </w:r>
          </w:p>
        </w:tc>
        <w:tc>
          <w:tcPr>
            <w:tcW w:type="dxa" w:w="2600"/>
            <w:shd w:fill="F2F5F3" w:val="clear"/>
            <w:tcMar>
              <w:top w:type="dxa" w:w="90"/>
              <w:left w:type="dxa" w:w="140"/>
              <w:bottom w:type="dxa" w:w="90"/>
              <w:right w:type="dxa" w:w="140"/>
            </w:tcMar>
          </w:tcPr>
          <w:p>
            <w:pPr>
              <w:spacing w:line="260"/>
            </w:pPr>
            <w:r>
              <w:rPr>
                <w:color w:val="222222"/>
                <w:sz w:val="18"/>
                <w:szCs w:val="18"/>
              </w:rPr>
              <w:t xml:space="preserve">Auto-apply</w:t>
            </w:r>
          </w:p>
        </w:tc>
        <w:tc>
          <w:tcPr>
            <w:tcW w:type="dxa" w:w="2500"/>
            <w:shd w:fill="F2F5F3" w:val="clear"/>
            <w:tcMar>
              <w:top w:type="dxa" w:w="90"/>
              <w:left w:type="dxa" w:w="140"/>
              <w:bottom w:type="dxa" w:w="90"/>
              <w:right w:type="dxa" w:w="140"/>
            </w:tcMar>
          </w:tcPr>
          <w:p>
            <w:pPr>
              <w:spacing w:line="260"/>
            </w:pPr>
            <w:r>
              <w:rPr>
                <w:color w:val="222222"/>
                <w:sz w:val="18"/>
                <w:szCs w:val="18"/>
              </w:rPr>
              <w:t xml:space="preserve">Yes (≈100/wk)</w:t>
            </w:r>
          </w:p>
        </w:tc>
        <w:tc>
          <w:tcPr>
            <w:tcW w:type="dxa" w:w="3800"/>
            <w:shd w:fill="F2F5F3" w:val="clear"/>
            <w:tcMar>
              <w:top w:type="dxa" w:w="90"/>
              <w:left w:type="dxa" w:w="140"/>
              <w:bottom w:type="dxa" w:w="90"/>
              <w:right w:type="dxa" w:w="140"/>
            </w:tcMar>
          </w:tcPr>
          <w:p>
            <w:pPr>
              <w:spacing w:line="260"/>
            </w:pPr>
            <w:r>
              <w:rPr>
                <w:color w:val="222222"/>
                <w:sz w:val="18"/>
                <w:szCs w:val="18"/>
              </w:rPr>
              <w:t xml:space="preserve">Cheap, high-volume, minimal setup</w:t>
            </w:r>
          </w:p>
        </w:tc>
      </w:tr>
      <w:tr>
        <w:tc>
          <w:tcPr>
            <w:tcW w:type="dxa" w:w="1900"/>
            <w:shd w:fill="FFFFFF" w:val="clear"/>
            <w:tcMar>
              <w:top w:type="dxa" w:w="90"/>
              <w:left w:type="dxa" w:w="140"/>
              <w:bottom w:type="dxa" w:w="90"/>
              <w:right w:type="dxa" w:w="140"/>
            </w:tcMar>
          </w:tcPr>
          <w:p>
            <w:pPr>
              <w:spacing w:line="260"/>
            </w:pPr>
            <w:r>
              <w:rPr>
                <w:color w:val="222222"/>
                <w:sz w:val="18"/>
                <w:szCs w:val="18"/>
              </w:rPr>
              <w:t xml:space="preserve">Massive</w:t>
            </w:r>
          </w:p>
        </w:tc>
        <w:tc>
          <w:tcPr>
            <w:tcW w:type="dxa" w:w="2600"/>
            <w:shd w:fill="FFFFFF" w:val="clear"/>
            <w:tcMar>
              <w:top w:type="dxa" w:w="90"/>
              <w:left w:type="dxa" w:w="140"/>
              <w:bottom w:type="dxa" w:w="90"/>
              <w:right w:type="dxa" w:w="140"/>
            </w:tcMar>
          </w:tcPr>
          <w:p>
            <w:pPr>
              <w:spacing w:line="260"/>
            </w:pPr>
            <w:r>
              <w:rPr>
                <w:color w:val="222222"/>
                <w:sz w:val="18"/>
                <w:szCs w:val="18"/>
              </w:rPr>
              <w:t xml:space="preserve">Auto-apply</w:t>
            </w:r>
          </w:p>
        </w:tc>
        <w:tc>
          <w:tcPr>
            <w:tcW w:type="dxa" w:w="2500"/>
            <w:shd w:fill="FFFFFF" w:val="clear"/>
            <w:tcMar>
              <w:top w:type="dxa" w:w="90"/>
              <w:left w:type="dxa" w:w="140"/>
              <w:bottom w:type="dxa" w:w="90"/>
              <w:right w:type="dxa" w:w="140"/>
            </w:tcMar>
          </w:tcPr>
          <w:p>
            <w:pPr>
              <w:spacing w:line="260"/>
            </w:pPr>
            <w:r>
              <w:rPr>
                <w:color w:val="222222"/>
                <w:sz w:val="18"/>
                <w:szCs w:val="18"/>
              </w:rPr>
              <w:t xml:space="preserve">Yes (≈200/mo, shows draft first)</w:t>
            </w:r>
          </w:p>
        </w:tc>
        <w:tc>
          <w:tcPr>
            <w:tcW w:type="dxa" w:w="3800"/>
            <w:shd w:fill="FFFFFF" w:val="clear"/>
            <w:tcMar>
              <w:top w:type="dxa" w:w="90"/>
              <w:left w:type="dxa" w:w="140"/>
              <w:bottom w:type="dxa" w:w="90"/>
              <w:right w:type="dxa" w:w="140"/>
            </w:tcMar>
          </w:tcPr>
          <w:p>
            <w:pPr>
              <w:spacing w:line="260"/>
            </w:pPr>
            <w:r>
              <w:rPr>
                <w:color w:val="222222"/>
                <w:sz w:val="18"/>
                <w:szCs w:val="18"/>
              </w:rPr>
              <w:t xml:space="preserve">Mid-volume, shows what will be sent first</w:t>
            </w:r>
          </w:p>
        </w:tc>
      </w:tr>
      <w:tr>
        <w:tc>
          <w:tcPr>
            <w:tcW w:type="dxa" w:w="1900"/>
            <w:shd w:fill="F2F5F3" w:val="clear"/>
            <w:tcMar>
              <w:top w:type="dxa" w:w="90"/>
              <w:left w:type="dxa" w:w="140"/>
              <w:bottom w:type="dxa" w:w="90"/>
              <w:right w:type="dxa" w:w="140"/>
            </w:tcMar>
          </w:tcPr>
          <w:p>
            <w:pPr>
              <w:spacing w:line="260"/>
            </w:pPr>
            <w:r>
              <w:rPr>
                <w:color w:val="222222"/>
                <w:sz w:val="18"/>
                <w:szCs w:val="18"/>
              </w:rPr>
              <w:t xml:space="preserve">LazyApply</w:t>
            </w:r>
          </w:p>
        </w:tc>
        <w:tc>
          <w:tcPr>
            <w:tcW w:type="dxa" w:w="2600"/>
            <w:shd w:fill="F2F5F3" w:val="clear"/>
            <w:tcMar>
              <w:top w:type="dxa" w:w="90"/>
              <w:left w:type="dxa" w:w="140"/>
              <w:bottom w:type="dxa" w:w="90"/>
              <w:right w:type="dxa" w:w="140"/>
            </w:tcMar>
          </w:tcPr>
          <w:p>
            <w:pPr>
              <w:spacing w:line="260"/>
            </w:pPr>
            <w:r>
              <w:rPr>
                <w:color w:val="222222"/>
                <w:sz w:val="18"/>
                <w:szCs w:val="18"/>
              </w:rPr>
              <w:t xml:space="preserve">Auto-apply</w:t>
            </w:r>
          </w:p>
        </w:tc>
        <w:tc>
          <w:tcPr>
            <w:tcW w:type="dxa" w:w="2500"/>
            <w:shd w:fill="F2F5F3" w:val="clear"/>
            <w:tcMar>
              <w:top w:type="dxa" w:w="90"/>
              <w:left w:type="dxa" w:w="140"/>
              <w:bottom w:type="dxa" w:w="90"/>
              <w:right w:type="dxa" w:w="140"/>
            </w:tcMar>
          </w:tcPr>
          <w:p>
            <w:pPr>
              <w:spacing w:line="260"/>
            </w:pPr>
            <w:r>
              <w:rPr>
                <w:color w:val="222222"/>
                <w:sz w:val="18"/>
                <w:szCs w:val="18"/>
              </w:rPr>
              <w:t xml:space="preserve">Yes (up to 1,500/day, top tier)</w:t>
            </w:r>
          </w:p>
        </w:tc>
        <w:tc>
          <w:tcPr>
            <w:tcW w:type="dxa" w:w="3800"/>
            <w:shd w:fill="F2F5F3" w:val="clear"/>
            <w:tcMar>
              <w:top w:type="dxa" w:w="90"/>
              <w:left w:type="dxa" w:w="140"/>
              <w:bottom w:type="dxa" w:w="90"/>
              <w:right w:type="dxa" w:w="140"/>
            </w:tcMar>
          </w:tcPr>
          <w:p>
            <w:pPr>
              <w:spacing w:line="260"/>
            </w:pPr>
            <w:r>
              <w:rPr>
                <w:color w:val="222222"/>
                <w:sz w:val="18"/>
                <w:szCs w:val="18"/>
              </w:rPr>
              <w:t xml:space="preserve">Cheapest per-application, pure volume</w:t>
            </w:r>
          </w:p>
        </w:tc>
      </w:tr>
    </w:tbl>
    <w:tbl>
      <w:tblPr>
        <w:tblW w:type="dxa" w:w="10800"/>
        <w:tblBorders>
          <w:top w:val="single" w:color="1B3A4B" w:sz="4"/>
          <w:left w:val="single" w:color="1B3A4B" w:sz="24"/>
          <w:bottom w:val="single" w:color="1B3A4B" w:sz="4"/>
          <w:right w:val="single" w:color="1B3A4B" w:sz="4"/>
          <w:insideH w:val="single" w:color="auto" w:sz="4"/>
          <w:insideV w:val="single" w:color="auto" w:sz="4"/>
        </w:tblBorders>
      </w:tblPr>
      <w:tblGrid>
        <w:gridCol w:w="10800"/>
      </w:tblGrid>
      <w:tr>
        <w:tc>
          <w:tcPr>
            <w:tcW w:type="dxa" w:w="10800"/>
            <w:shd w:fill="F2F5F3" w:val="clear"/>
            <w:tcMar>
              <w:top w:type="dxa" w:w="160"/>
              <w:left w:type="dxa" w:w="260"/>
              <w:bottom w:type="dxa" w:w="160"/>
              <w:right w:type="dxa" w:w="260"/>
            </w:tcMar>
          </w:tcPr>
          <w:p>
            <w:pPr>
              <w:spacing w:after="80"/>
            </w:pPr>
            <w:r>
              <w:rPr>
                <w:b/>
                <w:bCs/>
                <w:color w:val="1B3A4B"/>
                <w:sz w:val="21"/>
                <w:szCs w:val="21"/>
              </w:rPr>
              <w:t xml:space="preserve">A structural split worth naming</w:t>
            </w:r>
          </w:p>
          <w:p>
            <w:pPr>
              <w:spacing w:line="290"/>
            </w:pPr>
            <w:r>
              <w:rPr>
                <w:color w:val="333333"/>
                <w:sz w:val="20"/>
                <w:szCs w:val="20"/>
              </w:rPr>
              <w:t xml:space="preserve">The tracker/analyzer group (Teal, Huntr, Simplify, Careerflow, JobScan) already shares Panga's “never auto-submit” trait — that alone is not a Panga differentiator against half this market. It's only a real differentiator against the auto-apply group, where mass-submission is the entire value proposition and the entire ToS / bot-detection risk.</w:t>
            </w:r>
          </w:p>
        </w:tc>
      </w:tr>
    </w:tbl>
    <w:p>
      <w:pPr>
        <w:spacing w:before="160"/>
      </w:pPr>
      <w:r>
        <w:rPr>
          <w:color w:val="222222"/>
          <w:sz w:val="21"/>
          <w:szCs w:val="21"/>
        </w:rPr>
        <w:t xml:space="preserve">Adjacent/substitute competitors: human executive career coaches and outplacement firms ($1,750–$3,500+/month packages, $220–550/hr, or $5,000–15,000+ full engagements — see Section 5, “Pricing Comparison”) are the real competitive set for a senior/executive positioning, not another SaaS tool. This is the crux of the hypothesis tested in Section 6, “Testing the Hypothesis.”</w:t>
      </w:r>
    </w:p>
    <w:p>
      <w:pPr>
        <w:pStyle w:val="Heading1"/>
        <w:spacing w:after="160" w:before="300"/>
      </w:pPr>
      <w:r>
        <w:t xml:space="preserve">3. Feature Comparison Matrix</w:t>
      </w:r>
    </w:p>
    <w:p>
      <w:pPr>
        <w:spacing w:after="160" w:line="300"/>
      </w:pPr>
      <w:r>
        <w:rPr>
          <w:color w:val="222222"/>
          <w:sz w:val="21"/>
          <w:szCs w:val="21"/>
        </w:rPr>
        <w:t xml:space="preserve">Rating scale: Strong — unique / Strong / Adequate / Weak / Absent.</w:t>
      </w:r>
    </w:p>
    <w:p>
      <w:pPr>
        <w:spacing w:after="200" w:before="120"/>
        <w:jc w:val="center"/>
      </w:pPr>
      <w:r>
        <w:drawing>
          <wp:inline distT="0" distB="0" distL="0" distR="0">
            <wp:extent cx="66770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77025" cy="3600450"/>
                    </a:xfrm>
                    <a:prstGeom prst="rect">
                      <a:avLst/>
                    </a:prstGeom>
                  </pic:spPr>
                </pic:pic>
              </a:graphicData>
            </a:graphic>
          </wp:inline>
        </w:drawing>
      </w:r>
    </w:p>
    <w:p>
      <w:pPr>
        <w:spacing w:after="160" w:line="300"/>
      </w:pPr>
      <w:r>
        <w:rPr>
          <w:color w:val="222222"/>
          <w:sz w:val="21"/>
          <w:szCs w:val="21"/>
        </w:rPr>
        <w:t xml:space="preserve">Panga is strongest exactly where none of these competitors compete at all (see Section 4, “What's Genuinely Differentiated vs. What's Table Stakes”), and honestly weaker or merely adequate on the polished, table-stakes parts of the category (tracker UX, keyword-level ATS analysis) that Teal, Huntr, and JobScan have spent years refining. That's not a weakness to hide — it's a scoping signal for what to build vs. what to deliberately not compete on (see Section 8, “Opportunities &amp; Threats,” and the roadmap immediately below).</w:t>
      </w:r>
    </w:p>
    <w:p>
      <w:pPr>
        <w:spacing w:after="160" w:before="40"/>
      </w:pPr>
      <w:r>
        <w:rPr>
          <w:i/>
          <w:iCs/>
          <w:color w:val="5A5A5A"/>
          <w:sz w:val="19"/>
          <w:szCs w:val="19"/>
        </w:rPr>
        <w:t xml:space="preserve">Sources and research method for every claim in this table: Appendix A.</w:t>
      </w:r>
    </w:p>
    <w:p>
      <w:pPr>
        <w:pStyle w:val="Heading1"/>
        <w:spacing w:after="160" w:before="300"/>
      </w:pPr>
      <w:r>
        <w:t xml:space="preserve">4. Differentiated vs. Table Stakes</w:t>
      </w:r>
    </w:p>
    <w:p>
      <w:pPr>
        <w:spacing w:after="100" w:before="100"/>
      </w:pPr>
      <w:r>
        <w:rPr>
          <w:b/>
          <w:bCs/>
          <w:color w:val="222222"/>
          <w:sz w:val="21"/>
          <w:szCs w:val="21"/>
        </w:rPr>
        <w:t xml:space="preserve">Table stakes — competitors already do this adequately-to-well; don't over-invest here before v1 sells:</w:t>
      </w:r>
    </w:p>
    <w:p>
      <w:pPr>
        <w:pStyle w:val="ListParagraph"/>
        <w:numPr>
          <w:ilvl w:val="0"/>
          <w:numId w:val="2"/>
        </w:numPr>
        <w:spacing w:after="90" w:line="280"/>
      </w:pPr>
      <w:r>
        <w:t xml:space="preserve">AI resume/cover-letter drafting generally — Teal, Careerflow, Massive all produce adequate-to-strong output.</w:t>
      </w:r>
    </w:p>
    <w:p>
      <w:pPr>
        <w:pStyle w:val="ListParagraph"/>
        <w:numPr>
          <w:ilvl w:val="0"/>
          <w:numId w:val="2"/>
        </w:numPr>
        <w:spacing w:after="90" w:line="280"/>
      </w:pPr>
      <w:r>
        <w:t xml:space="preserve">Application tracking as a status board — Teal and Huntr are both more polished than Panga's dossier-file approach.</w:t>
      </w:r>
    </w:p>
    <w:p>
      <w:pPr>
        <w:pStyle w:val="ListParagraph"/>
        <w:numPr>
          <w:ilvl w:val="0"/>
          <w:numId w:val="2"/>
        </w:numPr>
        <w:spacing w:after="90" w:line="280"/>
      </w:pPr>
      <w:r>
        <w:t xml:space="preserve">Keyword/ATS match analysis — JobScan is the category leader; Panga's self-assessed LLM score is a reasonable proxy but unvalidated against a real ATS parser.</w:t>
      </w:r>
    </w:p>
    <w:p>
      <w:pPr>
        <w:pStyle w:val="ListParagraph"/>
        <w:numPr>
          <w:ilvl w:val="0"/>
          <w:numId w:val="2"/>
        </w:numPr>
        <w:spacing w:after="90" w:line="280"/>
      </w:pPr>
      <w:r>
        <w:t xml:space="preserve">LinkedIn profile suggestions — Careerflow's dedicated, polished flow is stronger than Panga's manual-PDF-upload version.</w:t>
      </w:r>
    </w:p>
    <w:p>
      <w:pPr>
        <w:spacing w:after="100" w:before="200"/>
      </w:pPr>
      <w:r>
        <w:rPr>
          <w:b/>
          <w:bCs/>
          <w:color w:val="222222"/>
          <w:sz w:val="21"/>
          <w:szCs w:val="21"/>
        </w:rPr>
        <w:t xml:space="preserve">Genuinely differentiated — real, currently unmatched in this competitive set:</w:t>
      </w:r>
    </w:p>
    <w:p>
      <w:pPr>
        <w:pStyle w:val="ListParagraph"/>
        <w:numPr>
          <w:ilvl w:val="0"/>
          <w:numId w:val="2"/>
        </w:numPr>
        <w:spacing w:after="90" w:line="280"/>
      </w:pPr>
      <w:r>
        <w:t xml:space="preserve">Prospector's pre-posting proactive targeting. Nothing reviewed does this — executive-search-firm behavior (find the company before the req exists) implemented in software. Currently pharma-only.</w:t>
      </w:r>
    </w:p>
    <w:p>
      <w:pPr>
        <w:pStyle w:val="ListParagraph"/>
        <w:numPr>
          <w:ilvl w:val="0"/>
          <w:numId w:val="2"/>
        </w:numPr>
        <w:spacing w:after="90" w:line="280"/>
      </w:pPr>
      <w:r>
        <w:t xml:space="preserve">Gap-probing master-profile interview. Closer to what a human resume writer does than any competitor's “upload and parse” flow — also what enables the drafting output's exact-fact-fidelity discipline.</w:t>
      </w:r>
    </w:p>
    <w:p>
      <w:pPr>
        <w:pStyle w:val="ListParagraph"/>
        <w:numPr>
          <w:ilvl w:val="0"/>
          <w:numId w:val="2"/>
        </w:numPr>
        <w:spacing w:after="90" w:line="280"/>
      </w:pPr>
      <w:r>
        <w:t xml:space="preserve">Gmail CTA detection + auto-draft-reply loop. Closes the loop end-to-end inside the candidate's own inbox; no competitor reviewed touches post-application communication at all.</w:t>
      </w:r>
    </w:p>
    <w:p>
      <w:pPr>
        <w:pStyle w:val="ListParagraph"/>
        <w:numPr>
          <w:ilvl w:val="0"/>
          <w:numId w:val="2"/>
        </w:numPr>
        <w:spacing w:after="90" w:line="280"/>
      </w:pPr>
      <w:r>
        <w:t xml:space="preserve">Deliberate non-submission as a designed trust/compliance feature, not just an absent one — real specifically against the auto-apply category.</w:t>
      </w:r>
    </w:p>
    <w:p>
      <w:pPr>
        <w:pStyle w:val="ListParagraph"/>
        <w:numPr>
          <w:ilvl w:val="0"/>
          <w:numId w:val="2"/>
        </w:numPr>
        <w:spacing w:after="90" w:line="280"/>
      </w:pPr>
      <w:r>
        <w:t xml:space="preserve">Local-only data model — still real, still checkable against security/crypto_store.py, still unclaimed by any competitor in this set.</w:t>
      </w:r>
    </w:p>
    <w:p>
      <w:pPr>
        <w:pStyle w:val="Heading1"/>
        <w:spacing w:after="160" w:before="300"/>
      </w:pPr>
      <w:r>
        <w:t xml:space="preserve">4a. Rating-Improvement Roadmap</w:t>
      </w:r>
    </w:p>
    <w:p>
      <w:pPr>
        <w:spacing w:after="160" w:line="300"/>
      </w:pPr>
      <w:r>
        <w:rPr>
          <w:color w:val="222222"/>
          <w:sz w:val="21"/>
          <w:szCs w:val="21"/>
        </w:rPr>
        <w:t xml:space="preserve">The table below turns the ratings in Section 3 into a build roadmap: which specific ratings are being targeted for improvement, and roughly what has to get built to earn the higher rating. Written to hand off directly as backlog scope, not as aspiration.</w:t>
      </w:r>
    </w:p>
    <w:tbl>
      <w:tblPr>
        <w:tblW w:type="dxa" w:w="108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700"/>
        <w:gridCol w:w="5500"/>
      </w:tblGrid>
      <w:tr>
        <w:trPr>
          <w:tblHeader/>
        </w:trPr>
        <w:tc>
          <w:tcPr>
            <w:tcW w:type="dxa" w:w="2600"/>
            <w:shd w:fill="1B3A4B" w:val="clear"/>
            <w:tcMar>
              <w:top w:type="dxa" w:w="100"/>
              <w:left w:type="dxa" w:w="140"/>
              <w:bottom w:type="dxa" w:w="100"/>
              <w:right w:type="dxa" w:w="140"/>
            </w:tcMar>
          </w:tcPr>
          <w:p>
            <w:r>
              <w:rPr>
                <w:b/>
                <w:bCs/>
                <w:color w:val="FFFFFF"/>
                <w:sz w:val="19"/>
                <w:szCs w:val="19"/>
              </w:rPr>
              <w:t xml:space="preserve">Capability</w:t>
            </w:r>
          </w:p>
        </w:tc>
        <w:tc>
          <w:tcPr>
            <w:tcW w:type="dxa" w:w="2700"/>
            <w:shd w:fill="1B3A4B" w:val="clear"/>
            <w:tcMar>
              <w:top w:type="dxa" w:w="100"/>
              <w:left w:type="dxa" w:w="140"/>
              <w:bottom w:type="dxa" w:w="100"/>
              <w:right w:type="dxa" w:w="140"/>
            </w:tcMar>
          </w:tcPr>
          <w:p>
            <w:r>
              <w:rPr>
                <w:b/>
                <w:bCs/>
                <w:color w:val="FFFFFF"/>
                <w:sz w:val="19"/>
                <w:szCs w:val="19"/>
              </w:rPr>
              <w:t xml:space="preserve">Current → Target</w:t>
            </w:r>
          </w:p>
        </w:tc>
        <w:tc>
          <w:tcPr>
            <w:tcW w:type="dxa" w:w="5500"/>
            <w:shd w:fill="1B3A4B" w:val="clear"/>
            <w:tcMar>
              <w:top w:type="dxa" w:w="100"/>
              <w:left w:type="dxa" w:w="140"/>
              <w:bottom w:type="dxa" w:w="100"/>
              <w:right w:type="dxa" w:w="140"/>
            </w:tcMar>
          </w:tcPr>
          <w:p>
            <w:r>
              <w:rPr>
                <w:b/>
                <w:bCs/>
                <w:color w:val="FFFFFF"/>
                <w:sz w:val="19"/>
                <w:szCs w:val="19"/>
              </w:rPr>
              <w:t xml:space="preserve">What needs to be built</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Application tracker UX</w:t>
            </w:r>
          </w:p>
        </w:tc>
        <w:tc>
          <w:tcPr>
            <w:tcW w:type="dxa" w:w="2700"/>
            <w:shd w:fill="FFFFFF" w:val="clear"/>
            <w:tcMar>
              <w:top w:type="dxa" w:w="90"/>
              <w:left w:type="dxa" w:w="140"/>
              <w:bottom w:type="dxa" w:w="90"/>
              <w:right w:type="dxa" w:w="140"/>
            </w:tcMar>
          </w:tcPr>
          <w:p>
            <w:pPr>
              <w:spacing w:line="260"/>
            </w:pPr>
            <w:r>
              <w:rPr>
                <w:color w:val="222222"/>
                <w:sz w:val="18"/>
                <w:szCs w:val="18"/>
              </w:rPr>
              <w:t xml:space="preserve">Adequate → Strong</w:t>
            </w:r>
          </w:p>
        </w:tc>
        <w:tc>
          <w:tcPr>
            <w:tcW w:type="dxa" w:w="5500"/>
            <w:shd w:fill="FFFFFF" w:val="clear"/>
            <w:tcMar>
              <w:top w:type="dxa" w:w="90"/>
              <w:left w:type="dxa" w:w="140"/>
              <w:bottom w:type="dxa" w:w="90"/>
              <w:right w:type="dxa" w:w="140"/>
            </w:tcMar>
          </w:tcPr>
          <w:p>
            <w:pPr>
              <w:spacing w:line="260"/>
            </w:pPr>
            <w:r>
              <w:rPr>
                <w:color w:val="222222"/>
                <w:sz w:val="18"/>
                <w:szCs w:val="18"/>
              </w:rPr>
              <w:t xml:space="preserve">A real visual status board (Kanban-style, matching Huntr/Teal's pattern) as an additional view over the existing applications.py data — status columns, one-click stage changes, at-a-glance filtering/sorting. The underlying data model doesn't need to change; this is a UI-layer addition, not a rearchitecture.</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LinkedIn profile optimization</w:t>
            </w:r>
          </w:p>
        </w:tc>
        <w:tc>
          <w:tcPr>
            <w:tcW w:type="dxa" w:w="2700"/>
            <w:shd w:fill="F2F5F3" w:val="clear"/>
            <w:tcMar>
              <w:top w:type="dxa" w:w="90"/>
              <w:left w:type="dxa" w:w="140"/>
              <w:bottom w:type="dxa" w:w="90"/>
              <w:right w:type="dxa" w:w="140"/>
            </w:tcMar>
          </w:tcPr>
          <w:p>
            <w:pPr>
              <w:spacing w:line="260"/>
            </w:pPr>
            <w:r>
              <w:rPr>
                <w:color w:val="222222"/>
                <w:sz w:val="18"/>
                <w:szCs w:val="18"/>
              </w:rPr>
              <w:t xml:space="preserve">Adequate → Strong</w:t>
            </w:r>
          </w:p>
        </w:tc>
        <w:tc>
          <w:tcPr>
            <w:tcW w:type="dxa" w:w="5500"/>
            <w:shd w:fill="F2F5F3" w:val="clear"/>
            <w:tcMar>
              <w:top w:type="dxa" w:w="90"/>
              <w:left w:type="dxa" w:w="140"/>
              <w:bottom w:type="dxa" w:w="90"/>
              <w:right w:type="dxa" w:w="140"/>
            </w:tcMar>
          </w:tcPr>
          <w:p>
            <w:pPr>
              <w:spacing w:line="260"/>
            </w:pPr>
            <w:r>
              <w:rPr>
                <w:color w:val="222222"/>
                <w:sz w:val="18"/>
                <w:szCs w:val="18"/>
              </w:rPr>
              <w:t xml:space="preserve">Close the polish gap with Careerflow without abandoning the deliberate no-scraping/no-login ToS-safety stance: a more guided intake flow (auto-detection of a re-exported PDF so re-analysis is one click), and a persistent before/after view so accepted suggestions are visibly tracked over time.</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Multi-tenant readiness</w:t>
            </w:r>
          </w:p>
        </w:tc>
        <w:tc>
          <w:tcPr>
            <w:tcW w:type="dxa" w:w="2700"/>
            <w:shd w:fill="FFFFFF" w:val="clear"/>
            <w:tcMar>
              <w:top w:type="dxa" w:w="90"/>
              <w:left w:type="dxa" w:w="140"/>
              <w:bottom w:type="dxa" w:w="90"/>
              <w:right w:type="dxa" w:w="140"/>
            </w:tcMar>
          </w:tcPr>
          <w:p>
            <w:pPr>
              <w:spacing w:line="260"/>
            </w:pPr>
            <w:r>
              <w:rPr>
                <w:color w:val="222222"/>
                <w:sz w:val="18"/>
                <w:szCs w:val="18"/>
              </w:rPr>
              <w:t xml:space="preserve">Absent → Adequate (the realistic v1 bar; Strong comes later)</w:t>
            </w:r>
          </w:p>
        </w:tc>
        <w:tc>
          <w:tcPr>
            <w:tcW w:type="dxa" w:w="5500"/>
            <w:shd w:fill="FFFFFF" w:val="clear"/>
            <w:tcMar>
              <w:top w:type="dxa" w:w="90"/>
              <w:left w:type="dxa" w:w="140"/>
              <w:bottom w:type="dxa" w:w="90"/>
              <w:right w:type="dxa" w:w="140"/>
            </w:tcMar>
          </w:tcPr>
          <w:p>
            <w:pPr>
              <w:spacing w:line="260"/>
            </w:pPr>
            <w:r>
              <w:rPr>
                <w:color w:val="222222"/>
                <w:sz w:val="18"/>
                <w:szCs w:val="18"/>
              </w:rPr>
              <w:t xml:space="preserve">The single largest item on this roadmap, already scoped in Section 9 and PRD §13: replace the MCP-connector dependency for Gmail with a direct API integration, finish and test licensing/billing, and validate the fresh-install/onboarding path with someone who isn't Zahir. Don't jump straight to matching mature SaaS incumbents' polish — honestly-scoped Adequate is the right first target.</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ATS self-score credibility</w:t>
            </w:r>
          </w:p>
        </w:tc>
        <w:tc>
          <w:tcPr>
            <w:tcW w:type="dxa" w:w="2700"/>
            <w:shd w:fill="F2F5F3" w:val="clear"/>
            <w:tcMar>
              <w:top w:type="dxa" w:w="90"/>
              <w:left w:type="dxa" w:w="140"/>
              <w:bottom w:type="dxa" w:w="90"/>
              <w:right w:type="dxa" w:w="140"/>
            </w:tcMar>
          </w:tcPr>
          <w:p>
            <w:pPr>
              <w:spacing w:line="260"/>
            </w:pPr>
            <w:r>
              <w:rPr>
                <w:color w:val="222222"/>
                <w:sz w:val="18"/>
                <w:szCs w:val="18"/>
              </w:rPr>
              <w:t xml:space="preserve">Strong (self-assessed) → Strong (independently validated)</w:t>
            </w:r>
          </w:p>
        </w:tc>
        <w:tc>
          <w:tcPr>
            <w:tcW w:type="dxa" w:w="5500"/>
            <w:shd w:fill="F2F5F3" w:val="clear"/>
            <w:tcMar>
              <w:top w:type="dxa" w:w="90"/>
              <w:left w:type="dxa" w:w="140"/>
              <w:bottom w:type="dxa" w:w="90"/>
              <w:right w:type="dxa" w:w="140"/>
            </w:tcMar>
          </w:tcPr>
          <w:p>
            <w:pPr>
              <w:spacing w:line="260"/>
            </w:pPr>
            <w:r>
              <w:rPr>
                <w:color w:val="222222"/>
                <w:sz w:val="18"/>
                <w:szCs w:val="18"/>
              </w:rPr>
              <w:t xml:space="preserve">A credibility upgrade, not a rating-tier change: benchmark Panga's self-assessed ATS score against a real third-party ATS-parsing signal on a sample of real resumes, and disclose the correlation. Removes the one caveat sales conversations currently have to hedge.</w:t>
            </w:r>
          </w:p>
        </w:tc>
      </w:tr>
    </w:tbl>
    <w:p>
      <w:pPr>
        <w:pStyle w:val="Heading1"/>
        <w:spacing w:after="160" w:before="300"/>
      </w:pPr>
      <w:r>
        <w:t xml:space="preserve">4b. Overall Competitive Score &amp; Improvement Target</w:t>
      </w:r>
    </w:p>
    <w:p>
      <w:pPr>
        <w:spacing w:after="160" w:line="300"/>
      </w:pPr>
      <w:r>
        <w:rPr>
          <w:color w:val="222222"/>
          <w:sz w:val="21"/>
          <w:szCs w:val="21"/>
        </w:rPr>
        <w:t xml:space="preserve">Zahir asked for a quantified overall score and a concrete 30% improvement target. Both are worked through below — methodology fully disclosed, honest answer given plainly rather than padded to hit a number, per the standard the rest of this brief holds itself to (Section 11, Appendix A).</w:t>
      </w:r>
    </w:p>
    <w:p>
      <w:pPr>
        <w:spacing w:after="160" w:line="300"/>
      </w:pPr>
      <w:r>
        <w:rPr>
          <w:color w:val="222222"/>
          <w:sz w:val="21"/>
          <w:szCs w:val="21"/>
        </w:rPr>
        <w:t xml:space="preserve">Methodology: each of Section 3's 11 capability rows is scored for Panga only, on a 0–4 scale — Absent=0, Weak=1, Adequate=2, Strong=3, Strong—unique=4 — and summed to a single number. A simple convention built for this brief, not an industry-standard scoring system; its value is tracking whether Panga's own score moves over time, not a precise cross-product ranking.</w:t>
      </w:r>
    </w:p>
    <w:tbl>
      <w:tblPr>
        <w:tblW w:type="dxa" w:w="10800"/>
        <w:tblBorders>
          <w:top w:val="single" w:color="1B3A4B" w:sz="4"/>
          <w:left w:val="single" w:color="1B3A4B" w:sz="24"/>
          <w:bottom w:val="single" w:color="1B3A4B" w:sz="4"/>
          <w:right w:val="single" w:color="1B3A4B" w:sz="4"/>
          <w:insideH w:val="single" w:color="auto" w:sz="4"/>
          <w:insideV w:val="single" w:color="auto" w:sz="4"/>
        </w:tblBorders>
      </w:tblPr>
      <w:tblGrid>
        <w:gridCol w:w="10800"/>
      </w:tblGrid>
      <w:tr>
        <w:tc>
          <w:tcPr>
            <w:tcW w:type="dxa" w:w="10800"/>
            <w:shd w:fill="F2F5F3" w:val="clear"/>
            <w:tcMar>
              <w:top w:type="dxa" w:w="160"/>
              <w:left w:type="dxa" w:w="260"/>
              <w:bottom w:type="dxa" w:w="160"/>
              <w:right w:type="dxa" w:w="260"/>
            </w:tcMar>
          </w:tcPr>
          <w:p>
            <w:pPr>
              <w:spacing w:after="80"/>
            </w:pPr>
            <w:r>
              <w:rPr>
                <w:b/>
                <w:bCs/>
                <w:color w:val="1B3A4B"/>
                <w:sz w:val="21"/>
                <w:szCs w:val="21"/>
              </w:rPr>
              <w:t xml:space="preserve">Baseline, 2026-08-01</w:t>
            </w:r>
          </w:p>
          <w:p>
            <w:pPr>
              <w:spacing w:line="290"/>
            </w:pPr>
            <w:r>
              <w:rPr>
                <w:color w:val="333333"/>
                <w:sz w:val="20"/>
                <w:szCs w:val="20"/>
              </w:rPr>
              <w:t xml:space="preserve">29 out of a possible 44 (65.9%) — or 29 out of 40 (72.5%) with the “Auto-submission” row excluded from the denominator (rationale below). This baseline reflects a labeling correction: Section 3's matrix originally left “Deep candidate profile” as plain “Strong” (3) rather than “Strong — unique” (4), inconsistent with the other three rows bolded “unique” for the identical condition (no competitor rated above Weak). Fixed here — the baseline moves from 28 to 29, a consistency fix, not new work.</w:t>
            </w:r>
          </w:p>
        </w:tc>
      </w:tr>
    </w:tbl>
    <w:tbl>
      <w:tblPr>
        <w:tblW w:type="dxa" w:w="10800"/>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3400"/>
        <w:gridCol w:w="1200"/>
        <w:gridCol w:w="5700"/>
      </w:tblGrid>
      <w:tr>
        <w:trPr>
          <w:tblHeader/>
        </w:trPr>
        <w:tc>
          <w:tcPr>
            <w:tcW w:type="dxa" w:w="500"/>
            <w:shd w:fill="1B3A4B" w:val="clear"/>
            <w:tcMar>
              <w:top w:type="dxa" w:w="100"/>
              <w:left w:type="dxa" w:w="140"/>
              <w:bottom w:type="dxa" w:w="100"/>
              <w:right w:type="dxa" w:w="140"/>
            </w:tcMar>
          </w:tcPr>
          <w:p>
            <w:r>
              <w:rPr>
                <w:b/>
                <w:bCs/>
                <w:color w:val="FFFFFF"/>
                <w:sz w:val="19"/>
                <w:szCs w:val="19"/>
              </w:rPr>
              <w:t xml:space="preserve">#</w:t>
            </w:r>
          </w:p>
        </w:tc>
        <w:tc>
          <w:tcPr>
            <w:tcW w:type="dxa" w:w="3400"/>
            <w:shd w:fill="1B3A4B" w:val="clear"/>
            <w:tcMar>
              <w:top w:type="dxa" w:w="100"/>
              <w:left w:type="dxa" w:w="140"/>
              <w:bottom w:type="dxa" w:w="100"/>
              <w:right w:type="dxa" w:w="140"/>
            </w:tcMar>
          </w:tcPr>
          <w:p>
            <w:r>
              <w:rPr>
                <w:b/>
                <w:bCs/>
                <w:color w:val="FFFFFF"/>
                <w:sz w:val="19"/>
                <w:szCs w:val="19"/>
              </w:rPr>
              <w:t xml:space="preserve">Capability</w:t>
            </w:r>
          </w:p>
        </w:tc>
        <w:tc>
          <w:tcPr>
            <w:tcW w:type="dxa" w:w="1200"/>
            <w:shd w:fill="1B3A4B" w:val="clear"/>
            <w:tcMar>
              <w:top w:type="dxa" w:w="100"/>
              <w:left w:type="dxa" w:w="140"/>
              <w:bottom w:type="dxa" w:w="100"/>
              <w:right w:type="dxa" w:w="140"/>
            </w:tcMar>
          </w:tcPr>
          <w:p>
            <w:r>
              <w:rPr>
                <w:b/>
                <w:bCs/>
                <w:color w:val="FFFFFF"/>
                <w:sz w:val="19"/>
                <w:szCs w:val="19"/>
              </w:rPr>
              <w:t xml:space="preserve">Score</w:t>
            </w:r>
          </w:p>
        </w:tc>
        <w:tc>
          <w:tcPr>
            <w:tcW w:type="dxa" w:w="5700"/>
            <w:shd w:fill="1B3A4B" w:val="clear"/>
            <w:tcMar>
              <w:top w:type="dxa" w:w="100"/>
              <w:left w:type="dxa" w:w="140"/>
              <w:bottom w:type="dxa" w:w="100"/>
              <w:right w:type="dxa" w:w="140"/>
            </w:tcMar>
          </w:tcPr>
          <w:p>
            <w:r>
              <w:rPr>
                <w:b/>
                <w:bCs/>
                <w:color w:val="FFFFFF"/>
                <w:sz w:val="19"/>
                <w:szCs w:val="19"/>
              </w:rPr>
              <w:t xml:space="preserve">Note</w:t>
            </w:r>
          </w:p>
        </w:tc>
      </w:tr>
      <w:tr>
        <w:tc>
          <w:tcPr>
            <w:tcW w:type="dxa" w:w="500"/>
            <w:shd w:fill="FFFFFF" w:val="clear"/>
            <w:tcMar>
              <w:top w:type="dxa" w:w="90"/>
              <w:left w:type="dxa" w:w="140"/>
              <w:bottom w:type="dxa" w:w="90"/>
              <w:right w:type="dxa" w:w="140"/>
            </w:tcMar>
          </w:tcPr>
          <w:p>
            <w:pPr>
              <w:spacing w:line="260"/>
            </w:pPr>
            <w:r>
              <w:rPr>
                <w:color w:val="222222"/>
                <w:sz w:val="18"/>
                <w:szCs w:val="18"/>
              </w:rPr>
              <w:t xml:space="preserve">1</w:t>
            </w:r>
          </w:p>
        </w:tc>
        <w:tc>
          <w:tcPr>
            <w:tcW w:type="dxa" w:w="3400"/>
            <w:shd w:fill="FFFFFF" w:val="clear"/>
            <w:tcMar>
              <w:top w:type="dxa" w:w="90"/>
              <w:left w:type="dxa" w:w="140"/>
              <w:bottom w:type="dxa" w:w="90"/>
              <w:right w:type="dxa" w:w="140"/>
            </w:tcMar>
          </w:tcPr>
          <w:p>
            <w:pPr>
              <w:spacing w:line="260"/>
            </w:pPr>
            <w:r>
              <w:rPr>
                <w:color w:val="222222"/>
                <w:sz w:val="18"/>
                <w:szCs w:val="18"/>
              </w:rPr>
              <w:t xml:space="preserve">Job discovery breadth</w:t>
            </w:r>
          </w:p>
        </w:tc>
        <w:tc>
          <w:tcPr>
            <w:tcW w:type="dxa" w:w="1200"/>
            <w:shd w:fill="FFFFFF" w:val="clear"/>
            <w:tcMar>
              <w:top w:type="dxa" w:w="90"/>
              <w:left w:type="dxa" w:w="140"/>
              <w:bottom w:type="dxa" w:w="90"/>
              <w:right w:type="dxa" w:w="140"/>
            </w:tcMar>
          </w:tcPr>
          <w:p>
            <w:pPr>
              <w:spacing w:line="260"/>
            </w:pPr>
            <w:r>
              <w:rPr>
                <w:color w:val="222222"/>
                <w:sz w:val="18"/>
                <w:szCs w:val="18"/>
              </w:rPr>
              <w:t xml:space="preserve">3</w:t>
            </w:r>
          </w:p>
        </w:tc>
        <w:tc>
          <w:tcPr>
            <w:tcW w:type="dxa" w:w="5700"/>
            <w:shd w:fill="FFFFFF" w:val="clear"/>
            <w:tcMar>
              <w:top w:type="dxa" w:w="90"/>
              <w:left w:type="dxa" w:w="140"/>
              <w:bottom w:type="dxa" w:w="90"/>
              <w:right w:type="dxa" w:w="140"/>
            </w:tcMar>
          </w:tcPr>
          <w:p>
            <w:pPr>
              <w:spacing w:line="260"/>
            </w:pPr>
            <w:r>
              <w:rPr>
                <w:color w:val="222222"/>
                <w:sz w:val="18"/>
                <w:szCs w:val="18"/>
              </w:rPr>
              <w:t xml:space="preserve">Real headroom may exist — see below — but isn't earned yet</w:t>
            </w:r>
          </w:p>
        </w:tc>
      </w:tr>
      <w:tr>
        <w:tc>
          <w:tcPr>
            <w:tcW w:type="dxa" w:w="500"/>
            <w:shd w:fill="F2F5F3" w:val="clear"/>
            <w:tcMar>
              <w:top w:type="dxa" w:w="90"/>
              <w:left w:type="dxa" w:w="140"/>
              <w:bottom w:type="dxa" w:w="90"/>
              <w:right w:type="dxa" w:w="140"/>
            </w:tcMar>
          </w:tcPr>
          <w:p>
            <w:pPr>
              <w:spacing w:line="260"/>
            </w:pPr>
            <w:r>
              <w:rPr>
                <w:color w:val="222222"/>
                <w:sz w:val="18"/>
                <w:szCs w:val="18"/>
              </w:rPr>
              <w:t xml:space="preserve">2</w:t>
            </w:r>
          </w:p>
        </w:tc>
        <w:tc>
          <w:tcPr>
            <w:tcW w:type="dxa" w:w="3400"/>
            <w:shd w:fill="F2F5F3" w:val="clear"/>
            <w:tcMar>
              <w:top w:type="dxa" w:w="90"/>
              <w:left w:type="dxa" w:w="140"/>
              <w:bottom w:type="dxa" w:w="90"/>
              <w:right w:type="dxa" w:w="140"/>
            </w:tcMar>
          </w:tcPr>
          <w:p>
            <w:pPr>
              <w:spacing w:line="260"/>
            </w:pPr>
            <w:r>
              <w:rPr>
                <w:color w:val="222222"/>
                <w:sz w:val="18"/>
                <w:szCs w:val="18"/>
              </w:rPr>
              <w:t xml:space="preserve">Deep candidate profile</w:t>
            </w:r>
          </w:p>
        </w:tc>
        <w:tc>
          <w:tcPr>
            <w:tcW w:type="dxa" w:w="1200"/>
            <w:shd w:fill="F2F5F3" w:val="clear"/>
            <w:tcMar>
              <w:top w:type="dxa" w:w="90"/>
              <w:left w:type="dxa" w:w="140"/>
              <w:bottom w:type="dxa" w:w="90"/>
              <w:right w:type="dxa" w:w="140"/>
            </w:tcMar>
          </w:tcPr>
          <w:p>
            <w:pPr>
              <w:spacing w:line="260"/>
            </w:pPr>
            <w:r>
              <w:rPr>
                <w:color w:val="222222"/>
                <w:sz w:val="18"/>
                <w:szCs w:val="18"/>
              </w:rPr>
              <w:t xml:space="preserve">4</w:t>
            </w:r>
          </w:p>
        </w:tc>
        <w:tc>
          <w:tcPr>
            <w:tcW w:type="dxa" w:w="5700"/>
            <w:shd w:fill="F2F5F3" w:val="clear"/>
            <w:tcMar>
              <w:top w:type="dxa" w:w="90"/>
              <w:left w:type="dxa" w:w="140"/>
              <w:bottom w:type="dxa" w:w="90"/>
              <w:right w:type="dxa" w:w="140"/>
            </w:tcMar>
          </w:tcPr>
          <w:p>
            <w:pPr>
              <w:spacing w:line="260"/>
            </w:pPr>
            <w:r>
              <w:rPr>
                <w:color w:val="222222"/>
                <w:sz w:val="18"/>
                <w:szCs w:val="18"/>
              </w:rPr>
              <w:t xml:space="preserve">Maxed (corrected label, see Section 3)</w:t>
            </w:r>
          </w:p>
        </w:tc>
      </w:tr>
      <w:tr>
        <w:tc>
          <w:tcPr>
            <w:tcW w:type="dxa" w:w="500"/>
            <w:shd w:fill="FFFFFF" w:val="clear"/>
            <w:tcMar>
              <w:top w:type="dxa" w:w="90"/>
              <w:left w:type="dxa" w:w="140"/>
              <w:bottom w:type="dxa" w:w="90"/>
              <w:right w:type="dxa" w:w="140"/>
            </w:tcMar>
          </w:tcPr>
          <w:p>
            <w:pPr>
              <w:spacing w:line="260"/>
            </w:pPr>
            <w:r>
              <w:rPr>
                <w:color w:val="222222"/>
                <w:sz w:val="18"/>
                <w:szCs w:val="18"/>
              </w:rPr>
              <w:t xml:space="preserve">3</w:t>
            </w:r>
          </w:p>
        </w:tc>
        <w:tc>
          <w:tcPr>
            <w:tcW w:type="dxa" w:w="3400"/>
            <w:shd w:fill="FFFFFF" w:val="clear"/>
            <w:tcMar>
              <w:top w:type="dxa" w:w="90"/>
              <w:left w:type="dxa" w:w="140"/>
              <w:bottom w:type="dxa" w:w="90"/>
              <w:right w:type="dxa" w:w="140"/>
            </w:tcMar>
          </w:tcPr>
          <w:p>
            <w:pPr>
              <w:spacing w:line="260"/>
            </w:pPr>
            <w:r>
              <w:rPr>
                <w:color w:val="222222"/>
                <w:sz w:val="18"/>
                <w:szCs w:val="18"/>
              </w:rPr>
              <w:t xml:space="preserve">Fit scoring with rationale</w:t>
            </w:r>
          </w:p>
        </w:tc>
        <w:tc>
          <w:tcPr>
            <w:tcW w:type="dxa" w:w="1200"/>
            <w:shd w:fill="FFFFFF" w:val="clear"/>
            <w:tcMar>
              <w:top w:type="dxa" w:w="90"/>
              <w:left w:type="dxa" w:w="140"/>
              <w:bottom w:type="dxa" w:w="90"/>
              <w:right w:type="dxa" w:w="140"/>
            </w:tcMar>
          </w:tcPr>
          <w:p>
            <w:pPr>
              <w:spacing w:line="260"/>
            </w:pPr>
            <w:r>
              <w:rPr>
                <w:color w:val="222222"/>
                <w:sz w:val="18"/>
                <w:szCs w:val="18"/>
              </w:rPr>
              <w:t xml:space="preserve">3</w:t>
            </w:r>
          </w:p>
        </w:tc>
        <w:tc>
          <w:tcPr>
            <w:tcW w:type="dxa" w:w="5700"/>
            <w:shd w:fill="FFFFFF" w:val="clear"/>
            <w:tcMar>
              <w:top w:type="dxa" w:w="90"/>
              <w:left w:type="dxa" w:w="140"/>
              <w:bottom w:type="dxa" w:w="90"/>
              <w:right w:type="dxa" w:w="140"/>
            </w:tcMar>
          </w:tcPr>
          <w:p>
            <w:pPr>
              <w:spacing w:line="260"/>
            </w:pPr>
            <w:r>
              <w:rPr>
                <w:color w:val="222222"/>
                <w:sz w:val="18"/>
                <w:szCs w:val="18"/>
              </w:rPr>
              <w:t xml:space="preserve">Cannot honestly move to 4 today — see below</w:t>
            </w:r>
          </w:p>
        </w:tc>
      </w:tr>
      <w:tr>
        <w:tc>
          <w:tcPr>
            <w:tcW w:type="dxa" w:w="500"/>
            <w:shd w:fill="F2F5F3" w:val="clear"/>
            <w:tcMar>
              <w:top w:type="dxa" w:w="90"/>
              <w:left w:type="dxa" w:w="140"/>
              <w:bottom w:type="dxa" w:w="90"/>
              <w:right w:type="dxa" w:w="140"/>
            </w:tcMar>
          </w:tcPr>
          <w:p>
            <w:pPr>
              <w:spacing w:line="260"/>
            </w:pPr>
            <w:r>
              <w:rPr>
                <w:color w:val="222222"/>
                <w:sz w:val="18"/>
                <w:szCs w:val="18"/>
              </w:rPr>
              <w:t xml:space="preserve">4</w:t>
            </w:r>
          </w:p>
        </w:tc>
        <w:tc>
          <w:tcPr>
            <w:tcW w:type="dxa" w:w="3400"/>
            <w:shd w:fill="F2F5F3" w:val="clear"/>
            <w:tcMar>
              <w:top w:type="dxa" w:w="90"/>
              <w:left w:type="dxa" w:w="140"/>
              <w:bottom w:type="dxa" w:w="90"/>
              <w:right w:type="dxa" w:w="140"/>
            </w:tcMar>
          </w:tcPr>
          <w:p>
            <w:pPr>
              <w:spacing w:line="260"/>
            </w:pPr>
            <w:r>
              <w:rPr>
                <w:color w:val="222222"/>
                <w:sz w:val="18"/>
                <w:szCs w:val="18"/>
              </w:rPr>
              <w:t xml:space="preserve">AI drafting quality</w:t>
            </w:r>
          </w:p>
        </w:tc>
        <w:tc>
          <w:tcPr>
            <w:tcW w:type="dxa" w:w="1200"/>
            <w:shd w:fill="F2F5F3" w:val="clear"/>
            <w:tcMar>
              <w:top w:type="dxa" w:w="90"/>
              <w:left w:type="dxa" w:w="140"/>
              <w:bottom w:type="dxa" w:w="90"/>
              <w:right w:type="dxa" w:w="140"/>
            </w:tcMar>
          </w:tcPr>
          <w:p>
            <w:pPr>
              <w:spacing w:line="260"/>
            </w:pPr>
            <w:r>
              <w:rPr>
                <w:color w:val="222222"/>
                <w:sz w:val="18"/>
                <w:szCs w:val="18"/>
              </w:rPr>
              <w:t xml:space="preserve">3</w:t>
            </w:r>
          </w:p>
        </w:tc>
        <w:tc>
          <w:tcPr>
            <w:tcW w:type="dxa" w:w="5700"/>
            <w:shd w:fill="F2F5F3" w:val="clear"/>
            <w:tcMar>
              <w:top w:type="dxa" w:w="90"/>
              <w:left w:type="dxa" w:w="140"/>
              <w:bottom w:type="dxa" w:w="90"/>
              <w:right w:type="dxa" w:w="140"/>
            </w:tcMar>
          </w:tcPr>
          <w:p>
            <w:pPr>
              <w:spacing w:line="260"/>
            </w:pPr>
            <w:r>
              <w:rPr>
                <w:color w:val="222222"/>
                <w:sz w:val="18"/>
                <w:szCs w:val="18"/>
              </w:rPr>
              <w:t xml:space="preserve">Teal/Huntr/Careerflow also rated Strong — no headroom without new capability</w:t>
            </w:r>
          </w:p>
        </w:tc>
      </w:tr>
      <w:tr>
        <w:tc>
          <w:tcPr>
            <w:tcW w:type="dxa" w:w="500"/>
            <w:shd w:fill="FFFFFF" w:val="clear"/>
            <w:tcMar>
              <w:top w:type="dxa" w:w="90"/>
              <w:left w:type="dxa" w:w="140"/>
              <w:bottom w:type="dxa" w:w="90"/>
              <w:right w:type="dxa" w:w="140"/>
            </w:tcMar>
          </w:tcPr>
          <w:p>
            <w:pPr>
              <w:spacing w:line="260"/>
            </w:pPr>
            <w:r>
              <w:rPr>
                <w:color w:val="222222"/>
                <w:sz w:val="18"/>
                <w:szCs w:val="18"/>
              </w:rPr>
              <w:t xml:space="preserve">5</w:t>
            </w:r>
          </w:p>
        </w:tc>
        <w:tc>
          <w:tcPr>
            <w:tcW w:type="dxa" w:w="3400"/>
            <w:shd w:fill="FFFFFF" w:val="clear"/>
            <w:tcMar>
              <w:top w:type="dxa" w:w="90"/>
              <w:left w:type="dxa" w:w="140"/>
              <w:bottom w:type="dxa" w:w="90"/>
              <w:right w:type="dxa" w:w="140"/>
            </w:tcMar>
          </w:tcPr>
          <w:p>
            <w:pPr>
              <w:spacing w:line="260"/>
            </w:pPr>
            <w:r>
              <w:rPr>
                <w:color w:val="222222"/>
                <w:sz w:val="18"/>
                <w:szCs w:val="18"/>
              </w:rPr>
              <w:t xml:space="preserve">Application tracker UX</w:t>
            </w:r>
          </w:p>
        </w:tc>
        <w:tc>
          <w:tcPr>
            <w:tcW w:type="dxa" w:w="1200"/>
            <w:shd w:fill="FFFFFF" w:val="clear"/>
            <w:tcMar>
              <w:top w:type="dxa" w:w="90"/>
              <w:left w:type="dxa" w:w="140"/>
              <w:bottom w:type="dxa" w:w="90"/>
              <w:right w:type="dxa" w:w="140"/>
            </w:tcMar>
          </w:tcPr>
          <w:p>
            <w:pPr>
              <w:spacing w:line="260"/>
            </w:pPr>
            <w:r>
              <w:rPr>
                <w:color w:val="222222"/>
                <w:sz w:val="18"/>
                <w:szCs w:val="18"/>
              </w:rPr>
              <w:t xml:space="preserve">2</w:t>
            </w:r>
          </w:p>
        </w:tc>
        <w:tc>
          <w:tcPr>
            <w:tcW w:type="dxa" w:w="5700"/>
            <w:shd w:fill="FFFFFF" w:val="clear"/>
            <w:tcMar>
              <w:top w:type="dxa" w:w="90"/>
              <w:left w:type="dxa" w:w="140"/>
              <w:bottom w:type="dxa" w:w="90"/>
              <w:right w:type="dxa" w:w="140"/>
            </w:tcMar>
          </w:tcPr>
          <w:p>
            <w:pPr>
              <w:spacing w:line="260"/>
            </w:pPr>
            <w:r>
              <w:rPr>
                <w:color w:val="222222"/>
                <w:sz w:val="18"/>
                <w:szCs w:val="18"/>
              </w:rPr>
              <w:t xml:space="preserve">Scoped to 3 in Section 4a above</w:t>
            </w:r>
          </w:p>
        </w:tc>
      </w:tr>
      <w:tr>
        <w:tc>
          <w:tcPr>
            <w:tcW w:type="dxa" w:w="500"/>
            <w:shd w:fill="F2F5F3" w:val="clear"/>
            <w:tcMar>
              <w:top w:type="dxa" w:w="90"/>
              <w:left w:type="dxa" w:w="140"/>
              <w:bottom w:type="dxa" w:w="90"/>
              <w:right w:type="dxa" w:w="140"/>
            </w:tcMar>
          </w:tcPr>
          <w:p>
            <w:pPr>
              <w:spacing w:line="260"/>
            </w:pPr>
            <w:r>
              <w:rPr>
                <w:color w:val="222222"/>
                <w:sz w:val="18"/>
                <w:szCs w:val="18"/>
              </w:rPr>
              <w:t xml:space="preserve">6</w:t>
            </w:r>
          </w:p>
        </w:tc>
        <w:tc>
          <w:tcPr>
            <w:tcW w:type="dxa" w:w="3400"/>
            <w:shd w:fill="F2F5F3" w:val="clear"/>
            <w:tcMar>
              <w:top w:type="dxa" w:w="90"/>
              <w:left w:type="dxa" w:w="140"/>
              <w:bottom w:type="dxa" w:w="90"/>
              <w:right w:type="dxa" w:w="140"/>
            </w:tcMar>
          </w:tcPr>
          <w:p>
            <w:pPr>
              <w:spacing w:line="260"/>
            </w:pPr>
            <w:r>
              <w:rPr>
                <w:color w:val="222222"/>
                <w:sz w:val="18"/>
                <w:szCs w:val="18"/>
              </w:rPr>
              <w:t xml:space="preserve">Auto-submission</w:t>
            </w:r>
          </w:p>
        </w:tc>
        <w:tc>
          <w:tcPr>
            <w:tcW w:type="dxa" w:w="1200"/>
            <w:shd w:fill="F2F5F3" w:val="clear"/>
            <w:tcMar>
              <w:top w:type="dxa" w:w="90"/>
              <w:left w:type="dxa" w:w="140"/>
              <w:bottom w:type="dxa" w:w="90"/>
              <w:right w:type="dxa" w:w="140"/>
            </w:tcMar>
          </w:tcPr>
          <w:p>
            <w:pPr>
              <w:spacing w:line="260"/>
            </w:pPr>
            <w:r>
              <w:rPr>
                <w:color w:val="222222"/>
                <w:sz w:val="18"/>
                <w:szCs w:val="18"/>
              </w:rPr>
              <w:t xml:space="preserve">0</w:t>
            </w:r>
          </w:p>
        </w:tc>
        <w:tc>
          <w:tcPr>
            <w:tcW w:type="dxa" w:w="5700"/>
            <w:shd w:fill="F2F5F3" w:val="clear"/>
            <w:tcMar>
              <w:top w:type="dxa" w:w="90"/>
              <w:left w:type="dxa" w:w="140"/>
              <w:bottom w:type="dxa" w:w="90"/>
              <w:right w:type="dxa" w:w="140"/>
            </w:tcMar>
          </w:tcPr>
          <w:p>
            <w:pPr>
              <w:spacing w:line="260"/>
            </w:pPr>
            <w:r>
              <w:rPr>
                <w:color w:val="222222"/>
                <w:sz w:val="18"/>
                <w:szCs w:val="18"/>
              </w:rPr>
              <w:t xml:space="preserve">Excluded by design principle — see below</w:t>
            </w:r>
          </w:p>
        </w:tc>
      </w:tr>
      <w:tr>
        <w:tc>
          <w:tcPr>
            <w:tcW w:type="dxa" w:w="500"/>
            <w:shd w:fill="FFFFFF" w:val="clear"/>
            <w:tcMar>
              <w:top w:type="dxa" w:w="90"/>
              <w:left w:type="dxa" w:w="140"/>
              <w:bottom w:type="dxa" w:w="90"/>
              <w:right w:type="dxa" w:w="140"/>
            </w:tcMar>
          </w:tcPr>
          <w:p>
            <w:pPr>
              <w:spacing w:line="260"/>
            </w:pPr>
            <w:r>
              <w:rPr>
                <w:color w:val="222222"/>
                <w:sz w:val="18"/>
                <w:szCs w:val="18"/>
              </w:rPr>
              <w:t xml:space="preserve">7</w:t>
            </w:r>
          </w:p>
        </w:tc>
        <w:tc>
          <w:tcPr>
            <w:tcW w:type="dxa" w:w="3400"/>
            <w:shd w:fill="FFFFFF" w:val="clear"/>
            <w:tcMar>
              <w:top w:type="dxa" w:w="90"/>
              <w:left w:type="dxa" w:w="140"/>
              <w:bottom w:type="dxa" w:w="90"/>
              <w:right w:type="dxa" w:w="140"/>
            </w:tcMar>
          </w:tcPr>
          <w:p>
            <w:pPr>
              <w:spacing w:line="260"/>
            </w:pPr>
            <w:r>
              <w:rPr>
                <w:color w:val="222222"/>
                <w:sz w:val="18"/>
                <w:szCs w:val="18"/>
              </w:rPr>
              <w:t xml:space="preserve">Gmail CTA loop</w:t>
            </w:r>
          </w:p>
        </w:tc>
        <w:tc>
          <w:tcPr>
            <w:tcW w:type="dxa" w:w="1200"/>
            <w:shd w:fill="FFFFFF" w:val="clear"/>
            <w:tcMar>
              <w:top w:type="dxa" w:w="90"/>
              <w:left w:type="dxa" w:w="140"/>
              <w:bottom w:type="dxa" w:w="90"/>
              <w:right w:type="dxa" w:w="140"/>
            </w:tcMar>
          </w:tcPr>
          <w:p>
            <w:pPr>
              <w:spacing w:line="260"/>
            </w:pPr>
            <w:r>
              <w:rPr>
                <w:color w:val="222222"/>
                <w:sz w:val="18"/>
                <w:szCs w:val="18"/>
              </w:rPr>
              <w:t xml:space="preserve">4</w:t>
            </w:r>
          </w:p>
        </w:tc>
        <w:tc>
          <w:tcPr>
            <w:tcW w:type="dxa" w:w="5700"/>
            <w:shd w:fill="FFFFFF" w:val="clear"/>
            <w:tcMar>
              <w:top w:type="dxa" w:w="90"/>
              <w:left w:type="dxa" w:w="140"/>
              <w:bottom w:type="dxa" w:w="90"/>
              <w:right w:type="dxa" w:w="140"/>
            </w:tcMar>
          </w:tcPr>
          <w:p>
            <w:pPr>
              <w:spacing w:line="260"/>
            </w:pPr>
            <w:r>
              <w:rPr>
                <w:color w:val="222222"/>
                <w:sz w:val="18"/>
                <w:szCs w:val="18"/>
              </w:rPr>
              <w:t xml:space="preserve">Maxed</w:t>
            </w:r>
          </w:p>
        </w:tc>
      </w:tr>
      <w:tr>
        <w:tc>
          <w:tcPr>
            <w:tcW w:type="dxa" w:w="500"/>
            <w:shd w:fill="F2F5F3" w:val="clear"/>
            <w:tcMar>
              <w:top w:type="dxa" w:w="90"/>
              <w:left w:type="dxa" w:w="140"/>
              <w:bottom w:type="dxa" w:w="90"/>
              <w:right w:type="dxa" w:w="140"/>
            </w:tcMar>
          </w:tcPr>
          <w:p>
            <w:pPr>
              <w:spacing w:line="260"/>
            </w:pPr>
            <w:r>
              <w:rPr>
                <w:color w:val="222222"/>
                <w:sz w:val="18"/>
                <w:szCs w:val="18"/>
              </w:rPr>
              <w:t xml:space="preserve">8</w:t>
            </w:r>
          </w:p>
        </w:tc>
        <w:tc>
          <w:tcPr>
            <w:tcW w:type="dxa" w:w="3400"/>
            <w:shd w:fill="F2F5F3" w:val="clear"/>
            <w:tcMar>
              <w:top w:type="dxa" w:w="90"/>
              <w:left w:type="dxa" w:w="140"/>
              <w:bottom w:type="dxa" w:w="90"/>
              <w:right w:type="dxa" w:w="140"/>
            </w:tcMar>
          </w:tcPr>
          <w:p>
            <w:pPr>
              <w:spacing w:line="260"/>
            </w:pPr>
            <w:r>
              <w:rPr>
                <w:color w:val="222222"/>
                <w:sz w:val="18"/>
                <w:szCs w:val="18"/>
              </w:rPr>
              <w:t xml:space="preserve">Pre-posting targeting</w:t>
            </w:r>
          </w:p>
        </w:tc>
        <w:tc>
          <w:tcPr>
            <w:tcW w:type="dxa" w:w="1200"/>
            <w:shd w:fill="F2F5F3" w:val="clear"/>
            <w:tcMar>
              <w:top w:type="dxa" w:w="90"/>
              <w:left w:type="dxa" w:w="140"/>
              <w:bottom w:type="dxa" w:w="90"/>
              <w:right w:type="dxa" w:w="140"/>
            </w:tcMar>
          </w:tcPr>
          <w:p>
            <w:pPr>
              <w:spacing w:line="260"/>
            </w:pPr>
            <w:r>
              <w:rPr>
                <w:color w:val="222222"/>
                <w:sz w:val="18"/>
                <w:szCs w:val="18"/>
              </w:rPr>
              <w:t xml:space="preserve">4</w:t>
            </w:r>
          </w:p>
        </w:tc>
        <w:tc>
          <w:tcPr>
            <w:tcW w:type="dxa" w:w="5700"/>
            <w:shd w:fill="F2F5F3" w:val="clear"/>
            <w:tcMar>
              <w:top w:type="dxa" w:w="90"/>
              <w:left w:type="dxa" w:w="140"/>
              <w:bottom w:type="dxa" w:w="90"/>
              <w:right w:type="dxa" w:w="140"/>
            </w:tcMar>
          </w:tcPr>
          <w:p>
            <w:pPr>
              <w:spacing w:line="260"/>
            </w:pPr>
            <w:r>
              <w:rPr>
                <w:color w:val="222222"/>
                <w:sz w:val="18"/>
                <w:szCs w:val="18"/>
              </w:rPr>
              <w:t xml:space="preserve">Maxed</w:t>
            </w:r>
          </w:p>
        </w:tc>
      </w:tr>
      <w:tr>
        <w:tc>
          <w:tcPr>
            <w:tcW w:type="dxa" w:w="500"/>
            <w:shd w:fill="FFFFFF" w:val="clear"/>
            <w:tcMar>
              <w:top w:type="dxa" w:w="90"/>
              <w:left w:type="dxa" w:w="140"/>
              <w:bottom w:type="dxa" w:w="90"/>
              <w:right w:type="dxa" w:w="140"/>
            </w:tcMar>
          </w:tcPr>
          <w:p>
            <w:pPr>
              <w:spacing w:line="260"/>
            </w:pPr>
            <w:r>
              <w:rPr>
                <w:color w:val="222222"/>
                <w:sz w:val="18"/>
                <w:szCs w:val="18"/>
              </w:rPr>
              <w:t xml:space="preserve">9</w:t>
            </w:r>
          </w:p>
        </w:tc>
        <w:tc>
          <w:tcPr>
            <w:tcW w:type="dxa" w:w="3400"/>
            <w:shd w:fill="FFFFFF" w:val="clear"/>
            <w:tcMar>
              <w:top w:type="dxa" w:w="90"/>
              <w:left w:type="dxa" w:w="140"/>
              <w:bottom w:type="dxa" w:w="90"/>
              <w:right w:type="dxa" w:w="140"/>
            </w:tcMar>
          </w:tcPr>
          <w:p>
            <w:pPr>
              <w:spacing w:line="260"/>
            </w:pPr>
            <w:r>
              <w:rPr>
                <w:color w:val="222222"/>
                <w:sz w:val="18"/>
                <w:szCs w:val="18"/>
              </w:rPr>
              <w:t xml:space="preserve">LinkedIn optimization</w:t>
            </w:r>
          </w:p>
        </w:tc>
        <w:tc>
          <w:tcPr>
            <w:tcW w:type="dxa" w:w="1200"/>
            <w:shd w:fill="FFFFFF" w:val="clear"/>
            <w:tcMar>
              <w:top w:type="dxa" w:w="90"/>
              <w:left w:type="dxa" w:w="140"/>
              <w:bottom w:type="dxa" w:w="90"/>
              <w:right w:type="dxa" w:w="140"/>
            </w:tcMar>
          </w:tcPr>
          <w:p>
            <w:pPr>
              <w:spacing w:line="260"/>
            </w:pPr>
            <w:r>
              <w:rPr>
                <w:color w:val="222222"/>
                <w:sz w:val="18"/>
                <w:szCs w:val="18"/>
              </w:rPr>
              <w:t xml:space="preserve">2</w:t>
            </w:r>
          </w:p>
        </w:tc>
        <w:tc>
          <w:tcPr>
            <w:tcW w:type="dxa" w:w="5700"/>
            <w:shd w:fill="FFFFFF" w:val="clear"/>
            <w:tcMar>
              <w:top w:type="dxa" w:w="90"/>
              <w:left w:type="dxa" w:w="140"/>
              <w:bottom w:type="dxa" w:w="90"/>
              <w:right w:type="dxa" w:w="140"/>
            </w:tcMar>
          </w:tcPr>
          <w:p>
            <w:pPr>
              <w:spacing w:line="260"/>
            </w:pPr>
            <w:r>
              <w:rPr>
                <w:color w:val="222222"/>
                <w:sz w:val="18"/>
                <w:szCs w:val="18"/>
              </w:rPr>
              <w:t xml:space="preserve">Scoped to 3 in Section 4a above</w:t>
            </w:r>
          </w:p>
        </w:tc>
      </w:tr>
      <w:tr>
        <w:tc>
          <w:tcPr>
            <w:tcW w:type="dxa" w:w="500"/>
            <w:shd w:fill="F2F5F3" w:val="clear"/>
            <w:tcMar>
              <w:top w:type="dxa" w:w="90"/>
              <w:left w:type="dxa" w:w="140"/>
              <w:bottom w:type="dxa" w:w="90"/>
              <w:right w:type="dxa" w:w="140"/>
            </w:tcMar>
          </w:tcPr>
          <w:p>
            <w:pPr>
              <w:spacing w:line="260"/>
            </w:pPr>
            <w:r>
              <w:rPr>
                <w:color w:val="222222"/>
                <w:sz w:val="18"/>
                <w:szCs w:val="18"/>
              </w:rPr>
              <w:t xml:space="preserve">10</w:t>
            </w:r>
          </w:p>
        </w:tc>
        <w:tc>
          <w:tcPr>
            <w:tcW w:type="dxa" w:w="3400"/>
            <w:shd w:fill="F2F5F3" w:val="clear"/>
            <w:tcMar>
              <w:top w:type="dxa" w:w="90"/>
              <w:left w:type="dxa" w:w="140"/>
              <w:bottom w:type="dxa" w:w="90"/>
              <w:right w:type="dxa" w:w="140"/>
            </w:tcMar>
          </w:tcPr>
          <w:p>
            <w:pPr>
              <w:spacing w:line="260"/>
            </w:pPr>
            <w:r>
              <w:rPr>
                <w:color w:val="222222"/>
                <w:sz w:val="18"/>
                <w:szCs w:val="18"/>
              </w:rPr>
              <w:t xml:space="preserve">Local-only data model</w:t>
            </w:r>
          </w:p>
        </w:tc>
        <w:tc>
          <w:tcPr>
            <w:tcW w:type="dxa" w:w="1200"/>
            <w:shd w:fill="F2F5F3" w:val="clear"/>
            <w:tcMar>
              <w:top w:type="dxa" w:w="90"/>
              <w:left w:type="dxa" w:w="140"/>
              <w:bottom w:type="dxa" w:w="90"/>
              <w:right w:type="dxa" w:w="140"/>
            </w:tcMar>
          </w:tcPr>
          <w:p>
            <w:pPr>
              <w:spacing w:line="260"/>
            </w:pPr>
            <w:r>
              <w:rPr>
                <w:color w:val="222222"/>
                <w:sz w:val="18"/>
                <w:szCs w:val="18"/>
              </w:rPr>
              <w:t xml:space="preserve">4</w:t>
            </w:r>
          </w:p>
        </w:tc>
        <w:tc>
          <w:tcPr>
            <w:tcW w:type="dxa" w:w="5700"/>
            <w:shd w:fill="F2F5F3" w:val="clear"/>
            <w:tcMar>
              <w:top w:type="dxa" w:w="90"/>
              <w:left w:type="dxa" w:w="140"/>
              <w:bottom w:type="dxa" w:w="90"/>
              <w:right w:type="dxa" w:w="140"/>
            </w:tcMar>
          </w:tcPr>
          <w:p>
            <w:pPr>
              <w:spacing w:line="260"/>
            </w:pPr>
            <w:r>
              <w:rPr>
                <w:color w:val="222222"/>
                <w:sz w:val="18"/>
                <w:szCs w:val="18"/>
              </w:rPr>
              <w:t xml:space="preserve">Maxed</w:t>
            </w:r>
          </w:p>
        </w:tc>
      </w:tr>
      <w:tr>
        <w:tc>
          <w:tcPr>
            <w:tcW w:type="dxa" w:w="500"/>
            <w:shd w:fill="FFFFFF" w:val="clear"/>
            <w:tcMar>
              <w:top w:type="dxa" w:w="90"/>
              <w:left w:type="dxa" w:w="140"/>
              <w:bottom w:type="dxa" w:w="90"/>
              <w:right w:type="dxa" w:w="140"/>
            </w:tcMar>
          </w:tcPr>
          <w:p>
            <w:pPr>
              <w:spacing w:line="260"/>
            </w:pPr>
            <w:r>
              <w:rPr>
                <w:color w:val="222222"/>
                <w:sz w:val="18"/>
                <w:szCs w:val="18"/>
              </w:rPr>
              <w:t xml:space="preserve">11</w:t>
            </w:r>
          </w:p>
        </w:tc>
        <w:tc>
          <w:tcPr>
            <w:tcW w:type="dxa" w:w="3400"/>
            <w:shd w:fill="FFFFFF" w:val="clear"/>
            <w:tcMar>
              <w:top w:type="dxa" w:w="90"/>
              <w:left w:type="dxa" w:w="140"/>
              <w:bottom w:type="dxa" w:w="90"/>
              <w:right w:type="dxa" w:w="140"/>
            </w:tcMar>
          </w:tcPr>
          <w:p>
            <w:pPr>
              <w:spacing w:line="260"/>
            </w:pPr>
            <w:r>
              <w:rPr>
                <w:color w:val="222222"/>
                <w:sz w:val="18"/>
                <w:szCs w:val="18"/>
              </w:rPr>
              <w:t xml:space="preserve">Multi-tenant readiness</w:t>
            </w:r>
          </w:p>
        </w:tc>
        <w:tc>
          <w:tcPr>
            <w:tcW w:type="dxa" w:w="1200"/>
            <w:shd w:fill="FFFFFF" w:val="clear"/>
            <w:tcMar>
              <w:top w:type="dxa" w:w="90"/>
              <w:left w:type="dxa" w:w="140"/>
              <w:bottom w:type="dxa" w:w="90"/>
              <w:right w:type="dxa" w:w="140"/>
            </w:tcMar>
          </w:tcPr>
          <w:p>
            <w:pPr>
              <w:spacing w:line="260"/>
            </w:pPr>
            <w:r>
              <w:rPr>
                <w:color w:val="222222"/>
                <w:sz w:val="18"/>
                <w:szCs w:val="18"/>
              </w:rPr>
              <w:t xml:space="preserve">0</w:t>
            </w:r>
          </w:p>
        </w:tc>
        <w:tc>
          <w:tcPr>
            <w:tcW w:type="dxa" w:w="5700"/>
            <w:shd w:fill="FFFFFF" w:val="clear"/>
            <w:tcMar>
              <w:top w:type="dxa" w:w="90"/>
              <w:left w:type="dxa" w:w="140"/>
              <w:bottom w:type="dxa" w:w="90"/>
              <w:right w:type="dxa" w:w="140"/>
            </w:tcMar>
          </w:tcPr>
          <w:p>
            <w:pPr>
              <w:spacing w:line="260"/>
            </w:pPr>
            <w:r>
              <w:rPr>
                <w:color w:val="222222"/>
                <w:sz w:val="18"/>
                <w:szCs w:val="18"/>
              </w:rPr>
              <w:t xml:space="preserve">Scoped to 2 (Adequate) in Section 4a above</w:t>
            </w:r>
          </w:p>
        </w:tc>
      </w:tr>
      <w:tr>
        <w:tc>
          <w:tcPr>
            <w:tcW w:type="dxa" w:w="500"/>
            <w:shd w:fill="F2F5F3" w:val="clear"/>
            <w:tcMar>
              <w:top w:type="dxa" w:w="90"/>
              <w:left w:type="dxa" w:w="140"/>
              <w:bottom w:type="dxa" w:w="90"/>
              <w:right w:type="dxa" w:w="140"/>
            </w:tcMar>
          </w:tcPr>
          <w:p>
            <w:pPr>
              <w:spacing w:line="260"/>
            </w:pPr>
            <w:r>
              <w:rPr>
                <w:color w:val="222222"/>
                <w:sz w:val="18"/>
                <w:szCs w:val="18"/>
              </w:rPr>
              <w:t xml:space="preserve"/>
            </w:r>
          </w:p>
        </w:tc>
        <w:tc>
          <w:tcPr>
            <w:tcW w:type="dxa" w:w="3400"/>
            <w:shd w:fill="F2F5F3" w:val="clear"/>
            <w:tcMar>
              <w:top w:type="dxa" w:w="90"/>
              <w:left w:type="dxa" w:w="140"/>
              <w:bottom w:type="dxa" w:w="90"/>
              <w:right w:type="dxa" w:w="140"/>
            </w:tcMar>
          </w:tcPr>
          <w:p>
            <w:pPr>
              <w:spacing w:line="260"/>
            </w:pPr>
            <w:r>
              <w:rPr>
                <w:color w:val="222222"/>
                <w:sz w:val="18"/>
                <w:szCs w:val="18"/>
              </w:rPr>
              <w:t xml:space="preserve">Total</w:t>
            </w:r>
          </w:p>
        </w:tc>
        <w:tc>
          <w:tcPr>
            <w:tcW w:type="dxa" w:w="1200"/>
            <w:shd w:fill="F2F5F3" w:val="clear"/>
            <w:tcMar>
              <w:top w:type="dxa" w:w="90"/>
              <w:left w:type="dxa" w:w="140"/>
              <w:bottom w:type="dxa" w:w="90"/>
              <w:right w:type="dxa" w:w="140"/>
            </w:tcMar>
          </w:tcPr>
          <w:p>
            <w:pPr>
              <w:spacing w:line="260"/>
            </w:pPr>
            <w:r>
              <w:rPr>
                <w:color w:val="222222"/>
                <w:sz w:val="18"/>
                <w:szCs w:val="18"/>
              </w:rPr>
              <w:t xml:space="preserve">29 / 44</w:t>
            </w:r>
          </w:p>
        </w:tc>
        <w:tc>
          <w:tcPr>
            <w:tcW w:type="dxa" w:w="5700"/>
            <w:shd w:fill="F2F5F3" w:val="clear"/>
            <w:tcMar>
              <w:top w:type="dxa" w:w="90"/>
              <w:left w:type="dxa" w:w="140"/>
              <w:bottom w:type="dxa" w:w="90"/>
              <w:right w:type="dxa" w:w="140"/>
            </w:tcMar>
          </w:tcPr>
          <w:p>
            <w:pPr>
              <w:spacing w:line="260"/>
            </w:pPr>
            <w:r>
              <w:rPr>
                <w:color w:val="222222"/>
                <w:sz w:val="18"/>
                <w:szCs w:val="18"/>
              </w:rPr>
              <w:t xml:space="preserve"/>
            </w:r>
          </w:p>
        </w:tc>
      </w:tr>
    </w:tbl>
    <w:p>
      <w:pPr>
        <w:spacing w:before="160"/>
      </w:pPr>
      <w:r>
        <w:rPr>
          <w:color w:val="222222"/>
          <w:sz w:val="21"/>
          <w:szCs w:val="21"/>
        </w:rPr>
        <w:t xml:space="preserve">Why “Auto-submission” is excluded from any improvement target, and reported both ways above: Panga scores 0 there by deliberate design, not capability gap — it's the differentiator this entire brief argues for (Sections 2, 4, 6), not something to fix. Counting it in an “improvement” target would mean literally building the mass-auto-submission behavior this brief argues against.</w:t>
      </w:r>
    </w:p>
    <w:p>
      <w:pPr>
        <w:spacing w:after="100" w:before="160"/>
      </w:pPr>
      <w:r>
        <w:rPr>
          <w:b/>
          <w:bCs/>
          <w:color w:val="222222"/>
          <w:sz w:val="21"/>
          <w:szCs w:val="21"/>
        </w:rPr>
        <w:t xml:space="preserve">A 30% increase on the 29-point baseline means a target of ~38 (+9 points). Here is the honest accounting of where that could come from:</w:t>
      </w:r>
    </w:p>
    <w:p>
      <w:pPr>
        <w:pStyle w:val="ListParagraph"/>
        <w:numPr>
          <w:ilvl w:val="0"/>
          <w:numId w:val="2"/>
        </w:numPr>
        <w:spacing w:after="90" w:line="280"/>
      </w:pPr>
      <w:r>
        <w:t xml:space="preserve">Already scoped in Section 4a, reliable: +4 total — tracker UX 2→3 (+1), LinkedIn 2→3 (+1), multi-tenant 0→2 (+2).</w:t>
      </w:r>
    </w:p>
    <w:p>
      <w:pPr>
        <w:pStyle w:val="ListParagraph"/>
        <w:numPr>
          <w:ilvl w:val="0"/>
          <w:numId w:val="2"/>
        </w:numPr>
        <w:spacing w:after="90" w:line="280"/>
      </w:pPr>
      <w:r>
        <w:t xml:space="preserve">Genuinely maxed — rows 2, 7, 8, 10 (deep profile, Gmail loop, pre-posting targeting, local data) — no further points available at any investment level. Real strength, not a scoring dead end to route around.</w:t>
      </w:r>
    </w:p>
    <w:p>
      <w:pPr>
        <w:pStyle w:val="ListParagraph"/>
        <w:numPr>
          <w:ilvl w:val="0"/>
          <w:numId w:val="2"/>
        </w:numPr>
        <w:spacing w:after="90" w:line="280"/>
      </w:pPr>
      <w:r>
        <w:t xml:space="preserve">Plausible but not yet scoped, medium confidence: +1 — job discovery breadth (3→4) would need a genuinely new sourcing capability nothing in this competitive set matches, likely riding on the multi-vertical-generalization work already 80% built (PRD §13). A real candidate for Backlog to size, not a confirmed win.</w:t>
      </w:r>
    </w:p>
    <w:p>
      <w:pPr>
        <w:pStyle w:val="ListParagraph"/>
        <w:numPr>
          <w:ilvl w:val="0"/>
          <w:numId w:val="2"/>
        </w:numPr>
        <w:spacing w:after="90" w:line="280"/>
      </w:pPr>
      <w:r>
        <w:t xml:space="preserve">Cannot honestly be counted on: fit scoring (3→4). JobScan is explicitly rated Strong — “best-in-class keyword granularity” — on this exact row today. A real competitor already matches Panga's rating here, so claiming “unique” isn't available without either a materially new capability or overclaiming against a competitor that already matches it. Excluded from the math.</w:t>
      </w:r>
    </w:p>
    <w:tbl>
      <w:tblPr>
        <w:tblW w:type="dxa" w:w="10800"/>
        <w:tblBorders>
          <w:top w:val="single" w:color="B5651F" w:sz="4"/>
          <w:left w:val="single" w:color="B5651F" w:sz="24"/>
          <w:bottom w:val="single" w:color="B5651F" w:sz="4"/>
          <w:right w:val="single" w:color="B5651F" w:sz="4"/>
          <w:insideH w:val="single" w:color="auto" w:sz="4"/>
          <w:insideV w:val="single" w:color="auto" w:sz="4"/>
        </w:tblBorders>
      </w:tblPr>
      <w:tblGrid>
        <w:gridCol w:w="10800"/>
      </w:tblGrid>
      <w:tr>
        <w:tc>
          <w:tcPr>
            <w:tcW w:type="dxa" w:w="10800"/>
            <w:shd w:fill="F2F5F3" w:val="clear"/>
            <w:tcMar>
              <w:top w:type="dxa" w:w="160"/>
              <w:left w:type="dxa" w:w="260"/>
              <w:bottom w:type="dxa" w:w="160"/>
              <w:right w:type="dxa" w:w="260"/>
            </w:tcMar>
          </w:tcPr>
          <w:p>
            <w:pPr>
              <w:spacing w:after="80"/>
            </w:pPr>
            <w:r>
              <w:rPr>
                <w:b/>
                <w:bCs/>
                <w:color w:val="B5651F"/>
                <w:sz w:val="21"/>
                <w:szCs w:val="21"/>
              </w:rPr>
              <w:t xml:space="preserve">Honest ceiling: +5 (29→34, a ~17% increase) — not +9 (~30%)</w:t>
            </w:r>
          </w:p>
          <w:p>
            <w:pPr>
              <w:spacing w:line="290"/>
            </w:pPr>
            <w:r>
              <w:rPr>
                <w:color w:val="333333"/>
                <w:sz w:val="20"/>
                <w:szCs w:val="20"/>
              </w:rPr>
              <w:t xml:space="preserve">Four of Panga's eleven scored dimensions are already at the maximum regardless of further investment, one is excluded on principle, and one (fit scoring) can't credibly move without either genuinely new capability or overclaiming against a competitor that already matches it. That leaves real headroom in only two rows — one already scoped, one plausible but unsized.</w:t>
            </w:r>
          </w:p>
        </w:tc>
      </w:tr>
    </w:tbl>
    <w:p>
      <w:pPr>
        <w:spacing w:after="100" w:before="200"/>
      </w:pPr>
      <w:r>
        <w:rPr>
          <w:b/>
          <w:bCs/>
          <w:color w:val="222222"/>
          <w:sz w:val="21"/>
          <w:szCs w:val="21"/>
        </w:rPr>
        <w:t xml:space="preserve">Zahir's real choice here, not a number forced to fit the ask:</w:t>
      </w:r>
    </w:p>
    <w:p>
      <w:pPr>
        <w:pStyle w:val="ListParagraph"/>
        <w:numPr>
          <w:ilvl w:val="0"/>
          <w:numId w:val="2"/>
        </w:numPr>
        <w:spacing w:after="90" w:line="280"/>
      </w:pPr>
      <w:r>
        <w:t xml:space="preserve">Accept ~17–20% (29→34–35) as the honest near-term target — built from Section 4a's already-scoped items plus sizing the discovery-breadth candidate — and revisit the ceiling once Prospector's vertical expansion (a separate, larger initiative, PRD §13) opens genuinely new headroom.</w:t>
      </w:r>
    </w:p>
    <w:p>
      <w:pPr>
        <w:pStyle w:val="ListParagraph"/>
        <w:numPr>
          <w:ilvl w:val="0"/>
          <w:numId w:val="2"/>
        </w:numPr>
        <w:spacing w:after="90" w:line="280"/>
      </w:pPr>
      <w:r>
        <w:t xml:space="preserve">Treat 30% as real, but on a longer horizon than the current backlog covers — reaching it credibly would most plausibly require new capability adjacent to an already-maxed row, or the vertical-expansion work substantially broadening what “discovery breadth” and “pre-posting targeting” can honestly claim credit for.</w:t>
      </w:r>
    </w:p>
    <w:p>
      <w:pPr>
        <w:pStyle w:val="ListParagraph"/>
        <w:numPr>
          <w:ilvl w:val="0"/>
          <w:numId w:val="2"/>
        </w:numPr>
        <w:spacing w:after="90" w:line="280"/>
      </w:pPr>
      <w:r>
        <w:t xml:space="preserve">Redefine the metric to separate capability quality (this matrix, honestly near its ceiling) from market/vertical coverage (a new axis — e.g. a 12th row scoring how many verticals Prospector's signal stack actually serves, low today by definition, with real room to grow). The one path that adds genuinely new, non-padded headroom — but it changes what's being scored, so it should be a deliberate choice, not a way to relabel the same 30% ask into something that arithmetically works.</w:t>
      </w:r>
    </w:p>
    <w:p>
      <w:pPr>
        <w:spacing w:after="160" w:before="160"/>
      </w:pPr>
      <w:r>
        <w:rPr>
          <w:color w:val="222222"/>
          <w:sz w:val="21"/>
          <w:szCs w:val="21"/>
        </w:rPr>
        <w:t xml:space="preserve">This brief recommends option 1 or 3 over option 2 — forcing 30% out of the current 11-dimension quality matrix isn't honestly available without inventing capability or overclaiming against a real competitor, and this brief's credibility with an investor audience (Section 11, Appendix A) depends on not doing that.</w:t>
      </w:r>
    </w:p>
    <w:p>
      <w:pPr>
        <w:pStyle w:val="Heading1"/>
        <w:spacing w:after="160" w:before="300"/>
      </w:pPr>
      <w:r>
        <w:t xml:space="preserve">5. Pricing Comparison</w:t>
      </w:r>
    </w:p>
    <w:tbl>
      <w:tblPr>
        <w:tblW w:type="dxa" w:w="108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1900"/>
        <w:gridCol w:w="3100"/>
        <w:gridCol w:w="1900"/>
        <w:gridCol w:w="1300"/>
      </w:tblGrid>
      <w:tr>
        <w:trPr>
          <w:tblHeader/>
        </w:trPr>
        <w:tc>
          <w:tcPr>
            <w:tcW w:type="dxa" w:w="2600"/>
            <w:shd w:fill="1B3A4B" w:val="clear"/>
            <w:tcMar>
              <w:top w:type="dxa" w:w="100"/>
              <w:left w:type="dxa" w:w="140"/>
              <w:bottom w:type="dxa" w:w="100"/>
              <w:right w:type="dxa" w:w="140"/>
            </w:tcMar>
          </w:tcPr>
          <w:p>
            <w:r>
              <w:rPr>
                <w:b/>
                <w:bCs/>
                <w:color w:val="FFFFFF"/>
                <w:sz w:val="19"/>
                <w:szCs w:val="19"/>
              </w:rPr>
              <w:t xml:space="preserve">Product</w:t>
            </w:r>
          </w:p>
        </w:tc>
        <w:tc>
          <w:tcPr>
            <w:tcW w:type="dxa" w:w="1900"/>
            <w:shd w:fill="1B3A4B" w:val="clear"/>
            <w:tcMar>
              <w:top w:type="dxa" w:w="100"/>
              <w:left w:type="dxa" w:w="140"/>
              <w:bottom w:type="dxa" w:w="100"/>
              <w:right w:type="dxa" w:w="140"/>
            </w:tcMar>
          </w:tcPr>
          <w:p>
            <w:r>
              <w:rPr>
                <w:b/>
                <w:bCs/>
                <w:color w:val="FFFFFF"/>
                <w:sz w:val="19"/>
                <w:szCs w:val="19"/>
              </w:rPr>
              <w:t xml:space="preserve">Free tier?</w:t>
            </w:r>
          </w:p>
        </w:tc>
        <w:tc>
          <w:tcPr>
            <w:tcW w:type="dxa" w:w="3100"/>
            <w:shd w:fill="1B3A4B" w:val="clear"/>
            <w:tcMar>
              <w:top w:type="dxa" w:w="100"/>
              <w:left w:type="dxa" w:w="140"/>
              <w:bottom w:type="dxa" w:w="100"/>
              <w:right w:type="dxa" w:w="140"/>
            </w:tcMar>
          </w:tcPr>
          <w:p>
            <w:r>
              <w:rPr>
                <w:b/>
                <w:bCs/>
                <w:color w:val="FFFFFF"/>
                <w:sz w:val="19"/>
                <w:szCs w:val="19"/>
              </w:rPr>
              <w:t xml:space="preserve">Entry price</w:t>
            </w:r>
          </w:p>
        </w:tc>
        <w:tc>
          <w:tcPr>
            <w:tcW w:type="dxa" w:w="1900"/>
            <w:shd w:fill="1B3A4B" w:val="clear"/>
            <w:tcMar>
              <w:top w:type="dxa" w:w="100"/>
              <w:left w:type="dxa" w:w="140"/>
              <w:bottom w:type="dxa" w:w="100"/>
              <w:right w:type="dxa" w:w="140"/>
            </w:tcMar>
          </w:tcPr>
          <w:p>
            <w:r>
              <w:rPr>
                <w:b/>
                <w:bCs/>
                <w:color w:val="FFFFFF"/>
                <w:sz w:val="19"/>
                <w:szCs w:val="19"/>
              </w:rPr>
              <w:t xml:space="preserve">Top price</w:t>
            </w:r>
          </w:p>
        </w:tc>
        <w:tc>
          <w:tcPr>
            <w:tcW w:type="dxa" w:w="1300"/>
            <w:shd w:fill="1B3A4B" w:val="clear"/>
            <w:tcMar>
              <w:top w:type="dxa" w:w="100"/>
              <w:left w:type="dxa" w:w="140"/>
              <w:bottom w:type="dxa" w:w="100"/>
              <w:right w:type="dxa" w:w="140"/>
            </w:tcMar>
          </w:tcPr>
          <w:p>
            <w:r>
              <w:rPr>
                <w:b/>
                <w:bCs/>
                <w:color w:val="FFFFFF"/>
                <w:sz w:val="19"/>
                <w:szCs w:val="19"/>
              </w:rPr>
              <w:t xml:space="preserve">Model</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Teal HQ</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Yes</w:t>
            </w:r>
          </w:p>
        </w:tc>
        <w:tc>
          <w:tcPr>
            <w:tcW w:type="dxa" w:w="3100"/>
            <w:shd w:fill="FFFFFF" w:val="clear"/>
            <w:tcMar>
              <w:top w:type="dxa" w:w="90"/>
              <w:left w:type="dxa" w:w="140"/>
              <w:bottom w:type="dxa" w:w="90"/>
              <w:right w:type="dxa" w:w="140"/>
            </w:tcMar>
          </w:tcPr>
          <w:p>
            <w:pPr>
              <w:spacing w:line="260"/>
            </w:pPr>
            <w:r>
              <w:rPr>
                <w:color w:val="222222"/>
                <w:sz w:val="18"/>
                <w:szCs w:val="18"/>
              </w:rPr>
              <w:t xml:space="preserve">$13/wk or $29/mo</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$79/3mo</w:t>
            </w:r>
          </w:p>
        </w:tc>
        <w:tc>
          <w:tcPr>
            <w:tcW w:type="dxa" w:w="1300"/>
            <w:shd w:fill="FFFFFF" w:val="clear"/>
            <w:tcMar>
              <w:top w:type="dxa" w:w="90"/>
              <w:left w:type="dxa" w:w="140"/>
              <w:bottom w:type="dxa" w:w="90"/>
              <w:right w:type="dxa" w:w="140"/>
            </w:tcMar>
          </w:tcPr>
          <w:p>
            <w:pPr>
              <w:spacing w:line="260"/>
            </w:pPr>
            <w:r>
              <w:rPr>
                <w:color w:val="222222"/>
                <w:sz w:val="18"/>
                <w:szCs w:val="18"/>
              </w:rPr>
              <w:t xml:space="preserve">SaaS subscription</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Huntr.co</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Yes</w:t>
            </w:r>
          </w:p>
        </w:tc>
        <w:tc>
          <w:tcPr>
            <w:tcW w:type="dxa" w:w="3100"/>
            <w:shd w:fill="F2F5F3" w:val="clear"/>
            <w:tcMar>
              <w:top w:type="dxa" w:w="90"/>
              <w:left w:type="dxa" w:w="140"/>
              <w:bottom w:type="dxa" w:w="90"/>
              <w:right w:type="dxa" w:w="140"/>
            </w:tcMar>
          </w:tcPr>
          <w:p>
            <w:pPr>
              <w:spacing w:line="260"/>
            </w:pPr>
            <w:r>
              <w:rPr>
                <w:color w:val="222222"/>
                <w:sz w:val="18"/>
                <w:szCs w:val="18"/>
              </w:rPr>
              <w:t xml:space="preserve">$0</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$40/mo</w:t>
            </w:r>
          </w:p>
        </w:tc>
        <w:tc>
          <w:tcPr>
            <w:tcW w:type="dxa" w:w="1300"/>
            <w:shd w:fill="F2F5F3" w:val="clear"/>
            <w:tcMar>
              <w:top w:type="dxa" w:w="90"/>
              <w:left w:type="dxa" w:w="140"/>
              <w:bottom w:type="dxa" w:w="90"/>
              <w:right w:type="dxa" w:w="140"/>
            </w:tcMar>
          </w:tcPr>
          <w:p>
            <w:pPr>
              <w:spacing w:line="260"/>
            </w:pPr>
            <w:r>
              <w:rPr>
                <w:color w:val="222222"/>
                <w:sz w:val="18"/>
                <w:szCs w:val="18"/>
              </w:rPr>
              <w:t xml:space="preserve">SaaS subscription</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Simplify.jobs</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Yes (core free forever)</w:t>
            </w:r>
          </w:p>
        </w:tc>
        <w:tc>
          <w:tcPr>
            <w:tcW w:type="dxa" w:w="3100"/>
            <w:shd w:fill="FFFFFF" w:val="clear"/>
            <w:tcMar>
              <w:top w:type="dxa" w:w="90"/>
              <w:left w:type="dxa" w:w="140"/>
              <w:bottom w:type="dxa" w:w="90"/>
              <w:right w:type="dxa" w:w="140"/>
            </w:tcMar>
          </w:tcPr>
          <w:p>
            <w:pPr>
              <w:spacing w:line="260"/>
            </w:pPr>
            <w:r>
              <w:rPr>
                <w:color w:val="222222"/>
                <w:sz w:val="18"/>
                <w:szCs w:val="18"/>
              </w:rPr>
              <w:t xml:space="preserve">$19.99/wk or $39.99/mo</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$89.99/3mo</w:t>
            </w:r>
          </w:p>
        </w:tc>
        <w:tc>
          <w:tcPr>
            <w:tcW w:type="dxa" w:w="1300"/>
            <w:shd w:fill="FFFFFF" w:val="clear"/>
            <w:tcMar>
              <w:top w:type="dxa" w:w="90"/>
              <w:left w:type="dxa" w:w="140"/>
              <w:bottom w:type="dxa" w:w="90"/>
              <w:right w:type="dxa" w:w="140"/>
            </w:tcMar>
          </w:tcPr>
          <w:p>
            <w:pPr>
              <w:spacing w:line="260"/>
            </w:pPr>
            <w:r>
              <w:rPr>
                <w:color w:val="222222"/>
                <w:sz w:val="18"/>
                <w:szCs w:val="18"/>
              </w:rPr>
              <w:t xml:space="preserve">SaaS subscription</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Careerflow.ai</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Yes</w:t>
            </w:r>
          </w:p>
        </w:tc>
        <w:tc>
          <w:tcPr>
            <w:tcW w:type="dxa" w:w="3100"/>
            <w:shd w:fill="F2F5F3" w:val="clear"/>
            <w:tcMar>
              <w:top w:type="dxa" w:w="90"/>
              <w:left w:type="dxa" w:w="140"/>
              <w:bottom w:type="dxa" w:w="90"/>
              <w:right w:type="dxa" w:w="140"/>
            </w:tcMar>
          </w:tcPr>
          <w:p>
            <w:pPr>
              <w:spacing w:line="260"/>
            </w:pPr>
            <w:r>
              <w:rPr>
                <w:color w:val="222222"/>
                <w:sz w:val="18"/>
                <w:szCs w:val="18"/>
              </w:rPr>
              <w:t xml:space="preserve">$23.99/mo ($14.41 annual)</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$44.99/mo</w:t>
            </w:r>
          </w:p>
        </w:tc>
        <w:tc>
          <w:tcPr>
            <w:tcW w:type="dxa" w:w="1300"/>
            <w:shd w:fill="F2F5F3" w:val="clear"/>
            <w:tcMar>
              <w:top w:type="dxa" w:w="90"/>
              <w:left w:type="dxa" w:w="140"/>
              <w:bottom w:type="dxa" w:w="90"/>
              <w:right w:type="dxa" w:w="140"/>
            </w:tcMar>
          </w:tcPr>
          <w:p>
            <w:pPr>
              <w:spacing w:line="260"/>
            </w:pPr>
            <w:r>
              <w:rPr>
                <w:color w:val="222222"/>
                <w:sz w:val="18"/>
                <w:szCs w:val="18"/>
              </w:rPr>
              <w:t xml:space="preserve">SaaS subscription</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JobScan</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Yes (5 scans/mo)</w:t>
            </w:r>
          </w:p>
        </w:tc>
        <w:tc>
          <w:tcPr>
            <w:tcW w:type="dxa" w:w="3100"/>
            <w:shd w:fill="FFFFFF" w:val="clear"/>
            <w:tcMar>
              <w:top w:type="dxa" w:w="90"/>
              <w:left w:type="dxa" w:w="140"/>
              <w:bottom w:type="dxa" w:w="90"/>
              <w:right w:type="dxa" w:w="140"/>
            </w:tcMar>
          </w:tcPr>
          <w:p>
            <w:pPr>
              <w:spacing w:line="260"/>
            </w:pPr>
            <w:r>
              <w:rPr>
                <w:color w:val="222222"/>
                <w:sz w:val="18"/>
                <w:szCs w:val="18"/>
              </w:rPr>
              <w:t xml:space="preserve">$49.95/mo ($14.95 annual)</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$89.95/3mo</w:t>
            </w:r>
          </w:p>
        </w:tc>
        <w:tc>
          <w:tcPr>
            <w:tcW w:type="dxa" w:w="1300"/>
            <w:shd w:fill="FFFFFF" w:val="clear"/>
            <w:tcMar>
              <w:top w:type="dxa" w:w="90"/>
              <w:left w:type="dxa" w:w="140"/>
              <w:bottom w:type="dxa" w:w="90"/>
              <w:right w:type="dxa" w:w="140"/>
            </w:tcMar>
          </w:tcPr>
          <w:p>
            <w:pPr>
              <w:spacing w:line="260"/>
            </w:pPr>
            <w:r>
              <w:rPr>
                <w:color w:val="222222"/>
                <w:sz w:val="18"/>
                <w:szCs w:val="18"/>
              </w:rPr>
              <w:t xml:space="preserve">SaaS subscription</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Sonara</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Trial only</w:t>
            </w:r>
          </w:p>
        </w:tc>
        <w:tc>
          <w:tcPr>
            <w:tcW w:type="dxa" w:w="3100"/>
            <w:shd w:fill="F2F5F3" w:val="clear"/>
            <w:tcMar>
              <w:top w:type="dxa" w:w="90"/>
              <w:left w:type="dxa" w:w="140"/>
              <w:bottom w:type="dxa" w:w="90"/>
              <w:right w:type="dxa" w:w="140"/>
            </w:tcMar>
          </w:tcPr>
          <w:p>
            <w:pPr>
              <w:spacing w:line="260"/>
            </w:pPr>
            <w:r>
              <w:rPr>
                <w:color w:val="222222"/>
                <w:sz w:val="18"/>
                <w:szCs w:val="18"/>
              </w:rPr>
              <w:t xml:space="preserve">$23.95/4wk (≈$314/yr)</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w:t>
            </w:r>
          </w:p>
        </w:tc>
        <w:tc>
          <w:tcPr>
            <w:tcW w:type="dxa" w:w="1300"/>
            <w:shd w:fill="F2F5F3" w:val="clear"/>
            <w:tcMar>
              <w:top w:type="dxa" w:w="90"/>
              <w:left w:type="dxa" w:w="140"/>
              <w:bottom w:type="dxa" w:w="90"/>
              <w:right w:type="dxa" w:w="140"/>
            </w:tcMar>
          </w:tcPr>
          <w:p>
            <w:pPr>
              <w:spacing w:line="260"/>
            </w:pPr>
            <w:r>
              <w:rPr>
                <w:color w:val="222222"/>
                <w:sz w:val="18"/>
                <w:szCs w:val="18"/>
              </w:rPr>
              <w:t xml:space="preserve">Auto-renewing trial, refund complaints</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Massive</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No</w:t>
            </w:r>
          </w:p>
        </w:tc>
        <w:tc>
          <w:tcPr>
            <w:tcW w:type="dxa" w:w="3100"/>
            <w:shd w:fill="FFFFFF" w:val="clear"/>
            <w:tcMar>
              <w:top w:type="dxa" w:w="90"/>
              <w:left w:type="dxa" w:w="140"/>
              <w:bottom w:type="dxa" w:w="90"/>
              <w:right w:type="dxa" w:w="140"/>
            </w:tcMar>
          </w:tcPr>
          <w:p>
            <w:pPr>
              <w:spacing w:line="260"/>
            </w:pPr>
            <w:r>
              <w:rPr>
                <w:color w:val="222222"/>
                <w:sz w:val="18"/>
                <w:szCs w:val="18"/>
              </w:rPr>
              <w:t xml:space="preserve">$99/mo (200 jobs/mo)</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w:t>
            </w:r>
          </w:p>
        </w:tc>
        <w:tc>
          <w:tcPr>
            <w:tcW w:type="dxa" w:w="1300"/>
            <w:shd w:fill="FFFFFF" w:val="clear"/>
            <w:tcMar>
              <w:top w:type="dxa" w:w="90"/>
              <w:left w:type="dxa" w:w="140"/>
              <w:bottom w:type="dxa" w:w="90"/>
              <w:right w:type="dxa" w:w="140"/>
            </w:tcMar>
          </w:tcPr>
          <w:p>
            <w:pPr>
              <w:spacing w:line="260"/>
            </w:pPr>
            <w:r>
              <w:rPr>
                <w:color w:val="222222"/>
                <w:sz w:val="18"/>
                <w:szCs w:val="18"/>
              </w:rPr>
              <w:t xml:space="preserve">SaaS subscription</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LazyApply</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No</w:t>
            </w:r>
          </w:p>
        </w:tc>
        <w:tc>
          <w:tcPr>
            <w:tcW w:type="dxa" w:w="3100"/>
            <w:shd w:fill="F2F5F3" w:val="clear"/>
            <w:tcMar>
              <w:top w:type="dxa" w:w="90"/>
              <w:left w:type="dxa" w:w="140"/>
              <w:bottom w:type="dxa" w:w="90"/>
              <w:right w:type="dxa" w:w="140"/>
            </w:tcMar>
          </w:tcPr>
          <w:p>
            <w:pPr>
              <w:spacing w:line="260"/>
            </w:pPr>
            <w:r>
              <w:rPr>
                <w:color w:val="222222"/>
                <w:sz w:val="18"/>
                <w:szCs w:val="18"/>
              </w:rPr>
              <w:t xml:space="preserve">$99/yr</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$999/yr (1,500/day)</w:t>
            </w:r>
          </w:p>
        </w:tc>
        <w:tc>
          <w:tcPr>
            <w:tcW w:type="dxa" w:w="1300"/>
            <w:shd w:fill="F2F5F3" w:val="clear"/>
            <w:tcMar>
              <w:top w:type="dxa" w:w="90"/>
              <w:left w:type="dxa" w:w="140"/>
              <w:bottom w:type="dxa" w:w="90"/>
              <w:right w:type="dxa" w:w="140"/>
            </w:tcMar>
          </w:tcPr>
          <w:p>
            <w:pPr>
              <w:spacing w:line="260"/>
            </w:pPr>
            <w:r>
              <w:rPr>
                <w:color w:val="222222"/>
                <w:sz w:val="18"/>
                <w:szCs w:val="18"/>
              </w:rPr>
              <w:t xml:space="preserve">Annual SaaS license</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Human executive coaching</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No</w:t>
            </w:r>
          </w:p>
        </w:tc>
        <w:tc>
          <w:tcPr>
            <w:tcW w:type="dxa" w:w="3100"/>
            <w:shd w:fill="FFFFFF" w:val="clear"/>
            <w:tcMar>
              <w:top w:type="dxa" w:w="90"/>
              <w:left w:type="dxa" w:w="140"/>
              <w:bottom w:type="dxa" w:w="90"/>
              <w:right w:type="dxa" w:w="140"/>
            </w:tcMar>
          </w:tcPr>
          <w:p>
            <w:pPr>
              <w:spacing w:line="260"/>
            </w:pPr>
            <w:r>
              <w:rPr>
                <w:color w:val="222222"/>
                <w:sz w:val="18"/>
                <w:szCs w:val="18"/>
              </w:rPr>
              <w:t xml:space="preserve">$1,750–$2,000/mo, or $220–550/hr</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$3,000–15,000+ engagement</w:t>
            </w:r>
          </w:p>
        </w:tc>
        <w:tc>
          <w:tcPr>
            <w:tcW w:type="dxa" w:w="1300"/>
            <w:shd w:fill="FFFFFF" w:val="clear"/>
            <w:tcMar>
              <w:top w:type="dxa" w:w="90"/>
              <w:left w:type="dxa" w:w="140"/>
              <w:bottom w:type="dxa" w:w="90"/>
              <w:right w:type="dxa" w:w="140"/>
            </w:tcMar>
          </w:tcPr>
          <w:p>
            <w:pPr>
              <w:spacing w:line="260"/>
            </w:pPr>
            <w:r>
              <w:rPr>
                <w:color w:val="222222"/>
                <w:sz w:val="18"/>
                <w:szCs w:val="18"/>
              </w:rPr>
              <w:t xml:space="preserve">Service, not software</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Panga (proposed, placeholder)</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TBD</w:t>
            </w:r>
          </w:p>
        </w:tc>
        <w:tc>
          <w:tcPr>
            <w:tcW w:type="dxa" w:w="3100"/>
            <w:shd w:fill="F2F5F3" w:val="clear"/>
            <w:tcMar>
              <w:top w:type="dxa" w:w="90"/>
              <w:left w:type="dxa" w:w="140"/>
              <w:bottom w:type="dxa" w:w="90"/>
              <w:right w:type="dxa" w:w="140"/>
            </w:tcMar>
          </w:tcPr>
          <w:p>
            <w:pPr>
              <w:spacing w:line="260"/>
            </w:pPr>
            <w:r>
              <w:rPr>
                <w:color w:val="222222"/>
                <w:sz w:val="18"/>
                <w:szCs w:val="18"/>
              </w:rPr>
              <w:t xml:space="preserve">$200/year — unvalidated</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w:t>
            </w:r>
          </w:p>
        </w:tc>
        <w:tc>
          <w:tcPr>
            <w:tcW w:type="dxa" w:w="1300"/>
            <w:shd w:fill="F2F5F3" w:val="clear"/>
            <w:tcMar>
              <w:top w:type="dxa" w:w="90"/>
              <w:left w:type="dxa" w:w="140"/>
              <w:bottom w:type="dxa" w:w="90"/>
              <w:right w:type="dxa" w:w="140"/>
            </w:tcMar>
          </w:tcPr>
          <w:p>
            <w:pPr>
              <w:spacing w:line="260"/>
            </w:pPr>
            <w:r>
              <w:rPr>
                <w:color w:val="222222"/>
                <w:sz w:val="18"/>
                <w:szCs w:val="18"/>
              </w:rPr>
              <w:t xml:space="preserve">License, no per-user hosting cost</w:t>
            </w:r>
          </w:p>
        </w:tc>
      </w:tr>
    </w:tbl>
    <w:p>
      <w:pPr>
        <w:spacing w:after="200" w:before="120"/>
        <w:jc w:val="center"/>
      </w:pPr>
      <w:r>
        <w:drawing>
          <wp:inline distT="0" distB="0" distL="0" distR="0">
            <wp:extent cx="66770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77025" cy="3486150"/>
                    </a:xfrm>
                    <a:prstGeom prst="rect">
                      <a:avLst/>
                    </a:prstGeom>
                  </pic:spPr>
                </pic:pic>
              </a:graphicData>
            </a:graphic>
          </wp:inline>
        </w:drawing>
      </w:r>
    </w:p>
    <w:tbl>
      <w:tblPr>
        <w:tblW w:type="dxa" w:w="10800"/>
        <w:tblBorders>
          <w:top w:val="single" w:color="1B5E3F" w:sz="4"/>
          <w:left w:val="single" w:color="1B5E3F" w:sz="24"/>
          <w:bottom w:val="single" w:color="1B5E3F" w:sz="4"/>
          <w:right w:val="single" w:color="1B5E3F" w:sz="4"/>
          <w:insideH w:val="single" w:color="auto" w:sz="4"/>
          <w:insideV w:val="single" w:color="auto" w:sz="4"/>
        </w:tblBorders>
      </w:tblPr>
      <w:tblGrid>
        <w:gridCol w:w="10800"/>
      </w:tblGrid>
      <w:tr>
        <w:tc>
          <w:tcPr>
            <w:tcW w:type="dxa" w:w="10800"/>
            <w:shd w:fill="F2F5F3" w:val="clear"/>
            <w:tcMar>
              <w:top w:type="dxa" w:w="160"/>
              <w:left w:type="dxa" w:w="260"/>
              <w:bottom w:type="dxa" w:w="160"/>
              <w:right w:type="dxa" w:w="260"/>
            </w:tcMar>
          </w:tcPr>
          <w:p>
            <w:pPr>
              <w:spacing w:after="80"/>
            </w:pPr>
            <w:r>
              <w:rPr>
                <w:b/>
                <w:bCs/>
                <w:color w:val="1B5E3F"/>
                <w:sz w:val="21"/>
                <w:szCs w:val="21"/>
              </w:rPr>
              <w:t xml:space="preserve">The pricing white space</w:t>
            </w:r>
          </w:p>
          <w:p>
            <w:pPr>
              <w:spacing w:line="290"/>
            </w:pPr>
            <w:r>
              <w:rPr>
                <w:color w:val="333333"/>
                <w:sz w:val="20"/>
                <w:szCs w:val="20"/>
              </w:rPr>
              <w:t xml:space="preserve">Every SaaS tool above tops out around $40–100/month ($480–1,200/year). Executive coaching starts an order of magnitude higher. A $200–500/year license sits in a gap nothing in this comparison set occupies — but that only holds if the product can actually deliver something closer to the coaching experience than to Teal's. That's a product-scope question, not just a pricing one (see Section 9, “Minimum Work to Get From Current Build to Sellable”).</w:t>
            </w:r>
          </w:p>
        </w:tc>
      </w:tr>
    </w:tbl>
    <w:p>
      <w:pPr>
        <w:spacing w:after="160" w:before="40"/>
      </w:pPr>
      <w:r>
        <w:rPr>
          <w:i/>
          <w:iCs/>
          <w:color w:val="5A5A5A"/>
          <w:sz w:val="19"/>
          <w:szCs w:val="19"/>
        </w:rPr>
        <w:t xml:space="preserve">Sources: Appendix A.</w:t>
      </w:r>
    </w:p>
    <w:p>
      <w:pPr>
        <w:pStyle w:val="Heading1"/>
        <w:spacing w:after="160" w:before="300"/>
      </w:pPr>
      <w:r>
        <w:t xml:space="preserve">6. Testing the Hypothesis</w:t>
      </w:r>
    </w:p>
    <w:p>
      <w:pPr>
        <w:spacing w:after="160" w:line="300"/>
      </w:pPr>
      <w:r>
        <w:rPr>
          <w:color w:val="222222"/>
          <w:sz w:val="21"/>
          <w:szCs w:val="21"/>
        </w:rPr>
        <w:t xml:space="preserve">“Compliant job-search co-pilot for senior/executive candidates” — what would have to be true for this to be a real position, not just a nice narrative?</w:t>
      </w:r>
    </w:p>
    <w:tbl>
      <w:tblPr>
        <w:tblW w:type="dxa" w:w="10800"/>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3400"/>
        <w:gridCol w:w="1900"/>
        <w:gridCol w:w="5000"/>
      </w:tblGrid>
      <w:tr>
        <w:trPr>
          <w:tblHeader/>
        </w:trPr>
        <w:tc>
          <w:tcPr>
            <w:tcW w:type="dxa" w:w="500"/>
            <w:shd w:fill="1B3A4B" w:val="clear"/>
            <w:tcMar>
              <w:top w:type="dxa" w:w="100"/>
              <w:left w:type="dxa" w:w="140"/>
              <w:bottom w:type="dxa" w:w="100"/>
              <w:right w:type="dxa" w:w="140"/>
            </w:tcMar>
          </w:tcPr>
          <w:p>
            <w:r>
              <w:rPr>
                <w:b/>
                <w:bCs/>
                <w:color w:val="FFFFFF"/>
                <w:sz w:val="19"/>
                <w:szCs w:val="19"/>
              </w:rPr>
              <w:t xml:space="preserve">#</w:t>
            </w:r>
          </w:p>
        </w:tc>
        <w:tc>
          <w:tcPr>
            <w:tcW w:type="dxa" w:w="3400"/>
            <w:shd w:fill="1B3A4B" w:val="clear"/>
            <w:tcMar>
              <w:top w:type="dxa" w:w="100"/>
              <w:left w:type="dxa" w:w="140"/>
              <w:bottom w:type="dxa" w:w="100"/>
              <w:right w:type="dxa" w:w="140"/>
            </w:tcMar>
          </w:tcPr>
          <w:p>
            <w:r>
              <w:rPr>
                <w:b/>
                <w:bCs/>
                <w:color w:val="FFFFFF"/>
                <w:sz w:val="19"/>
                <w:szCs w:val="19"/>
              </w:rPr>
              <w:t xml:space="preserve">Claim</w:t>
            </w:r>
          </w:p>
        </w:tc>
        <w:tc>
          <w:tcPr>
            <w:tcW w:type="dxa" w:w="1900"/>
            <w:shd w:fill="1B3A4B" w:val="clear"/>
            <w:tcMar>
              <w:top w:type="dxa" w:w="100"/>
              <w:left w:type="dxa" w:w="140"/>
              <w:bottom w:type="dxa" w:w="100"/>
              <w:right w:type="dxa" w:w="140"/>
            </w:tcMar>
          </w:tcPr>
          <w:p>
            <w:r>
              <w:rPr>
                <w:b/>
                <w:bCs/>
                <w:color w:val="FFFFFF"/>
                <w:sz w:val="19"/>
                <w:szCs w:val="19"/>
              </w:rPr>
              <w:t xml:space="preserve">Status</w:t>
            </w:r>
          </w:p>
        </w:tc>
        <w:tc>
          <w:tcPr>
            <w:tcW w:type="dxa" w:w="5000"/>
            <w:shd w:fill="1B3A4B" w:val="clear"/>
            <w:tcMar>
              <w:top w:type="dxa" w:w="100"/>
              <w:left w:type="dxa" w:w="140"/>
              <w:bottom w:type="dxa" w:w="100"/>
              <w:right w:type="dxa" w:w="140"/>
            </w:tcMar>
          </w:tcPr>
          <w:p>
            <w:r>
              <w:rPr>
                <w:b/>
                <w:bCs/>
                <w:color w:val="FFFFFF"/>
                <w:sz w:val="19"/>
                <w:szCs w:val="19"/>
              </w:rPr>
              <w:t xml:space="preserve">Why</w:t>
            </w:r>
          </w:p>
        </w:tc>
      </w:tr>
      <w:tr>
        <w:tc>
          <w:tcPr>
            <w:tcW w:type="dxa" w:w="500"/>
            <w:shd w:fill="FFFFFF" w:val="clear"/>
            <w:tcMar>
              <w:top w:type="dxa" w:w="90"/>
              <w:left w:type="dxa" w:w="140"/>
              <w:bottom w:type="dxa" w:w="90"/>
              <w:right w:type="dxa" w:w="140"/>
            </w:tcMar>
          </w:tcPr>
          <w:p>
            <w:pPr>
              <w:spacing w:line="260"/>
            </w:pPr>
            <w:r>
              <w:rPr>
                <w:color w:val="222222"/>
                <w:sz w:val="18"/>
                <w:szCs w:val="18"/>
              </w:rPr>
              <w:t xml:space="preserve">1</w:t>
            </w:r>
          </w:p>
        </w:tc>
        <w:tc>
          <w:tcPr>
            <w:tcW w:type="dxa" w:w="3400"/>
            <w:shd w:fill="FFFFFF" w:val="clear"/>
            <w:tcMar>
              <w:top w:type="dxa" w:w="90"/>
              <w:left w:type="dxa" w:w="140"/>
              <w:bottom w:type="dxa" w:w="90"/>
              <w:right w:type="dxa" w:w="140"/>
            </w:tcMar>
          </w:tcPr>
          <w:p>
            <w:pPr>
              <w:spacing w:line="260"/>
            </w:pPr>
            <w:r>
              <w:rPr>
                <w:color w:val="222222"/>
                <w:sz w:val="18"/>
                <w:szCs w:val="18"/>
              </w:rPr>
              <w:t xml:space="preserve">Executives need something the SaaS tracker category doesn't offer.</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Supported</w:t>
            </w:r>
          </w:p>
        </w:tc>
        <w:tc>
          <w:tcPr>
            <w:tcW w:type="dxa" w:w="5000"/>
            <w:shd w:fill="FFFFFF" w:val="clear"/>
            <w:tcMar>
              <w:top w:type="dxa" w:w="90"/>
              <w:left w:type="dxa" w:w="140"/>
              <w:bottom w:type="dxa" w:w="90"/>
              <w:right w:type="dxa" w:w="140"/>
            </w:tcMar>
          </w:tcPr>
          <w:p>
            <w:pPr>
              <w:spacing w:line="260"/>
            </w:pPr>
            <w:r>
              <w:rPr>
                <w:color w:val="222222"/>
                <w:sz w:val="18"/>
                <w:szCs w:val="18"/>
              </w:rPr>
              <w:t xml:space="preserve">None of Teal/Huntr/Simplify/Careerflow/JobScan do proactive company targeting, deep profile-building, or end-to-end communication tracking — all reactive tools built around “help me apply faster.”</w:t>
            </w:r>
          </w:p>
        </w:tc>
      </w:tr>
      <w:tr>
        <w:tc>
          <w:tcPr>
            <w:tcW w:type="dxa" w:w="500"/>
            <w:shd w:fill="F2F5F3" w:val="clear"/>
            <w:tcMar>
              <w:top w:type="dxa" w:w="90"/>
              <w:left w:type="dxa" w:w="140"/>
              <w:bottom w:type="dxa" w:w="90"/>
              <w:right w:type="dxa" w:w="140"/>
            </w:tcMar>
          </w:tcPr>
          <w:p>
            <w:pPr>
              <w:spacing w:line="260"/>
            </w:pPr>
            <w:r>
              <w:rPr>
                <w:color w:val="222222"/>
                <w:sz w:val="18"/>
                <w:szCs w:val="18"/>
              </w:rPr>
              <w:t xml:space="preserve">2</w:t>
            </w:r>
          </w:p>
        </w:tc>
        <w:tc>
          <w:tcPr>
            <w:tcW w:type="dxa" w:w="3400"/>
            <w:shd w:fill="F2F5F3" w:val="clear"/>
            <w:tcMar>
              <w:top w:type="dxa" w:w="90"/>
              <w:left w:type="dxa" w:w="140"/>
              <w:bottom w:type="dxa" w:w="90"/>
              <w:right w:type="dxa" w:w="140"/>
            </w:tcMar>
          </w:tcPr>
          <w:p>
            <w:pPr>
              <w:spacing w:line="260"/>
            </w:pPr>
            <w:r>
              <w:rPr>
                <w:color w:val="222222"/>
                <w:sz w:val="18"/>
                <w:szCs w:val="18"/>
              </w:rPr>
              <w:t xml:space="preserve">Auto-apply tools are actively wrong for this segment.</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Supported</w:t>
            </w:r>
          </w:p>
        </w:tc>
        <w:tc>
          <w:tcPr>
            <w:tcW w:type="dxa" w:w="5000"/>
            <w:shd w:fill="F2F5F3" w:val="clear"/>
            <w:tcMar>
              <w:top w:type="dxa" w:w="90"/>
              <w:left w:type="dxa" w:w="140"/>
              <w:bottom w:type="dxa" w:w="90"/>
              <w:right w:type="dxa" w:w="140"/>
            </w:tcMar>
          </w:tcPr>
          <w:p>
            <w:pPr>
              <w:spacing w:line="260"/>
            </w:pPr>
            <w:r>
              <w:rPr>
                <w:color w:val="222222"/>
                <w:sz w:val="18"/>
                <w:szCs w:val="18"/>
              </w:rPr>
              <w:t xml:space="preserve">Mass-submitting is reputationally risky for senior candidates — recruiters know each other, ATS/bot-detection flags are a real liability, volume-over-fit is the opposite of executive placement.</w:t>
            </w:r>
          </w:p>
        </w:tc>
      </w:tr>
      <w:tr>
        <w:tc>
          <w:tcPr>
            <w:tcW w:type="dxa" w:w="500"/>
            <w:shd w:fill="FFFFFF" w:val="clear"/>
            <w:tcMar>
              <w:top w:type="dxa" w:w="90"/>
              <w:left w:type="dxa" w:w="140"/>
              <w:bottom w:type="dxa" w:w="90"/>
              <w:right w:type="dxa" w:w="140"/>
            </w:tcMar>
          </w:tcPr>
          <w:p>
            <w:pPr>
              <w:spacing w:line="260"/>
            </w:pPr>
            <w:r>
              <w:rPr>
                <w:color w:val="222222"/>
                <w:sz w:val="18"/>
                <w:szCs w:val="18"/>
              </w:rPr>
              <w:t xml:space="preserve">3</w:t>
            </w:r>
          </w:p>
        </w:tc>
        <w:tc>
          <w:tcPr>
            <w:tcW w:type="dxa" w:w="3400"/>
            <w:shd w:fill="FFFFFF" w:val="clear"/>
            <w:tcMar>
              <w:top w:type="dxa" w:w="90"/>
              <w:left w:type="dxa" w:w="140"/>
              <w:bottom w:type="dxa" w:w="90"/>
              <w:right w:type="dxa" w:w="140"/>
            </w:tcMar>
          </w:tcPr>
          <w:p>
            <w:pPr>
              <w:spacing w:line="260"/>
            </w:pPr>
            <w:r>
              <w:rPr>
                <w:color w:val="222222"/>
                <w:sz w:val="18"/>
                <w:szCs w:val="18"/>
              </w:rPr>
              <w:t xml:space="preserve">Executives will pay software prices for something coaching-adjacent.</w:t>
            </w:r>
          </w:p>
        </w:tc>
        <w:tc>
          <w:tcPr>
            <w:tcW w:type="dxa" w:w="1900"/>
            <w:shd w:fill="FFFFFF" w:val="clear"/>
            <w:tcMar>
              <w:top w:type="dxa" w:w="90"/>
              <w:left w:type="dxa" w:w="140"/>
              <w:bottom w:type="dxa" w:w="90"/>
              <w:right w:type="dxa" w:w="140"/>
            </w:tcMar>
          </w:tcPr>
          <w:p>
            <w:pPr>
              <w:spacing w:line="260"/>
            </w:pPr>
            <w:r>
              <w:rPr>
                <w:color w:val="222222"/>
                <w:sz w:val="18"/>
                <w:szCs w:val="18"/>
              </w:rPr>
              <w:t xml:space="preserve">Untested — next up</w:t>
            </w:r>
          </w:p>
        </w:tc>
        <w:tc>
          <w:tcPr>
            <w:tcW w:type="dxa" w:w="5000"/>
            <w:shd w:fill="FFFFFF" w:val="clear"/>
            <w:tcMar>
              <w:top w:type="dxa" w:w="90"/>
              <w:left w:type="dxa" w:w="140"/>
              <w:bottom w:type="dxa" w:w="90"/>
              <w:right w:type="dxa" w:w="140"/>
            </w:tcMar>
          </w:tcPr>
          <w:p>
            <w:pPr>
              <w:spacing w:line="260"/>
            </w:pPr>
            <w:r>
              <w:rPr>
                <w:color w:val="222222"/>
                <w:sz w:val="18"/>
                <w:szCs w:val="18"/>
              </w:rPr>
              <w:t xml:space="preserve">Nobody has asked a real senior candidate whether they'd pay $200–500/year for this instead of $2,000+/month for a coach, or instead of Teal's free tier. Flagged as the first, $0-cost item in the roadmap (Section 9) — not assumed, not a doubt, a next action.</w:t>
            </w:r>
          </w:p>
        </w:tc>
      </w:tr>
      <w:tr>
        <w:tc>
          <w:tcPr>
            <w:tcW w:type="dxa" w:w="500"/>
            <w:shd w:fill="F2F5F3" w:val="clear"/>
            <w:tcMar>
              <w:top w:type="dxa" w:w="90"/>
              <w:left w:type="dxa" w:w="140"/>
              <w:bottom w:type="dxa" w:w="90"/>
              <w:right w:type="dxa" w:w="140"/>
            </w:tcMar>
          </w:tcPr>
          <w:p>
            <w:pPr>
              <w:spacing w:line="260"/>
            </w:pPr>
            <w:r>
              <w:rPr>
                <w:color w:val="222222"/>
                <w:sz w:val="18"/>
                <w:szCs w:val="18"/>
              </w:rPr>
              <w:t xml:space="preserve">4</w:t>
            </w:r>
          </w:p>
        </w:tc>
        <w:tc>
          <w:tcPr>
            <w:tcW w:type="dxa" w:w="3400"/>
            <w:shd w:fill="F2F5F3" w:val="clear"/>
            <w:tcMar>
              <w:top w:type="dxa" w:w="90"/>
              <w:left w:type="dxa" w:w="140"/>
              <w:bottom w:type="dxa" w:w="90"/>
              <w:right w:type="dxa" w:w="140"/>
            </w:tcMar>
          </w:tcPr>
          <w:p>
            <w:pPr>
              <w:spacing w:line="260"/>
            </w:pPr>
            <w:r>
              <w:rPr>
                <w:color w:val="222222"/>
                <w:sz w:val="18"/>
                <w:szCs w:val="18"/>
              </w:rPr>
              <w:t xml:space="preserve">The product currently supports this positioning without pharma-specific caveats.</w:t>
            </w:r>
          </w:p>
        </w:tc>
        <w:tc>
          <w:tcPr>
            <w:tcW w:type="dxa" w:w="1900"/>
            <w:shd w:fill="F2F5F3" w:val="clear"/>
            <w:tcMar>
              <w:top w:type="dxa" w:w="90"/>
              <w:left w:type="dxa" w:w="140"/>
              <w:bottom w:type="dxa" w:w="90"/>
              <w:right w:type="dxa" w:w="140"/>
            </w:tcMar>
          </w:tcPr>
          <w:p>
            <w:pPr>
              <w:spacing w:line="260"/>
            </w:pPr>
            <w:r>
              <w:rPr>
                <w:color w:val="222222"/>
                <w:sz w:val="18"/>
                <w:szCs w:val="18"/>
              </w:rPr>
              <w:t xml:space="preserve">Not yet true — sequenced</w:t>
            </w:r>
          </w:p>
        </w:tc>
        <w:tc>
          <w:tcPr>
            <w:tcW w:type="dxa" w:w="5000"/>
            <w:shd w:fill="F2F5F3" w:val="clear"/>
            <w:tcMar>
              <w:top w:type="dxa" w:w="90"/>
              <w:left w:type="dxa" w:w="140"/>
              <w:bottom w:type="dxa" w:w="90"/>
              <w:right w:type="dxa" w:w="140"/>
            </w:tcMar>
          </w:tcPr>
          <w:p>
            <w:pPr>
              <w:spacing w:line="260"/>
            </w:pPr>
            <w:r>
              <w:rPr>
                <w:color w:val="222222"/>
                <w:sz w:val="18"/>
                <w:szCs w:val="18"/>
              </w:rPr>
              <w:t xml:space="preserve">Prospector — the strongest evidence for the hypothesis — is life-sciences-only today. Needs either signal-source generalization (partially underway, PRD's multi-vertical branch) or a narrower, truthful “life-sciences leaders” go-to-market at launch.</w:t>
            </w:r>
          </w:p>
        </w:tc>
      </w:tr>
    </w:tbl>
    <w:tbl>
      <w:tblPr>
        <w:tblW w:type="dxa" w:w="10800"/>
        <w:tblBorders>
          <w:top w:val="single" w:color="1B5E3F" w:sz="4"/>
          <w:left w:val="single" w:color="1B5E3F" w:sz="24"/>
          <w:bottom w:val="single" w:color="1B5E3F" w:sz="4"/>
          <w:right w:val="single" w:color="1B5E3F" w:sz="4"/>
          <w:insideH w:val="single" w:color="auto" w:sz="4"/>
          <w:insideV w:val="single" w:color="auto" w:sz="4"/>
        </w:tblBorders>
      </w:tblPr>
      <w:tblGrid>
        <w:gridCol w:w="10800"/>
      </w:tblGrid>
      <w:tr>
        <w:tc>
          <w:tcPr>
            <w:tcW w:type="dxa" w:w="10800"/>
            <w:shd w:fill="F2F5F3" w:val="clear"/>
            <w:tcMar>
              <w:top w:type="dxa" w:w="160"/>
              <w:left w:type="dxa" w:w="260"/>
              <w:bottom w:type="dxa" w:w="160"/>
              <w:right w:type="dxa" w:w="260"/>
            </w:tcMar>
          </w:tcPr>
          <w:p>
            <w:pPr>
              <w:spacing w:after="80"/>
            </w:pPr>
            <w:r>
              <w:rPr>
                <w:b/>
                <w:bCs/>
                <w:color w:val="1B5E3F"/>
                <w:sz w:val="21"/>
                <w:szCs w:val="21"/>
              </w:rPr>
              <w:t xml:space="preserve">Verdict on the hypothesis</w:t>
            </w:r>
          </w:p>
          <w:p>
            <w:pPr>
              <w:spacing w:line="290"/>
            </w:pPr>
            <w:r>
              <w:rPr>
                <w:color w:val="333333"/>
                <w:sz w:val="20"/>
                <w:szCs w:val="20"/>
              </w:rPr>
              <w:t xml:space="preserve">Genuinely promising and better-supported than a generic “AI job search tool” positioning would be — points 1 and 2 are real, structural advantages nothing in this competitive set shares. Points 3 and 4 aren't doubts, they're the next two items of work: validate willingness-to-pay with real conversations, and decide the vertical-scope question for launch. Both are named, scoped, and sequenced in Section 9 — this is the leading hypothesis to execute against, not a settled positioning that needs no further work.</w:t>
            </w:r>
          </w:p>
        </w:tc>
      </w:tr>
    </w:tbl>
    <w:p>
      <w:pPr>
        <w:pStyle w:val="Heading1"/>
        <w:spacing w:after="160" w:before="300"/>
      </w:pPr>
      <w:r>
        <w:t xml:space="preserve">7. Strengths &amp; Weaknesses of the Competitive Set</w:t>
      </w:r>
    </w:p>
    <w:tbl>
      <w:tblPr>
        <w:tblW w:type="dxa" w:w="10800"/>
        <w:tblBorders>
          <w:top w:val="single" w:color="CCCCCC" w:sz="4"/>
          <w:left w:val="single" w:color="CCCCCC" w:sz="4"/>
          <w:bottom w:val="single" w:color="CCCCCC" w:sz="4"/>
          <w:right w:val="single" w:color="CCCCCC" w:sz="4"/>
          <w:insideH w:val="single" w:color="CCCCCC" w:sz="4"/>
          <w:insideV w:val="single" w:color="CCCCCC" w:sz="4"/>
        </w:tblBorders>
      </w:tblPr>
      <w:tblGrid>
        <w:gridCol w:w="1900"/>
        <w:gridCol w:w="4400"/>
        <w:gridCol w:w="4500"/>
      </w:tblGrid>
      <w:tr>
        <w:trPr>
          <w:tblHeader/>
        </w:trPr>
        <w:tc>
          <w:tcPr>
            <w:tcW w:type="dxa" w:w="1900"/>
            <w:shd w:fill="1B3A4B" w:val="clear"/>
            <w:tcMar>
              <w:top w:type="dxa" w:w="100"/>
              <w:left w:type="dxa" w:w="140"/>
              <w:bottom w:type="dxa" w:w="100"/>
              <w:right w:type="dxa" w:w="140"/>
            </w:tcMar>
          </w:tcPr>
          <w:p>
            <w:r>
              <w:rPr>
                <w:b/>
                <w:bCs/>
                <w:color w:val="FFFFFF"/>
                <w:sz w:val="19"/>
                <w:szCs w:val="19"/>
              </w:rPr>
              <w:t xml:space="preserve">Product</w:t>
            </w:r>
          </w:p>
        </w:tc>
        <w:tc>
          <w:tcPr>
            <w:tcW w:type="dxa" w:w="4400"/>
            <w:shd w:fill="1B3A4B" w:val="clear"/>
            <w:tcMar>
              <w:top w:type="dxa" w:w="100"/>
              <w:left w:type="dxa" w:w="140"/>
              <w:bottom w:type="dxa" w:w="100"/>
              <w:right w:type="dxa" w:w="140"/>
            </w:tcMar>
          </w:tcPr>
          <w:p>
            <w:r>
              <w:rPr>
                <w:b/>
                <w:bCs/>
                <w:color w:val="FFFFFF"/>
                <w:sz w:val="19"/>
                <w:szCs w:val="19"/>
              </w:rPr>
              <w:t xml:space="preserve">Genuine strength</w:t>
            </w:r>
          </w:p>
        </w:tc>
        <w:tc>
          <w:tcPr>
            <w:tcW w:type="dxa" w:w="4500"/>
            <w:shd w:fill="1B3A4B" w:val="clear"/>
            <w:tcMar>
              <w:top w:type="dxa" w:w="100"/>
              <w:left w:type="dxa" w:w="140"/>
              <w:bottom w:type="dxa" w:w="100"/>
              <w:right w:type="dxa" w:w="140"/>
            </w:tcMar>
          </w:tcPr>
          <w:p>
            <w:r>
              <w:rPr>
                <w:b/>
                <w:bCs/>
                <w:color w:val="FFFFFF"/>
                <w:sz w:val="19"/>
                <w:szCs w:val="19"/>
              </w:rPr>
              <w:t xml:space="preserve">Real weakness</w:t>
            </w:r>
          </w:p>
        </w:tc>
      </w:tr>
      <w:tr>
        <w:tc>
          <w:tcPr>
            <w:tcW w:type="dxa" w:w="1900"/>
            <w:shd w:fill="FFFFFF" w:val="clear"/>
            <w:tcMar>
              <w:top w:type="dxa" w:w="90"/>
              <w:left w:type="dxa" w:w="140"/>
              <w:bottom w:type="dxa" w:w="90"/>
              <w:right w:type="dxa" w:w="140"/>
            </w:tcMar>
          </w:tcPr>
          <w:p>
            <w:pPr>
              <w:spacing w:line="260"/>
            </w:pPr>
            <w:r>
              <w:rPr>
                <w:color w:val="222222"/>
                <w:sz w:val="18"/>
                <w:szCs w:val="18"/>
              </w:rPr>
              <w:t xml:space="preserve">Teal</w:t>
            </w:r>
          </w:p>
        </w:tc>
        <w:tc>
          <w:tcPr>
            <w:tcW w:type="dxa" w:w="4400"/>
            <w:shd w:fill="FFFFFF" w:val="clear"/>
            <w:tcMar>
              <w:top w:type="dxa" w:w="90"/>
              <w:left w:type="dxa" w:w="140"/>
              <w:bottom w:type="dxa" w:w="90"/>
              <w:right w:type="dxa" w:w="140"/>
            </w:tcMar>
          </w:tcPr>
          <w:p>
            <w:pPr>
              <w:spacing w:line="260"/>
            </w:pPr>
            <w:r>
              <w:rPr>
                <w:color w:val="222222"/>
                <w:sz w:val="18"/>
                <w:szCs w:val="18"/>
              </w:rPr>
              <w:t xml:space="preserve">Best free plan in the category; strong JD-match scoring</w:t>
            </w:r>
          </w:p>
        </w:tc>
        <w:tc>
          <w:tcPr>
            <w:tcW w:type="dxa" w:w="4500"/>
            <w:shd w:fill="FFFFFF" w:val="clear"/>
            <w:tcMar>
              <w:top w:type="dxa" w:w="90"/>
              <w:left w:type="dxa" w:w="140"/>
              <w:bottom w:type="dxa" w:w="90"/>
              <w:right w:type="dxa" w:w="140"/>
            </w:tcMar>
          </w:tcPr>
          <w:p>
            <w:pPr>
              <w:spacing w:line="260"/>
            </w:pPr>
            <w:r>
              <w:rPr>
                <w:color w:val="222222"/>
                <w:sz w:val="18"/>
                <w:szCs w:val="18"/>
              </w:rPr>
              <w:t xml:space="preserve">No auto-apply, no proactive discovery — purely reactive</w:t>
            </w:r>
          </w:p>
        </w:tc>
      </w:tr>
      <w:tr>
        <w:tc>
          <w:tcPr>
            <w:tcW w:type="dxa" w:w="1900"/>
            <w:shd w:fill="F2F5F3" w:val="clear"/>
            <w:tcMar>
              <w:top w:type="dxa" w:w="90"/>
              <w:left w:type="dxa" w:w="140"/>
              <w:bottom w:type="dxa" w:w="90"/>
              <w:right w:type="dxa" w:w="140"/>
            </w:tcMar>
          </w:tcPr>
          <w:p>
            <w:pPr>
              <w:spacing w:line="260"/>
            </w:pPr>
            <w:r>
              <w:rPr>
                <w:color w:val="222222"/>
                <w:sz w:val="18"/>
                <w:szCs w:val="18"/>
              </w:rPr>
              <w:t xml:space="preserve">Huntr</w:t>
            </w:r>
          </w:p>
        </w:tc>
        <w:tc>
          <w:tcPr>
            <w:tcW w:type="dxa" w:w="4400"/>
            <w:shd w:fill="F2F5F3" w:val="clear"/>
            <w:tcMar>
              <w:top w:type="dxa" w:w="90"/>
              <w:left w:type="dxa" w:w="140"/>
              <w:bottom w:type="dxa" w:w="90"/>
              <w:right w:type="dxa" w:w="140"/>
            </w:tcMar>
          </w:tcPr>
          <w:p>
            <w:pPr>
              <w:spacing w:line="260"/>
            </w:pPr>
            <w:r>
              <w:rPr>
                <w:color w:val="222222"/>
                <w:sz w:val="18"/>
                <w:szCs w:val="18"/>
              </w:rPr>
              <w:t xml:space="preserve">Cleanest tracker UX</w:t>
            </w:r>
          </w:p>
        </w:tc>
        <w:tc>
          <w:tcPr>
            <w:tcW w:type="dxa" w:w="4500"/>
            <w:shd w:fill="F2F5F3" w:val="clear"/>
            <w:tcMar>
              <w:top w:type="dxa" w:w="90"/>
              <w:left w:type="dxa" w:w="140"/>
              <w:bottom w:type="dxa" w:w="90"/>
              <w:right w:type="dxa" w:w="140"/>
            </w:tcMar>
          </w:tcPr>
          <w:p>
            <w:pPr>
              <w:spacing w:line="260"/>
            </w:pPr>
            <w:r>
              <w:rPr>
                <w:color w:val="222222"/>
                <w:sz w:val="18"/>
                <w:szCs w:val="18"/>
              </w:rPr>
              <w:t xml:space="preserve">Weak on discovery and AI depth; $40/mo is pricey for a Kanban board</w:t>
            </w:r>
          </w:p>
        </w:tc>
      </w:tr>
      <w:tr>
        <w:tc>
          <w:tcPr>
            <w:tcW w:type="dxa" w:w="1900"/>
            <w:shd w:fill="FFFFFF" w:val="clear"/>
            <w:tcMar>
              <w:top w:type="dxa" w:w="90"/>
              <w:left w:type="dxa" w:w="140"/>
              <w:bottom w:type="dxa" w:w="90"/>
              <w:right w:type="dxa" w:w="140"/>
            </w:tcMar>
          </w:tcPr>
          <w:p>
            <w:pPr>
              <w:spacing w:line="260"/>
            </w:pPr>
            <w:r>
              <w:rPr>
                <w:color w:val="222222"/>
                <w:sz w:val="18"/>
                <w:szCs w:val="18"/>
              </w:rPr>
              <w:t xml:space="preserve">Simplify</w:t>
            </w:r>
          </w:p>
        </w:tc>
        <w:tc>
          <w:tcPr>
            <w:tcW w:type="dxa" w:w="4400"/>
            <w:shd w:fill="FFFFFF" w:val="clear"/>
            <w:tcMar>
              <w:top w:type="dxa" w:w="90"/>
              <w:left w:type="dxa" w:w="140"/>
              <w:bottom w:type="dxa" w:w="90"/>
              <w:right w:type="dxa" w:w="140"/>
            </w:tcMar>
          </w:tcPr>
          <w:p>
            <w:pPr>
              <w:spacing w:line="260"/>
            </w:pPr>
            <w:r>
              <w:rPr>
                <w:color w:val="222222"/>
                <w:sz w:val="18"/>
                <w:szCs w:val="18"/>
              </w:rPr>
              <w:t xml:space="preserve">Free tier is genuinely free and widely installed</w:t>
            </w:r>
          </w:p>
        </w:tc>
        <w:tc>
          <w:tcPr>
            <w:tcW w:type="dxa" w:w="4500"/>
            <w:shd w:fill="FFFFFF" w:val="clear"/>
            <w:tcMar>
              <w:top w:type="dxa" w:w="90"/>
              <w:left w:type="dxa" w:w="140"/>
              <w:bottom w:type="dxa" w:w="90"/>
              <w:right w:type="dxa" w:w="140"/>
            </w:tcMar>
          </w:tcPr>
          <w:p>
            <w:pPr>
              <w:spacing w:line="260"/>
            </w:pPr>
            <w:r>
              <w:rPr>
                <w:color w:val="222222"/>
                <w:sz w:val="18"/>
                <w:szCs w:val="18"/>
              </w:rPr>
              <w:t xml:space="preserve">“Not true auto-apply despite AI Agent marketing” is the top user complaint</w:t>
            </w:r>
          </w:p>
        </w:tc>
      </w:tr>
      <w:tr>
        <w:tc>
          <w:tcPr>
            <w:tcW w:type="dxa" w:w="1900"/>
            <w:shd w:fill="F2F5F3" w:val="clear"/>
            <w:tcMar>
              <w:top w:type="dxa" w:w="90"/>
              <w:left w:type="dxa" w:w="140"/>
              <w:bottom w:type="dxa" w:w="90"/>
              <w:right w:type="dxa" w:w="140"/>
            </w:tcMar>
          </w:tcPr>
          <w:p>
            <w:pPr>
              <w:spacing w:line="260"/>
            </w:pPr>
            <w:r>
              <w:rPr>
                <w:color w:val="222222"/>
                <w:sz w:val="18"/>
                <w:szCs w:val="18"/>
              </w:rPr>
              <w:t xml:space="preserve">Careerflow</w:t>
            </w:r>
          </w:p>
        </w:tc>
        <w:tc>
          <w:tcPr>
            <w:tcW w:type="dxa" w:w="4400"/>
            <w:shd w:fill="F2F5F3" w:val="clear"/>
            <w:tcMar>
              <w:top w:type="dxa" w:w="90"/>
              <w:left w:type="dxa" w:w="140"/>
              <w:bottom w:type="dxa" w:w="90"/>
              <w:right w:type="dxa" w:w="140"/>
            </w:tcMar>
          </w:tcPr>
          <w:p>
            <w:pPr>
              <w:spacing w:line="260"/>
            </w:pPr>
            <w:r>
              <w:rPr>
                <w:color w:val="222222"/>
                <w:sz w:val="18"/>
                <w:szCs w:val="18"/>
              </w:rPr>
              <w:t xml:space="preserve">Best LinkedIn optimizer in the category</w:t>
            </w:r>
          </w:p>
        </w:tc>
        <w:tc>
          <w:tcPr>
            <w:tcW w:type="dxa" w:w="4500"/>
            <w:shd w:fill="F2F5F3" w:val="clear"/>
            <w:tcMar>
              <w:top w:type="dxa" w:w="90"/>
              <w:left w:type="dxa" w:w="140"/>
              <w:bottom w:type="dxa" w:w="90"/>
              <w:right w:type="dxa" w:w="140"/>
            </w:tcMar>
          </w:tcPr>
          <w:p>
            <w:pPr>
              <w:spacing w:line="260"/>
            </w:pPr>
            <w:r>
              <w:rPr>
                <w:color w:val="222222"/>
                <w:sz w:val="18"/>
                <w:szCs w:val="18"/>
              </w:rPr>
              <w:t xml:space="preserve">Resume/tracker features are merely adequate, not differentiated</w:t>
            </w:r>
          </w:p>
        </w:tc>
      </w:tr>
      <w:tr>
        <w:tc>
          <w:tcPr>
            <w:tcW w:type="dxa" w:w="1900"/>
            <w:shd w:fill="FFFFFF" w:val="clear"/>
            <w:tcMar>
              <w:top w:type="dxa" w:w="90"/>
              <w:left w:type="dxa" w:w="140"/>
              <w:bottom w:type="dxa" w:w="90"/>
              <w:right w:type="dxa" w:w="140"/>
            </w:tcMar>
          </w:tcPr>
          <w:p>
            <w:pPr>
              <w:spacing w:line="260"/>
            </w:pPr>
            <w:r>
              <w:rPr>
                <w:color w:val="222222"/>
                <w:sz w:val="18"/>
                <w:szCs w:val="18"/>
              </w:rPr>
              <w:t xml:space="preserve">JobScan</w:t>
            </w:r>
          </w:p>
        </w:tc>
        <w:tc>
          <w:tcPr>
            <w:tcW w:type="dxa" w:w="4400"/>
            <w:shd w:fill="FFFFFF" w:val="clear"/>
            <w:tcMar>
              <w:top w:type="dxa" w:w="90"/>
              <w:left w:type="dxa" w:w="140"/>
              <w:bottom w:type="dxa" w:w="90"/>
              <w:right w:type="dxa" w:w="140"/>
            </w:tcMar>
          </w:tcPr>
          <w:p>
            <w:pPr>
              <w:spacing w:line="260"/>
            </w:pPr>
            <w:r>
              <w:rPr>
                <w:color w:val="222222"/>
                <w:sz w:val="18"/>
                <w:szCs w:val="18"/>
              </w:rPr>
              <w:t xml:space="preserve">Best-in-class keyword/match-rate granularity</w:t>
            </w:r>
          </w:p>
        </w:tc>
        <w:tc>
          <w:tcPr>
            <w:tcW w:type="dxa" w:w="4500"/>
            <w:shd w:fill="FFFFFF" w:val="clear"/>
            <w:tcMar>
              <w:top w:type="dxa" w:w="90"/>
              <w:left w:type="dxa" w:w="140"/>
              <w:bottom w:type="dxa" w:w="90"/>
              <w:right w:type="dxa" w:w="140"/>
            </w:tcMar>
          </w:tcPr>
          <w:p>
            <w:pPr>
              <w:spacing w:line="260"/>
            </w:pPr>
            <w:r>
              <w:rPr>
                <w:color w:val="222222"/>
                <w:sz w:val="18"/>
                <w:szCs w:val="18"/>
              </w:rPr>
              <w:t xml:space="preserve">Analyzer only — doesn't write anything for you</w:t>
            </w:r>
          </w:p>
        </w:tc>
      </w:tr>
      <w:tr>
        <w:tc>
          <w:tcPr>
            <w:tcW w:type="dxa" w:w="1900"/>
            <w:shd w:fill="F2F5F3" w:val="clear"/>
            <w:tcMar>
              <w:top w:type="dxa" w:w="90"/>
              <w:left w:type="dxa" w:w="140"/>
              <w:bottom w:type="dxa" w:w="90"/>
              <w:right w:type="dxa" w:w="140"/>
            </w:tcMar>
          </w:tcPr>
          <w:p>
            <w:pPr>
              <w:spacing w:line="260"/>
            </w:pPr>
            <w:r>
              <w:rPr>
                <w:color w:val="222222"/>
                <w:sz w:val="18"/>
                <w:szCs w:val="18"/>
              </w:rPr>
              <w:t xml:space="preserve">Sonara</w:t>
            </w:r>
          </w:p>
        </w:tc>
        <w:tc>
          <w:tcPr>
            <w:tcW w:type="dxa" w:w="4400"/>
            <w:shd w:fill="F2F5F3" w:val="clear"/>
            <w:tcMar>
              <w:top w:type="dxa" w:w="90"/>
              <w:left w:type="dxa" w:w="140"/>
              <w:bottom w:type="dxa" w:w="90"/>
              <w:right w:type="dxa" w:w="140"/>
            </w:tcMar>
          </w:tcPr>
          <w:p>
            <w:pPr>
              <w:spacing w:line="260"/>
            </w:pPr>
            <w:r>
              <w:rPr>
                <w:color w:val="222222"/>
                <w:sz w:val="18"/>
                <w:szCs w:val="18"/>
              </w:rPr>
              <w:t xml:space="preserve">Cheap, low setup effort, real volume</w:t>
            </w:r>
          </w:p>
        </w:tc>
        <w:tc>
          <w:tcPr>
            <w:tcW w:type="dxa" w:w="4500"/>
            <w:shd w:fill="F2F5F3" w:val="clear"/>
            <w:tcMar>
              <w:top w:type="dxa" w:w="90"/>
              <w:left w:type="dxa" w:w="140"/>
              <w:bottom w:type="dxa" w:w="90"/>
              <w:right w:type="dxa" w:w="140"/>
            </w:tcMar>
          </w:tcPr>
          <w:p>
            <w:pPr>
              <w:spacing w:line="260"/>
            </w:pPr>
            <w:r>
              <w:rPr>
                <w:color w:val="222222"/>
                <w:sz w:val="18"/>
                <w:szCs w:val="18"/>
              </w:rPr>
              <w:t xml:space="preserve">Refund/auto-renew complaints; volume-over-fit is a poor fit for senior roles</w:t>
            </w:r>
          </w:p>
        </w:tc>
      </w:tr>
      <w:tr>
        <w:tc>
          <w:tcPr>
            <w:tcW w:type="dxa" w:w="1900"/>
            <w:shd w:fill="FFFFFF" w:val="clear"/>
            <w:tcMar>
              <w:top w:type="dxa" w:w="90"/>
              <w:left w:type="dxa" w:w="140"/>
              <w:bottom w:type="dxa" w:w="90"/>
              <w:right w:type="dxa" w:w="140"/>
            </w:tcMar>
          </w:tcPr>
          <w:p>
            <w:pPr>
              <w:spacing w:line="260"/>
            </w:pPr>
            <w:r>
              <w:rPr>
                <w:color w:val="222222"/>
                <w:sz w:val="18"/>
                <w:szCs w:val="18"/>
              </w:rPr>
              <w:t xml:space="preserve">Massive</w:t>
            </w:r>
          </w:p>
        </w:tc>
        <w:tc>
          <w:tcPr>
            <w:tcW w:type="dxa" w:w="4400"/>
            <w:shd w:fill="FFFFFF" w:val="clear"/>
            <w:tcMar>
              <w:top w:type="dxa" w:w="90"/>
              <w:left w:type="dxa" w:w="140"/>
              <w:bottom w:type="dxa" w:w="90"/>
              <w:right w:type="dxa" w:w="140"/>
            </w:tcMar>
          </w:tcPr>
          <w:p>
            <w:pPr>
              <w:spacing w:line="260"/>
            </w:pPr>
            <w:r>
              <w:rPr>
                <w:color w:val="222222"/>
                <w:sz w:val="18"/>
                <w:szCs w:val="18"/>
              </w:rPr>
              <w:t xml:space="preserve">Shows the draft before submitting — more transparent than peers</w:t>
            </w:r>
          </w:p>
        </w:tc>
        <w:tc>
          <w:tcPr>
            <w:tcW w:type="dxa" w:w="4500"/>
            <w:shd w:fill="FFFFFF" w:val="clear"/>
            <w:tcMar>
              <w:top w:type="dxa" w:w="90"/>
              <w:left w:type="dxa" w:w="140"/>
              <w:bottom w:type="dxa" w:w="90"/>
              <w:right w:type="dxa" w:w="140"/>
            </w:tcMar>
          </w:tcPr>
          <w:p>
            <w:pPr>
              <w:spacing w:line="260"/>
            </w:pPr>
            <w:r>
              <w:rPr>
                <w:color w:val="222222"/>
                <w:sz w:val="18"/>
                <w:szCs w:val="18"/>
              </w:rPr>
              <w:t xml:space="preserve">$99/mo for 200 applications is expensive per-unit; 23-step onboarding flagged as friction</w:t>
            </w:r>
          </w:p>
        </w:tc>
      </w:tr>
      <w:tr>
        <w:tc>
          <w:tcPr>
            <w:tcW w:type="dxa" w:w="1900"/>
            <w:shd w:fill="F2F5F3" w:val="clear"/>
            <w:tcMar>
              <w:top w:type="dxa" w:w="90"/>
              <w:left w:type="dxa" w:w="140"/>
              <w:bottom w:type="dxa" w:w="90"/>
              <w:right w:type="dxa" w:w="140"/>
            </w:tcMar>
          </w:tcPr>
          <w:p>
            <w:pPr>
              <w:spacing w:line="260"/>
            </w:pPr>
            <w:r>
              <w:rPr>
                <w:color w:val="222222"/>
                <w:sz w:val="18"/>
                <w:szCs w:val="18"/>
              </w:rPr>
              <w:t xml:space="preserve">LazyApply</w:t>
            </w:r>
          </w:p>
        </w:tc>
        <w:tc>
          <w:tcPr>
            <w:tcW w:type="dxa" w:w="4400"/>
            <w:shd w:fill="F2F5F3" w:val="clear"/>
            <w:tcMar>
              <w:top w:type="dxa" w:w="90"/>
              <w:left w:type="dxa" w:w="140"/>
              <w:bottom w:type="dxa" w:w="90"/>
              <w:right w:type="dxa" w:w="140"/>
            </w:tcMar>
          </w:tcPr>
          <w:p>
            <w:pPr>
              <w:spacing w:line="260"/>
            </w:pPr>
            <w:r>
              <w:rPr>
                <w:color w:val="222222"/>
                <w:sz w:val="18"/>
                <w:szCs w:val="18"/>
              </w:rPr>
              <w:t xml:space="preserve">Cheapest per-application by far</w:t>
            </w:r>
          </w:p>
        </w:tc>
        <w:tc>
          <w:tcPr>
            <w:tcW w:type="dxa" w:w="4500"/>
            <w:shd w:fill="F2F5F3" w:val="clear"/>
            <w:tcMar>
              <w:top w:type="dxa" w:w="90"/>
              <w:left w:type="dxa" w:w="140"/>
              <w:bottom w:type="dxa" w:w="90"/>
              <w:right w:type="dxa" w:w="140"/>
            </w:tcMar>
          </w:tcPr>
          <w:p>
            <w:pPr>
              <w:spacing w:line="260"/>
            </w:pPr>
            <w:r>
              <w:rPr>
                <w:color w:val="222222"/>
                <w:sz w:val="18"/>
                <w:szCs w:val="18"/>
              </w:rPr>
              <w:t xml:space="preserve">Doesn't reach Workday/Greenhouse/Lever/Ashby, where the real jobs live</w:t>
            </w:r>
          </w:p>
        </w:tc>
      </w:tr>
    </w:tbl>
    <w:p>
      <w:pPr>
        <w:spacing w:after="160" w:before="40"/>
      </w:pPr>
      <w:r>
        <w:rPr>
          <w:i/>
          <w:iCs/>
          <w:color w:val="5A5A5A"/>
          <w:sz w:val="19"/>
          <w:szCs w:val="19"/>
        </w:rPr>
        <w:t xml:space="preserve">Sources: Appendix A.</w:t>
      </w:r>
    </w:p>
    <w:p>
      <w:pPr>
        <w:pStyle w:val="Heading1"/>
        <w:spacing w:after="160" w:before="300"/>
      </w:pPr>
      <w:r>
        <w:t xml:space="preserve">8. Opportunities &amp; Threats</w:t>
      </w:r>
    </w:p>
    <w:p>
      <w:pPr>
        <w:spacing w:after="100" w:before="100"/>
      </w:pPr>
      <w:r>
        <w:rPr>
          <w:b/>
          <w:bCs/>
          <w:color w:val="222222"/>
          <w:sz w:val="21"/>
          <w:szCs w:val="21"/>
        </w:rPr>
        <w:t xml:space="preserve">Opportunities</w:t>
      </w:r>
    </w:p>
    <w:p>
      <w:pPr>
        <w:pStyle w:val="ListParagraph"/>
        <w:numPr>
          <w:ilvl w:val="0"/>
          <w:numId w:val="2"/>
        </w:numPr>
        <w:spacing w:after="90" w:line="280"/>
      </w:pPr>
      <w:r>
        <w:t xml:space="preserve">The executive/senior positioning (Section 6, “Testing the Hypothesis”) is unclaimed and structurally supported by Prospector + the gap-probing profile.</w:t>
      </w:r>
    </w:p>
    <w:p>
      <w:pPr>
        <w:pStyle w:val="ListParagraph"/>
        <w:numPr>
          <w:ilvl w:val="0"/>
          <w:numId w:val="2"/>
        </w:numPr>
        <w:spacing w:after="90" w:line="280"/>
      </w:pPr>
      <w:r>
        <w:t xml:space="preserve">The $200–1,200/year pricing gap between SaaS trackers and human coaching (Section 5, “Pricing Comparison”) is real and unoccupied.</w:t>
      </w:r>
    </w:p>
    <w:p>
      <w:pPr>
        <w:pStyle w:val="ListParagraph"/>
        <w:numPr>
          <w:ilvl w:val="0"/>
          <w:numId w:val="2"/>
        </w:numPr>
        <w:spacing w:after="90" w:line="280"/>
      </w:pPr>
      <w:r>
        <w:t xml:space="preserve">Auto-apply backlash (refund complaints, ATS/bot-detection risk, “spammy” framing) makes “we deliberately never submit for you” a credible, differentiated claim.</w:t>
      </w:r>
    </w:p>
    <w:p>
      <w:pPr>
        <w:pStyle w:val="ListParagraph"/>
        <w:numPr>
          <w:ilvl w:val="0"/>
          <w:numId w:val="2"/>
        </w:numPr>
        <w:spacing w:after="90" w:line="280"/>
      </w:pPr>
      <w:r>
        <w:t xml:space="preserve">The Gmail CTA + auto-draft-reply loop is a genuinely novel capability nobody in this set has — worth leading with in a live demo.</w:t>
      </w:r>
    </w:p>
    <w:p>
      <w:pPr>
        <w:spacing w:after="100" w:before="200"/>
      </w:pPr>
      <w:r>
        <w:rPr>
          <w:b/>
          <w:bCs/>
          <w:color w:val="222222"/>
          <w:sz w:val="21"/>
          <w:szCs w:val="21"/>
        </w:rPr>
        <w:t xml:space="preserve">Threats</w:t>
      </w:r>
    </w:p>
    <w:p>
      <w:pPr>
        <w:pStyle w:val="ListParagraph"/>
        <w:numPr>
          <w:ilvl w:val="0"/>
          <w:numId w:val="2"/>
        </w:numPr>
        <w:spacing w:after="90" w:line="280"/>
      </w:pPr>
      <w:r>
        <w:t xml:space="preserve">The single-tenant gap is the real threat, not competitors — every company in this comparison already solved multi-tenant delivery; Panga hasn't started.</w:t>
      </w:r>
    </w:p>
    <w:p>
      <w:pPr>
        <w:pStyle w:val="ListParagraph"/>
        <w:numPr>
          <w:ilvl w:val="0"/>
          <w:numId w:val="2"/>
        </w:numPr>
        <w:spacing w:after="90" w:line="280"/>
      </w:pPr>
      <w:r>
        <w:t xml:space="preserve">MCP-connector dependency for Gmail/LinkedIn/job boards means the product currently can't run without a live Claude Code session — a harder blocker than pricing or positioning.</w:t>
      </w:r>
    </w:p>
    <w:p>
      <w:pPr>
        <w:pStyle w:val="ListParagraph"/>
        <w:numPr>
          <w:ilvl w:val="0"/>
          <w:numId w:val="2"/>
        </w:numPr>
        <w:spacing w:after="90" w:line="280"/>
      </w:pPr>
      <w:r>
        <w:t xml:space="preserve">Vertical-lock on Prospector limits day-one addressable market to life-sciences/pharma unless the signal-sourcing stack is generalized.</w:t>
      </w:r>
    </w:p>
    <w:p>
      <w:pPr>
        <w:pStyle w:val="ListParagraph"/>
        <w:numPr>
          <w:ilvl w:val="0"/>
          <w:numId w:val="2"/>
        </w:numPr>
        <w:spacing w:after="90" w:line="280"/>
      </w:pPr>
      <w:r>
        <w:t xml:space="preserve">JobScan's keyword-analysis depth and Teal/Huntr's tracker polish are genuine strengths — competing feature-for-feature loses on their home turf.</w:t>
      </w:r>
    </w:p>
    <w:p>
      <w:pPr>
        <w:pStyle w:val="Heading1"/>
        <w:spacing w:after="160" w:before="300"/>
      </w:pPr>
      <w:r>
        <w:t xml:space="preserve">9. Minimum Work to Get From Current Build to Sellable</w:t>
      </w:r>
    </w:p>
    <w:p>
      <w:pPr>
        <w:spacing w:after="160" w:line="300"/>
      </w:pPr>
      <w:r>
        <w:rPr>
          <w:color w:val="222222"/>
          <w:sz w:val="21"/>
          <w:szCs w:val="21"/>
        </w:rPr>
        <w:t xml:space="preserve">Grounded in what's already scoped in PRD §13 — a synthesis of decisions already made, not a new estimate. This table is also the execution roadmap referenced from the Verdict (Section 11) — the sequence below is what “yes, and here's exactly what's next” means in practice.</w:t>
      </w:r>
    </w:p>
    <w:tbl>
      <w:tblPr>
        <w:tblW w:type="dxa" w:w="108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4100"/>
        <w:gridCol w:w="4100"/>
      </w:tblGrid>
      <w:tr>
        <w:trPr>
          <w:tblHeader/>
        </w:trPr>
        <w:tc>
          <w:tcPr>
            <w:tcW w:type="dxa" w:w="2600"/>
            <w:shd w:fill="1B3A4B" w:val="clear"/>
            <w:tcMar>
              <w:top w:type="dxa" w:w="100"/>
              <w:left w:type="dxa" w:w="140"/>
              <w:bottom w:type="dxa" w:w="100"/>
              <w:right w:type="dxa" w:w="140"/>
            </w:tcMar>
          </w:tcPr>
          <w:p>
            <w:r>
              <w:rPr>
                <w:b/>
                <w:bCs/>
                <w:color w:val="FFFFFF"/>
                <w:sz w:val="19"/>
                <w:szCs w:val="19"/>
              </w:rPr>
              <w:t xml:space="preserve">Gap</w:t>
            </w:r>
          </w:p>
        </w:tc>
        <w:tc>
          <w:tcPr>
            <w:tcW w:type="dxa" w:w="4100"/>
            <w:shd w:fill="1B3A4B" w:val="clear"/>
            <w:tcMar>
              <w:top w:type="dxa" w:w="100"/>
              <w:left w:type="dxa" w:w="140"/>
              <w:bottom w:type="dxa" w:w="100"/>
              <w:right w:type="dxa" w:w="140"/>
            </w:tcMar>
          </w:tcPr>
          <w:p>
            <w:r>
              <w:rPr>
                <w:b/>
                <w:bCs/>
                <w:color w:val="FFFFFF"/>
                <w:sz w:val="19"/>
                <w:szCs w:val="19"/>
              </w:rPr>
              <w:t xml:space="preserve">Current state</w:t>
            </w:r>
          </w:p>
        </w:tc>
        <w:tc>
          <w:tcPr>
            <w:tcW w:type="dxa" w:w="4100"/>
            <w:shd w:fill="1B3A4B" w:val="clear"/>
            <w:tcMar>
              <w:top w:type="dxa" w:w="100"/>
              <w:left w:type="dxa" w:w="140"/>
              <w:bottom w:type="dxa" w:w="100"/>
              <w:right w:type="dxa" w:w="140"/>
            </w:tcMar>
          </w:tcPr>
          <w:p>
            <w:r>
              <w:rPr>
                <w:b/>
                <w:bCs/>
                <w:color w:val="FFFFFF"/>
                <w:sz w:val="19"/>
                <w:szCs w:val="19"/>
              </w:rPr>
              <w:t xml:space="preserve">Why it's a hard blocker</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MCP-connector dependency (Gmail especially)</w:t>
            </w:r>
          </w:p>
        </w:tc>
        <w:tc>
          <w:tcPr>
            <w:tcW w:type="dxa" w:w="4100"/>
            <w:shd w:fill="FFFFFF" w:val="clear"/>
            <w:tcMar>
              <w:top w:type="dxa" w:w="90"/>
              <w:left w:type="dxa" w:w="140"/>
              <w:bottom w:type="dxa" w:w="90"/>
              <w:right w:type="dxa" w:w="140"/>
            </w:tcMar>
          </w:tcPr>
          <w:p>
            <w:pPr>
              <w:spacing w:line="260"/>
            </w:pPr>
            <w:r>
              <w:rPr>
                <w:color w:val="222222"/>
                <w:sz w:val="18"/>
                <w:szCs w:val="18"/>
              </w:rPr>
              <w:t xml:space="preserve">Native packaging done, but Gmail/job-board access still assumes a live Claude Code session</w:t>
            </w:r>
          </w:p>
        </w:tc>
        <w:tc>
          <w:tcPr>
            <w:tcW w:type="dxa" w:w="4100"/>
            <w:shd w:fill="FFFFFF" w:val="clear"/>
            <w:tcMar>
              <w:top w:type="dxa" w:w="90"/>
              <w:left w:type="dxa" w:w="140"/>
              <w:bottom w:type="dxa" w:w="90"/>
              <w:right w:type="dxa" w:w="140"/>
            </w:tcMar>
          </w:tcPr>
          <w:p>
            <w:pPr>
              <w:spacing w:line="260"/>
            </w:pPr>
            <w:r>
              <w:rPr>
                <w:color w:val="222222"/>
                <w:sz w:val="18"/>
                <w:szCs w:val="18"/>
              </w:rPr>
              <w:t xml:space="preserve">A packaged .exe a stranger installs cannot carry your Claude Code session with it — the single largest gap between “works for Zahir” and “works for a customer.”</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Licensing/subscription/billing</w:t>
            </w:r>
          </w:p>
        </w:tc>
        <w:tc>
          <w:tcPr>
            <w:tcW w:type="dxa" w:w="4100"/>
            <w:shd w:fill="F2F5F3" w:val="clear"/>
            <w:tcMar>
              <w:top w:type="dxa" w:w="90"/>
              <w:left w:type="dxa" w:w="140"/>
              <w:bottom w:type="dxa" w:w="90"/>
              <w:right w:type="dxa" w:w="140"/>
            </w:tcMar>
          </w:tcPr>
          <w:p>
            <w:pPr>
              <w:spacing w:line="260"/>
            </w:pPr>
            <w:r>
              <w:rPr>
                <w:color w:val="222222"/>
                <w:sz w:val="18"/>
                <w:szCs w:val="18"/>
              </w:rPr>
              <w:t xml:space="preserve">Designed, not built</w:t>
            </w:r>
          </w:p>
        </w:tc>
        <w:tc>
          <w:tcPr>
            <w:tcW w:type="dxa" w:w="4100"/>
            <w:shd w:fill="F2F5F3" w:val="clear"/>
            <w:tcMar>
              <w:top w:type="dxa" w:w="90"/>
              <w:left w:type="dxa" w:w="140"/>
              <w:bottom w:type="dxa" w:w="90"/>
              <w:right w:type="dxa" w:w="140"/>
            </w:tcMar>
          </w:tcPr>
          <w:p>
            <w:pPr>
              <w:spacing w:line="260"/>
            </w:pPr>
            <w:r>
              <w:rPr>
                <w:color w:val="222222"/>
                <w:sz w:val="18"/>
                <w:szCs w:val="18"/>
              </w:rPr>
              <w:t xml:space="preserve">No product to sell without it — Stripe integration, device binding, trial tracking all still to build.</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Multi-tenant-ready onboarding</w:t>
            </w:r>
          </w:p>
        </w:tc>
        <w:tc>
          <w:tcPr>
            <w:tcW w:type="dxa" w:w="4100"/>
            <w:shd w:fill="FFFFFF" w:val="clear"/>
            <w:tcMar>
              <w:top w:type="dxa" w:w="90"/>
              <w:left w:type="dxa" w:w="140"/>
              <w:bottom w:type="dxa" w:w="90"/>
              <w:right w:type="dxa" w:w="140"/>
            </w:tcMar>
          </w:tcPr>
          <w:p>
            <w:pPr>
              <w:spacing w:line="260"/>
            </w:pPr>
            <w:r>
              <w:rPr>
                <w:color w:val="222222"/>
                <w:sz w:val="18"/>
                <w:szCs w:val="18"/>
              </w:rPr>
              <w:t xml:space="preserve">Multi-vertical generalization ~80% built; fresh-install path manually verified</w:t>
            </w:r>
          </w:p>
        </w:tc>
        <w:tc>
          <w:tcPr>
            <w:tcW w:type="dxa" w:w="4100"/>
            <w:shd w:fill="FFFFFF" w:val="clear"/>
            <w:tcMar>
              <w:top w:type="dxa" w:w="90"/>
              <w:left w:type="dxa" w:w="140"/>
              <w:bottom w:type="dxa" w:w="90"/>
              <w:right w:type="dxa" w:w="140"/>
            </w:tcMar>
          </w:tcPr>
          <w:p>
            <w:pPr>
              <w:spacing w:line="260"/>
            </w:pPr>
            <w:r>
              <w:rPr>
                <w:color w:val="222222"/>
                <w:sz w:val="18"/>
                <w:szCs w:val="18"/>
              </w:rPr>
              <w:t xml:space="preserve">Real progress here — the harder remaining piece is Prospector's vertical-specific signal stack, not onboarding.</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Prospector's signal sources</w:t>
            </w:r>
          </w:p>
        </w:tc>
        <w:tc>
          <w:tcPr>
            <w:tcW w:type="dxa" w:w="4100"/>
            <w:shd w:fill="F2F5F3" w:val="clear"/>
            <w:tcMar>
              <w:top w:type="dxa" w:w="90"/>
              <w:left w:type="dxa" w:w="140"/>
              <w:bottom w:type="dxa" w:w="90"/>
              <w:right w:type="dxa" w:w="140"/>
            </w:tcMar>
          </w:tcPr>
          <w:p>
            <w:pPr>
              <w:spacing w:line="260"/>
            </w:pPr>
            <w:r>
              <w:rPr>
                <w:color w:val="222222"/>
                <w:sz w:val="18"/>
                <w:szCs w:val="18"/>
              </w:rPr>
              <w:t xml:space="preserve">Life-sciences-only by design, deferred until other-vertical customers exist</w:t>
            </w:r>
          </w:p>
        </w:tc>
        <w:tc>
          <w:tcPr>
            <w:tcW w:type="dxa" w:w="4100"/>
            <w:shd w:fill="F2F5F3" w:val="clear"/>
            <w:tcMar>
              <w:top w:type="dxa" w:w="90"/>
              <w:left w:type="dxa" w:w="140"/>
              <w:bottom w:type="dxa" w:w="90"/>
              <w:right w:type="dxa" w:w="140"/>
            </w:tcMar>
          </w:tcPr>
          <w:p>
            <w:pPr>
              <w:spacing w:line="260"/>
            </w:pPr>
            <w:r>
              <w:rPr>
                <w:color w:val="222222"/>
                <w:sz w:val="18"/>
                <w:szCs w:val="18"/>
              </w:rPr>
              <w:t xml:space="preserve">This is the strongest differentiator (Section 4) — selling outside life-sciences without it means a materially weaker product.</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Gmail OAuth for non-technical customers</w:t>
            </w:r>
          </w:p>
        </w:tc>
        <w:tc>
          <w:tcPr>
            <w:tcW w:type="dxa" w:w="4100"/>
            <w:shd w:fill="FFFFFF" w:val="clear"/>
            <w:tcMar>
              <w:top w:type="dxa" w:w="90"/>
              <w:left w:type="dxa" w:w="140"/>
              <w:bottom w:type="dxa" w:w="90"/>
              <w:right w:type="dxa" w:w="140"/>
            </w:tcMar>
          </w:tcPr>
          <w:p>
            <w:pPr>
              <w:spacing w:line="260"/>
            </w:pPr>
            <w:r>
              <w:rPr>
                <w:color w:val="222222"/>
                <w:sz w:val="18"/>
                <w:szCs w:val="18"/>
              </w:rPr>
              <w:t xml:space="preserve">Per-customer Google Cloud project required today</w:t>
            </w:r>
          </w:p>
        </w:tc>
        <w:tc>
          <w:tcPr>
            <w:tcW w:type="dxa" w:w="4100"/>
            <w:shd w:fill="FFFFFF" w:val="clear"/>
            <w:tcMar>
              <w:top w:type="dxa" w:w="90"/>
              <w:left w:type="dxa" w:w="140"/>
              <w:bottom w:type="dxa" w:w="90"/>
              <w:right w:type="dxa" w:w="140"/>
            </w:tcMar>
          </w:tcPr>
          <w:p>
            <w:pPr>
              <w:spacing w:line="260"/>
            </w:pPr>
            <w:r>
              <w:rPr>
                <w:color w:val="222222"/>
                <w:sz w:val="18"/>
                <w:szCs w:val="18"/>
              </w:rPr>
              <w:t xml:space="preserve">A real barrier for a non-technical buyer — scoped, with a real cost (Google CASA assessment), deprioritized until volume justifies it.</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ToS / EULA / Privacy Policy</w:t>
            </w:r>
          </w:p>
        </w:tc>
        <w:tc>
          <w:tcPr>
            <w:tcW w:type="dxa" w:w="4100"/>
            <w:shd w:fill="F2F5F3" w:val="clear"/>
            <w:tcMar>
              <w:top w:type="dxa" w:w="90"/>
              <w:left w:type="dxa" w:w="140"/>
              <w:bottom w:type="dxa" w:w="90"/>
              <w:right w:type="dxa" w:w="140"/>
            </w:tcMar>
          </w:tcPr>
          <w:p>
            <w:pPr>
              <w:spacing w:line="260"/>
            </w:pPr>
            <w:r>
              <w:rPr>
                <w:color w:val="222222"/>
                <w:sz w:val="18"/>
                <w:szCs w:val="18"/>
              </w:rPr>
              <w:t xml:space="preserve">Not drafted</w:t>
            </w:r>
          </w:p>
        </w:tc>
        <w:tc>
          <w:tcPr>
            <w:tcW w:type="dxa" w:w="4100"/>
            <w:shd w:fill="F2F5F3" w:val="clear"/>
            <w:tcMar>
              <w:top w:type="dxa" w:w="90"/>
              <w:left w:type="dxa" w:w="140"/>
              <w:bottom w:type="dxa" w:w="90"/>
              <w:right w:type="dxa" w:w="140"/>
            </w:tcMar>
          </w:tcPr>
          <w:p>
            <w:pPr>
              <w:spacing w:line="260"/>
            </w:pPr>
            <w:r>
              <w:rPr>
                <w:color w:val="222222"/>
                <w:sz w:val="18"/>
                <w:szCs w:val="18"/>
              </w:rPr>
              <w:t xml:space="preserve">Hard requirement before any paid transaction.</w:t>
            </w:r>
          </w:p>
        </w:tc>
      </w:tr>
      <w:tr>
        <w:tc>
          <w:tcPr>
            <w:tcW w:type="dxa" w:w="2600"/>
            <w:shd w:fill="FFFFFF" w:val="clear"/>
            <w:tcMar>
              <w:top w:type="dxa" w:w="90"/>
              <w:left w:type="dxa" w:w="140"/>
              <w:bottom w:type="dxa" w:w="90"/>
              <w:right w:type="dxa" w:w="140"/>
            </w:tcMar>
          </w:tcPr>
          <w:p>
            <w:pPr>
              <w:spacing w:line="260"/>
            </w:pPr>
            <w:r>
              <w:rPr>
                <w:color w:val="222222"/>
                <w:sz w:val="18"/>
                <w:szCs w:val="18"/>
              </w:rPr>
              <w:t xml:space="preserve">Realistic cost evaluator</w:t>
            </w:r>
          </w:p>
        </w:tc>
        <w:tc>
          <w:tcPr>
            <w:tcW w:type="dxa" w:w="4100"/>
            <w:shd w:fill="FFFFFF" w:val="clear"/>
            <w:tcMar>
              <w:top w:type="dxa" w:w="90"/>
              <w:left w:type="dxa" w:w="140"/>
              <w:bottom w:type="dxa" w:w="90"/>
              <w:right w:type="dxa" w:w="140"/>
            </w:tcMar>
          </w:tcPr>
          <w:p>
            <w:pPr>
              <w:spacing w:line="260"/>
            </w:pPr>
            <w:r>
              <w:rPr>
                <w:color w:val="222222"/>
                <w:sz w:val="18"/>
                <w:szCs w:val="18"/>
              </w:rPr>
              <w:t xml:space="preserve">Not started</w:t>
            </w:r>
          </w:p>
        </w:tc>
        <w:tc>
          <w:tcPr>
            <w:tcW w:type="dxa" w:w="4100"/>
            <w:shd w:fill="FFFFFF" w:val="clear"/>
            <w:tcMar>
              <w:top w:type="dxa" w:w="90"/>
              <w:left w:type="dxa" w:w="140"/>
              <w:bottom w:type="dxa" w:w="90"/>
              <w:right w:type="dxa" w:w="140"/>
            </w:tcMar>
          </w:tcPr>
          <w:p>
            <w:pPr>
              <w:spacing w:line="260"/>
            </w:pPr>
            <w:r>
              <w:rPr>
                <w:color w:val="222222"/>
                <w:sz w:val="18"/>
                <w:szCs w:val="18"/>
              </w:rPr>
              <w:t xml:space="preserve">The $200/year price is an unvalidated placeholder — needed before quoting any real prospect.</w:t>
            </w:r>
          </w:p>
        </w:tc>
      </w:tr>
      <w:tr>
        <w:tc>
          <w:tcPr>
            <w:tcW w:type="dxa" w:w="2600"/>
            <w:shd w:fill="F2F5F3" w:val="clear"/>
            <w:tcMar>
              <w:top w:type="dxa" w:w="90"/>
              <w:left w:type="dxa" w:w="140"/>
              <w:bottom w:type="dxa" w:w="90"/>
              <w:right w:type="dxa" w:w="140"/>
            </w:tcMar>
          </w:tcPr>
          <w:p>
            <w:pPr>
              <w:spacing w:line="260"/>
            </w:pPr>
            <w:r>
              <w:rPr>
                <w:color w:val="222222"/>
                <w:sz w:val="18"/>
                <w:szCs w:val="18"/>
              </w:rPr>
              <w:t xml:space="preserve">Market validation of the executive hypothesis</w:t>
            </w:r>
          </w:p>
        </w:tc>
        <w:tc>
          <w:tcPr>
            <w:tcW w:type="dxa" w:w="4100"/>
            <w:shd w:fill="F2F5F3" w:val="clear"/>
            <w:tcMar>
              <w:top w:type="dxa" w:w="90"/>
              <w:left w:type="dxa" w:w="140"/>
              <w:bottom w:type="dxa" w:w="90"/>
              <w:right w:type="dxa" w:w="140"/>
            </w:tcMar>
          </w:tcPr>
          <w:p>
            <w:pPr>
              <w:spacing w:line="260"/>
            </w:pPr>
            <w:r>
              <w:rPr>
                <w:color w:val="222222"/>
                <w:sz w:val="18"/>
                <w:szCs w:val="18"/>
              </w:rPr>
              <w:t xml:space="preserve">Not started</w:t>
            </w:r>
          </w:p>
        </w:tc>
        <w:tc>
          <w:tcPr>
            <w:tcW w:type="dxa" w:w="4100"/>
            <w:shd w:fill="F2F5F3" w:val="clear"/>
            <w:tcMar>
              <w:top w:type="dxa" w:w="90"/>
              <w:left w:type="dxa" w:w="140"/>
              <w:bottom w:type="dxa" w:w="90"/>
              <w:right w:type="dxa" w:w="140"/>
            </w:tcMar>
          </w:tcPr>
          <w:p>
            <w:pPr>
              <w:spacing w:line="260"/>
            </w:pPr>
            <w:r>
              <w:rPr>
                <w:color w:val="222222"/>
                <w:sz w:val="18"/>
                <w:szCs w:val="18"/>
              </w:rPr>
              <w:t xml:space="preserve">Everything about willingness-to-pay is inference from adjacent pricing, not a real conversation with a real senior candidate.</w:t>
            </w:r>
          </w:p>
        </w:tc>
      </w:tr>
    </w:tbl>
    <w:tbl>
      <w:tblPr>
        <w:tblW w:type="dxa" w:w="10800"/>
        <w:tblBorders>
          <w:top w:val="single" w:color="1B5E3F" w:sz="4"/>
          <w:left w:val="single" w:color="1B5E3F" w:sz="24"/>
          <w:bottom w:val="single" w:color="1B5E3F" w:sz="4"/>
          <w:right w:val="single" w:color="1B5E3F" w:sz="4"/>
          <w:insideH w:val="single" w:color="auto" w:sz="4"/>
          <w:insideV w:val="single" w:color="auto" w:sz="4"/>
        </w:tblBorders>
      </w:tblPr>
      <w:tblGrid>
        <w:gridCol w:w="10800"/>
      </w:tblGrid>
      <w:tr>
        <w:tc>
          <w:tcPr>
            <w:tcW w:type="dxa" w:w="10800"/>
            <w:shd w:fill="F2F5F3" w:val="clear"/>
            <w:tcMar>
              <w:top w:type="dxa" w:w="160"/>
              <w:left w:type="dxa" w:w="260"/>
              <w:bottom w:type="dxa" w:w="160"/>
              <w:right w:type="dxa" w:w="260"/>
            </w:tcMar>
          </w:tcPr>
          <w:p>
            <w:pPr>
              <w:spacing w:after="80"/>
            </w:pPr>
            <w:r>
              <w:rPr>
                <w:b/>
                <w:bCs/>
                <w:color w:val="1B5E3F"/>
                <w:sz w:val="21"/>
                <w:szCs w:val="21"/>
              </w:rPr>
              <w:t xml:space="preserve">Sequencing recommendation</w:t>
            </w:r>
          </w:p>
          <w:p>
            <w:pPr>
              <w:spacing w:line="290"/>
            </w:pPr>
            <w:r>
              <w:rPr>
                <w:color w:val="333333"/>
                <w:sz w:val="20"/>
                <w:szCs w:val="20"/>
              </w:rPr>
              <w:t xml:space="preserve">The PRD's own prioritization note already sequences $0-cost items first — the right instinct to keep. Add market validation (a handful of real conversations with senior candidates about the executive positioning) to that same do-first bucket — it's the one gap not already tracked anywhere, and it directly determines whether the rest of this build-out is aimed at the right customer.</w:t>
            </w:r>
          </w:p>
        </w:tc>
      </w:tr>
    </w:tbl>
    <w:p>
      <w:pPr>
        <w:pStyle w:val="Heading1"/>
        <w:spacing w:after="160" w:before="300"/>
      </w:pPr>
      <w:r>
        <w:t xml:space="preserve">10. Sales Battlecard</w:t>
      </w:r>
    </w:p>
    <w:p>
      <w:pPr>
        <w:spacing w:after="200"/>
      </w:pPr>
      <w:r>
        <w:rPr>
          <w:color w:val="222222"/>
          <w:sz w:val="21"/>
          <w:szCs w:val="21"/>
        </w:rPr>
        <w:t xml:space="preserve">For use once sellable — objection handling and positioning language, pressure-tested against this brief's findings.</w:t>
      </w:r>
    </w:p>
    <w:p>
      <w:pPr>
        <w:spacing w:after="80"/>
      </w:pPr>
      <w:r>
        <w:rPr>
          <w:b/>
          <w:bCs/>
          <w:color w:val="222222"/>
          <w:sz w:val="21"/>
          <w:szCs w:val="21"/>
        </w:rPr>
        <w:t xml:space="preserve">vs. Teal / Huntr / Careerflow / JobScan:</w:t>
      </w:r>
    </w:p>
    <w:p>
      <w:pPr>
        <w:spacing w:after="160" w:line="300"/>
      </w:pPr>
      <w:r>
        <w:rPr>
          <w:color w:val="222222"/>
          <w:sz w:val="21"/>
          <w:szCs w:val="21"/>
        </w:rPr>
        <w:t xml:space="preserve">“Those are trackers and analyzers — they help you organize and score jobs you already found. Panga finds the company before the job is even posted, builds a real profile of you through actual conversation instead of a resume upload, and follows the whole loop through to the offer email landing in your Gmail. If you just want a Kanban board, they're great and cheaper. If you want something doing the finding and thinking, not just the tracking, that's the gap.”</w:t>
      </w:r>
    </w:p>
    <w:p>
      <w:pPr>
        <w:spacing w:after="80" w:before="120"/>
      </w:pPr>
      <w:r>
        <w:rPr>
          <w:b/>
          <w:bCs/>
          <w:color w:val="222222"/>
          <w:sz w:val="21"/>
          <w:szCs w:val="21"/>
        </w:rPr>
        <w:t xml:space="preserve">vs. Sonara / Massive / LazyApply:</w:t>
      </w:r>
    </w:p>
    <w:p>
      <w:pPr>
        <w:spacing w:after="160" w:line="300"/>
      </w:pPr>
      <w:r>
        <w:rPr>
          <w:color w:val="222222"/>
          <w:sz w:val="21"/>
          <w:szCs w:val="21"/>
        </w:rPr>
        <w:t xml:space="preserve">“Those tools apply to 50–1,500 jobs a week for you, automatically. At a senior level, that's a real professional risk — recruiters talk, ATS bot-detection is real, and volume is the opposite of how executive roles actually get filled. Panga deliberately never submits anything without you reviewing it — that's not a missing feature, it's the point.”</w:t>
      </w:r>
    </w:p>
    <w:p>
      <w:pPr>
        <w:spacing w:after="80" w:before="120"/>
      </w:pPr>
      <w:r>
        <w:rPr>
          <w:b/>
          <w:bCs/>
          <w:color w:val="222222"/>
          <w:sz w:val="21"/>
          <w:szCs w:val="21"/>
        </w:rPr>
        <w:t xml:space="preserve">“Why not just use a career coach?”</w:t>
      </w:r>
    </w:p>
    <w:p>
      <w:pPr>
        <w:spacing w:after="160" w:line="300"/>
      </w:pPr>
      <w:r>
        <w:rPr>
          <w:color w:val="222222"/>
          <w:sz w:val="21"/>
          <w:szCs w:val="21"/>
        </w:rPr>
        <w:t xml:space="preserve">“A coach costs $2,000–15,000. Panga does the parts of that job software can actually do well — finding companies before they post, building your real profile, drafting tailored materials, tracking every offer/rejection email — for a fraction of that, every year, not per engagement. It's not a replacement for judgment or relationships, it's the research and drafting layer underneath them.”</w:t>
      </w:r>
    </w:p>
    <w:p>
      <w:pPr>
        <w:spacing w:after="80" w:before="120"/>
      </w:pPr>
      <w:r>
        <w:rPr>
          <w:b/>
          <w:bCs/>
          <w:color w:val="222222"/>
          <w:sz w:val="21"/>
          <w:szCs w:val="21"/>
        </w:rPr>
        <w:t xml:space="preserve">“Is my data safe with an AI tool?”</w:t>
      </w:r>
    </w:p>
    <w:p>
      <w:pPr>
        <w:spacing w:after="160" w:line="300"/>
      </w:pPr>
      <w:r>
        <w:rPr>
          <w:color w:val="222222"/>
          <w:sz w:val="21"/>
          <w:szCs w:val="21"/>
        </w:rPr>
        <w:t xml:space="preserve">Panga's own servers never see resume/profile/application data, only license/billing info; AI drafting goes directly from the user's machine to Anthropic via the user's own account. (See PRD §13's “Privacy/trust model” row for the full resolved claim.)</w:t>
      </w:r>
    </w:p>
    <w:p>
      <w:pPr>
        <w:spacing w:after="80" w:before="120"/>
      </w:pPr>
      <w:r>
        <w:rPr>
          <w:b/>
          <w:bCs/>
          <w:color w:val="222222"/>
          <w:sz w:val="21"/>
          <w:szCs w:val="21"/>
        </w:rPr>
        <w:t xml:space="preserve">“This only really works for pharma/life-sciences right now”</w:t>
      </w:r>
    </w:p>
    <w:p>
      <w:pPr>
        <w:spacing w:after="160" w:line="300"/>
      </w:pPr>
      <w:r>
        <w:rPr>
          <w:color w:val="222222"/>
          <w:sz w:val="21"/>
          <w:szCs w:val="21"/>
        </w:rPr>
        <w:t xml:space="preserve">Honest answer, don't dodge it: true today for Prospector's proactive-targeting signals specifically — everything else (drafting, tracking, sourcing, Gmail loop) works across industries. If the prospect isn't in life-sciences, be upfront they'd be buying the weaker version of the product until that gap closes.</w:t>
      </w:r>
    </w:p>
    <w:p>
      <w:pPr>
        <w:pStyle w:val="Heading1"/>
        <w:spacing w:after="160" w:before="300"/>
      </w:pPr>
      <w:r>
        <w:t xml:space="preserve">11. Verdict</w:t>
      </w:r>
    </w:p>
    <w:p>
      <w:pPr>
        <w:spacing w:after="80" w:before="100"/>
      </w:pPr>
      <w:r>
        <w:rPr>
          <w:b/>
          <w:bCs/>
          <w:color w:val="222222"/>
          <w:sz w:val="21"/>
          <w:szCs w:val="21"/>
        </w:rPr>
        <w:t xml:space="preserve">Yes.</w:t>
      </w:r>
    </w:p>
    <w:p>
      <w:pPr>
        <w:spacing w:after="160" w:line="300"/>
      </w:pPr>
      <w:r>
        <w:rPr>
          <w:color w:val="222222"/>
          <w:sz w:val="21"/>
          <w:szCs w:val="21"/>
        </w:rPr>
        <w:t xml:space="preserve">There is a real, differentiated, sellable product here — not a hedge, a conviction. Panga is not competing as “another AI resume tool,” where it would be honestly mid-pack against Teal/Careerflow's polish and JobScan's analytical depth. It's competing as something closer to software-assisted executive search and application management — a category none of the eight competitors reviewed occupy, priced in a real, unclaimed gap between $40/month trackers and $2,000+/month human coaches. That position is earned by capability that is already built and working today, not a roadmap promise: Prospector's pre-posting target-account identification, the gap-probing master-profile interview, and the Gmail-to-offer closed loop have no equivalent anywhere in this competitive set.</w:t>
      </w:r>
    </w:p>
    <w:p>
      <w:pPr>
        <w:spacing w:after="80" w:before="160"/>
      </w:pPr>
      <w:r>
        <w:rPr>
          <w:b/>
          <w:bCs/>
          <w:color w:val="222222"/>
          <w:sz w:val="21"/>
          <w:szCs w:val="21"/>
        </w:rPr>
        <w:t xml:space="preserve">Likely target customer:  </w:t>
      </w:r>
    </w:p>
    <w:p>
      <w:pPr>
        <w:spacing w:after="160" w:line="300"/>
      </w:pPr>
      <w:r>
        <w:rPr>
          <w:color w:val="222222"/>
          <w:sz w:val="21"/>
          <w:szCs w:val="21"/>
        </w:rPr>
        <w:t xml:space="preserve">Senior/executive candidates, in life-sciences specifically at launch (where Prospector actually works), who are currently either doing this manually or paying $1,750–15,000 for human coaching, and who would be actively poorly served — not just unserved — by the auto-apply category's mass-submission model. This is a deliberately smaller initial market than “everyone job-hunting,” and that's the right call, not a limitation: it's the market where Panga's real, differentiated strengths are exactly what the buyer needs, rather than a market where it fights better-resourced tracker/analyzer incumbents on their own turf.</w:t>
      </w:r>
    </w:p>
    <w:p>
      <w:pPr>
        <w:spacing w:after="80" w:before="160"/>
      </w:pPr>
      <w:r>
        <w:rPr>
          <w:b/>
          <w:bCs/>
          <w:color w:val="222222"/>
          <w:sz w:val="21"/>
          <w:szCs w:val="21"/>
        </w:rPr>
        <w:t xml:space="preserve">What's genuinely differentiated vs. table stakes:  </w:t>
      </w:r>
    </w:p>
    <w:p>
      <w:pPr>
        <w:spacing w:after="160" w:line="300"/>
      </w:pPr>
      <w:r>
        <w:rPr>
          <w:color w:val="222222"/>
          <w:sz w:val="21"/>
          <w:szCs w:val="21"/>
        </w:rPr>
        <w:t xml:space="preserve">Table stakes are resume/cover-letter drafting and application tracking — competitors already do these adequately, so Panga shouldn't over-invest there before it sells (concrete improvement targets for the “Adequate” ones are scoped in Section 4a). The real, defensible differentiation — Prospector, the master-profile interview depth, and the Gmail closed loop — is what the pitch should lead with, because it's the one thing on this entire feature matrix competitors cannot fast-follow their way into; it's built on data and workflow relationships (job-posting signals, inbox integration, structured interview depth) that aren't a quick engineering sprint for an incumbent tracker to bolt on.</w:t>
      </w:r>
    </w:p>
    <w:tbl>
      <w:tblPr>
        <w:tblW w:type="dxa" w:w="10800"/>
        <w:tblBorders>
          <w:top w:val="single" w:color="1B3A4B" w:sz="4"/>
          <w:left w:val="single" w:color="1B3A4B" w:sz="24"/>
          <w:bottom w:val="single" w:color="1B3A4B" w:sz="4"/>
          <w:right w:val="single" w:color="1B3A4B" w:sz="4"/>
          <w:insideH w:val="single" w:color="auto" w:sz="4"/>
          <w:insideV w:val="single" w:color="auto" w:sz="4"/>
        </w:tblBorders>
      </w:tblPr>
      <w:tblGrid>
        <w:gridCol w:w="10800"/>
      </w:tblGrid>
      <w:tr>
        <w:tc>
          <w:tcPr>
            <w:tcW w:type="dxa" w:w="10800"/>
            <w:shd w:fill="F2F5F3" w:val="clear"/>
            <w:tcMar>
              <w:top w:type="dxa" w:w="160"/>
              <w:left w:type="dxa" w:w="260"/>
              <w:bottom w:type="dxa" w:w="160"/>
              <w:right w:type="dxa" w:w="260"/>
            </w:tcMar>
          </w:tcPr>
          <w:p>
            <w:pPr>
              <w:spacing w:after="80"/>
            </w:pPr>
            <w:r>
              <w:rPr>
                <w:b/>
                <w:bCs/>
                <w:color w:val="1B3A4B"/>
                <w:sz w:val="21"/>
                <w:szCs w:val="21"/>
              </w:rPr>
              <w:t xml:space="preserve">What happens between here and revenue is execution, not validation of the opportunity</w:t>
            </w:r>
          </w:p>
          <w:p>
            <w:pPr>
              <w:spacing w:line="290"/>
            </w:pPr>
            <w:r>
              <w:rPr>
                <w:color w:val="333333"/>
                <w:sz w:val="20"/>
                <w:szCs w:val="20"/>
              </w:rPr>
              <w:t xml:space="preserve">The gaps are real, and naming them plainly is what makes this brief credible in diligence rather than something that unravels under a VC's first hard question: the MCP-connector dependency for Gmail/job boards, licensing/billing not yet built, Prospector's vertical lock, and unvalidated willingness-to-pay for the executive positioning. None of these are open questions about whether the opportunity is real — they're a sequenced build list, laid out in full in Section 9, starting with the two items that cost nothing but time: talk to real senior candidates, and decide the vertical-scope question for launch. The product doesn't need to be reinvented to be sellable. It needs exactly the work Section 9 already lists, in roughly the order it's listed.</w:t>
            </w:r>
          </w:p>
        </w:tc>
      </w:tr>
    </w:tbl>
    <w:p>
      <w:pPr>
        <w:pStyle w:val="Heading1"/>
        <w:spacing w:after="160" w:before="300"/>
      </w:pPr>
      <w:r>
        <w:t xml:space="preserve">Appendix A: Sources &amp; Evidence</w:t>
      </w:r>
    </w:p>
    <w:p>
      <w:pPr>
        <w:spacing w:after="160" w:line="300"/>
      </w:pPr>
      <w:r>
        <w:rPr>
          <w:color w:val="222222"/>
          <w:sz w:val="21"/>
          <w:szCs w:val="21"/>
        </w:rPr>
        <w:t xml:space="preserve">Research method: live web search conducted 2026-08-01, the same day this brief was built. Each competitor was researched via a targeted search query; the search tool returns synthesized findings drawn from the top-ranking results for that query, which the pricing/feature claims in Sections 3, 5, and 7 are based on. Disclosed plainly because it matters for how much to trust the precision of any single figure below.</w:t>
      </w:r>
    </w:p>
    <w:tbl>
      <w:tblPr>
        <w:tblW w:type="dxa" w:w="10800"/>
        <w:tblBorders>
          <w:top w:val="single" w:color="B5651F" w:sz="4"/>
          <w:left w:val="single" w:color="B5651F" w:sz="24"/>
          <w:bottom w:val="single" w:color="B5651F" w:sz="4"/>
          <w:right w:val="single" w:color="B5651F" w:sz="4"/>
          <w:insideH w:val="single" w:color="auto" w:sz="4"/>
          <w:insideV w:val="single" w:color="auto" w:sz="4"/>
        </w:tblBorders>
      </w:tblPr>
      <w:tblGrid>
        <w:gridCol w:w="10800"/>
      </w:tblGrid>
      <w:tr>
        <w:tc>
          <w:tcPr>
            <w:tcW w:type="dxa" w:w="10800"/>
            <w:shd w:fill="F2F5F3" w:val="clear"/>
            <w:tcMar>
              <w:top w:type="dxa" w:w="160"/>
              <w:left w:type="dxa" w:w="260"/>
              <w:bottom w:type="dxa" w:w="160"/>
              <w:right w:type="dxa" w:w="260"/>
            </w:tcMar>
          </w:tcPr>
          <w:p>
            <w:pPr>
              <w:spacing w:after="80"/>
            </w:pPr>
            <w:r>
              <w:rPr>
                <w:b/>
                <w:bCs/>
                <w:color w:val="B5651F"/>
                <w:sz w:val="21"/>
                <w:szCs w:val="21"/>
              </w:rPr>
              <w:t xml:space="preserve">Honest limitation, flagged rather than hidden</w:t>
            </w:r>
          </w:p>
          <w:p>
            <w:pPr>
              <w:spacing w:line="290"/>
            </w:pPr>
            <w:r>
              <w:rPr>
                <w:color w:val="333333"/>
                <w:sz w:val="20"/>
                <w:szCs w:val="20"/>
              </w:rPr>
              <w:t xml:space="preserve">For 7 of the 8 competitors, the source set is dominated by third-party review/comparison sites rather than the vendor's own pricing page. Huntr.co is the one exception — huntr.co/pricing appeared directly and was cross-checked against help.huntr.co's plan-details article. For every other competitor, treat the pricing figures in Section 5 as well-sourced but not primary-source-verified — accurate to what multiple review sites reported as of early August 2026, but not confirmed against the vendor's own current pricing page. Recommendation before this brief is used in an actual investor conversation: re-verify each competitor's current pricing directly against their own pricing page — third-party review sites can lag real pricing changes by weeks, and this category ships pricing changes often.</w:t>
            </w:r>
          </w:p>
        </w:tc>
      </w:tr>
    </w:tbl>
    <w:p>
      <w:pPr>
        <w:spacing w:after="40"/>
      </w:pPr>
      <w:r>
        <w:rPr>
          <w:color w:val="222222"/>
          <w:sz w:val="21"/>
          <w:szCs w:val="21"/>
        </w:rPr>
        <w:t xml:space="preserve"> </w:t>
      </w:r>
    </w:p>
    <w:tbl>
      <w:tblPr>
        <w:tblW w:type="dxa" w:w="10800"/>
        <w:tblBorders>
          <w:top w:val="single" w:color="CCCCCC" w:sz="4"/>
          <w:left w:val="single" w:color="CCCCCC" w:sz="4"/>
          <w:bottom w:val="single" w:color="CCCCCC" w:sz="4"/>
          <w:right w:val="single" w:color="CCCCCC" w:sz="4"/>
          <w:insideH w:val="single" w:color="CCCCCC" w:sz="4"/>
          <w:insideV w:val="single" w:color="CCCCCC" w:sz="4"/>
        </w:tblBorders>
      </w:tblPr>
      <w:tblGrid>
        <w:gridCol w:w="1700"/>
        <w:gridCol w:w="4600"/>
        <w:gridCol w:w="4500"/>
      </w:tblGrid>
      <w:tr>
        <w:trPr>
          <w:tblHeader/>
        </w:trPr>
        <w:tc>
          <w:tcPr>
            <w:tcW w:type="dxa" w:w="1700"/>
            <w:shd w:fill="1B3A4B" w:val="clear"/>
            <w:tcMar>
              <w:top w:type="dxa" w:w="100"/>
              <w:left w:type="dxa" w:w="140"/>
              <w:bottom w:type="dxa" w:w="100"/>
              <w:right w:type="dxa" w:w="140"/>
            </w:tcMar>
          </w:tcPr>
          <w:p>
            <w:r>
              <w:rPr>
                <w:b/>
                <w:bCs/>
                <w:color w:val="FFFFFF"/>
                <w:sz w:val="19"/>
                <w:szCs w:val="19"/>
              </w:rPr>
              <w:t xml:space="preserve">Competitor</w:t>
            </w:r>
          </w:p>
        </w:tc>
        <w:tc>
          <w:tcPr>
            <w:tcW w:type="dxa" w:w="4600"/>
            <w:shd w:fill="1B3A4B" w:val="clear"/>
            <w:tcMar>
              <w:top w:type="dxa" w:w="100"/>
              <w:left w:type="dxa" w:w="140"/>
              <w:bottom w:type="dxa" w:w="100"/>
              <w:right w:type="dxa" w:w="140"/>
            </w:tcMar>
          </w:tcPr>
          <w:p>
            <w:r>
              <w:rPr>
                <w:b/>
                <w:bCs/>
                <w:color w:val="FFFFFF"/>
                <w:sz w:val="19"/>
                <w:szCs w:val="19"/>
              </w:rPr>
              <w:t xml:space="preserve">Query used</w:t>
            </w:r>
          </w:p>
        </w:tc>
        <w:tc>
          <w:tcPr>
            <w:tcW w:type="dxa" w:w="4500"/>
            <w:shd w:fill="1B3A4B" w:val="clear"/>
            <w:tcMar>
              <w:top w:type="dxa" w:w="100"/>
              <w:left w:type="dxa" w:w="140"/>
              <w:bottom w:type="dxa" w:w="100"/>
              <w:right w:type="dxa" w:w="140"/>
            </w:tcMar>
          </w:tcPr>
          <w:p>
            <w:r>
              <w:rPr>
                <w:b/>
                <w:bCs/>
                <w:color w:val="FFFFFF"/>
                <w:sz w:val="19"/>
                <w:szCs w:val="19"/>
              </w:rPr>
              <w:t xml:space="preserve">Representative sources</w:t>
            </w:r>
          </w:p>
        </w:tc>
      </w:tr>
      <w:tr>
        <w:tc>
          <w:tcPr>
            <w:tcW w:type="dxa" w:w="1700"/>
            <w:shd w:fill="FFFFFF" w:val="clear"/>
            <w:tcMar>
              <w:top w:type="dxa" w:w="90"/>
              <w:left w:type="dxa" w:w="140"/>
              <w:bottom w:type="dxa" w:w="90"/>
              <w:right w:type="dxa" w:w="140"/>
            </w:tcMar>
          </w:tcPr>
          <w:p>
            <w:pPr>
              <w:spacing w:line="260"/>
            </w:pPr>
            <w:r>
              <w:rPr>
                <w:color w:val="222222"/>
                <w:sz w:val="18"/>
                <w:szCs w:val="18"/>
              </w:rPr>
              <w:t xml:space="preserve">Teal HQ</w:t>
            </w:r>
          </w:p>
        </w:tc>
        <w:tc>
          <w:tcPr>
            <w:tcW w:type="dxa" w:w="4600"/>
            <w:shd w:fill="FFFFFF" w:val="clear"/>
            <w:tcMar>
              <w:top w:type="dxa" w:w="90"/>
              <w:left w:type="dxa" w:w="140"/>
              <w:bottom w:type="dxa" w:w="90"/>
              <w:right w:type="dxa" w:w="140"/>
            </w:tcMar>
          </w:tcPr>
          <w:p>
            <w:pPr>
              <w:spacing w:line="260"/>
            </w:pPr>
            <w:r>
              <w:rPr>
                <w:color w:val="222222"/>
                <w:sz w:val="18"/>
                <w:szCs w:val="18"/>
              </w:rPr>
              <w:t xml:space="preserve">“Teal HQ pricing features resume builder job tracker 2026”</w:t>
            </w:r>
          </w:p>
        </w:tc>
        <w:tc>
          <w:tcPr>
            <w:tcW w:type="dxa" w:w="4500"/>
            <w:shd w:fill="FFFFFF" w:val="clear"/>
            <w:tcMar>
              <w:top w:type="dxa" w:w="90"/>
              <w:left w:type="dxa" w:w="140"/>
              <w:bottom w:type="dxa" w:w="90"/>
              <w:right w:type="dxa" w:w="140"/>
            </w:tcMar>
          </w:tcPr>
          <w:p>
            <w:pPr>
              <w:spacing w:line="260"/>
            </w:pPr>
            <w:r>
              <w:rPr>
                <w:color w:val="222222"/>
                <w:sz w:val="18"/>
                <w:szCs w:val="18"/>
              </w:rPr>
              <w:t xml:space="preserve">blog.loopcv.pro/teal-hq-review; stylingcv.com/blog/tealhq-review-2026; resumehog.com/blog/posts/teal-hq-review-2026</w:t>
            </w:r>
          </w:p>
        </w:tc>
      </w:tr>
      <w:tr>
        <w:tc>
          <w:tcPr>
            <w:tcW w:type="dxa" w:w="1700"/>
            <w:shd w:fill="F2F5F3" w:val="clear"/>
            <w:tcMar>
              <w:top w:type="dxa" w:w="90"/>
              <w:left w:type="dxa" w:w="140"/>
              <w:bottom w:type="dxa" w:w="90"/>
              <w:right w:type="dxa" w:w="140"/>
            </w:tcMar>
          </w:tcPr>
          <w:p>
            <w:pPr>
              <w:spacing w:line="260"/>
            </w:pPr>
            <w:r>
              <w:rPr>
                <w:color w:val="222222"/>
                <w:sz w:val="18"/>
                <w:szCs w:val="18"/>
              </w:rPr>
              <w:t xml:space="preserve">Huntr.co</w:t>
            </w:r>
          </w:p>
        </w:tc>
        <w:tc>
          <w:tcPr>
            <w:tcW w:type="dxa" w:w="4600"/>
            <w:shd w:fill="F2F5F3" w:val="clear"/>
            <w:tcMar>
              <w:top w:type="dxa" w:w="90"/>
              <w:left w:type="dxa" w:w="140"/>
              <w:bottom w:type="dxa" w:w="90"/>
              <w:right w:type="dxa" w:w="140"/>
            </w:tcMar>
          </w:tcPr>
          <w:p>
            <w:pPr>
              <w:spacing w:line="260"/>
            </w:pPr>
            <w:r>
              <w:rPr>
                <w:color w:val="222222"/>
                <w:sz w:val="18"/>
                <w:szCs w:val="18"/>
              </w:rPr>
              <w:t xml:space="preserve">“Huntr.co pricing features job application tracker 2026”</w:t>
            </w:r>
          </w:p>
        </w:tc>
        <w:tc>
          <w:tcPr>
            <w:tcW w:type="dxa" w:w="4500"/>
            <w:shd w:fill="F2F5F3" w:val="clear"/>
            <w:tcMar>
              <w:top w:type="dxa" w:w="90"/>
              <w:left w:type="dxa" w:w="140"/>
              <w:bottom w:type="dxa" w:w="90"/>
              <w:right w:type="dxa" w:w="140"/>
            </w:tcMar>
          </w:tcPr>
          <w:p>
            <w:pPr>
              <w:spacing w:line="260"/>
            </w:pPr>
            <w:r>
              <w:rPr>
                <w:color w:val="222222"/>
                <w:sz w:val="18"/>
                <w:szCs w:val="18"/>
              </w:rPr>
              <w:t xml:space="preserve">huntr.co/pricing (vendor); help.huntr.co plan-details article (vendor); tekpon.com/software/huntr/reviews</w:t>
            </w:r>
          </w:p>
        </w:tc>
      </w:tr>
      <w:tr>
        <w:tc>
          <w:tcPr>
            <w:tcW w:type="dxa" w:w="1700"/>
            <w:shd w:fill="FFFFFF" w:val="clear"/>
            <w:tcMar>
              <w:top w:type="dxa" w:w="90"/>
              <w:left w:type="dxa" w:w="140"/>
              <w:bottom w:type="dxa" w:w="90"/>
              <w:right w:type="dxa" w:w="140"/>
            </w:tcMar>
          </w:tcPr>
          <w:p>
            <w:pPr>
              <w:spacing w:line="260"/>
            </w:pPr>
            <w:r>
              <w:rPr>
                <w:color w:val="222222"/>
                <w:sz w:val="18"/>
                <w:szCs w:val="18"/>
              </w:rPr>
              <w:t xml:space="preserve">Simplify.jobs</w:t>
            </w:r>
          </w:p>
        </w:tc>
        <w:tc>
          <w:tcPr>
            <w:tcW w:type="dxa" w:w="4600"/>
            <w:shd w:fill="FFFFFF" w:val="clear"/>
            <w:tcMar>
              <w:top w:type="dxa" w:w="90"/>
              <w:left w:type="dxa" w:w="140"/>
              <w:bottom w:type="dxa" w:w="90"/>
              <w:right w:type="dxa" w:w="140"/>
            </w:tcMar>
          </w:tcPr>
          <w:p>
            <w:pPr>
              <w:spacing w:line="260"/>
            </w:pPr>
            <w:r>
              <w:rPr>
                <w:color w:val="222222"/>
                <w:sz w:val="18"/>
                <w:szCs w:val="18"/>
              </w:rPr>
              <w:t xml:space="preserve">“Simplify.jobs pricing features AI job application autofill 2026”</w:t>
            </w:r>
          </w:p>
        </w:tc>
        <w:tc>
          <w:tcPr>
            <w:tcW w:type="dxa" w:w="4500"/>
            <w:shd w:fill="FFFFFF" w:val="clear"/>
            <w:tcMar>
              <w:top w:type="dxa" w:w="90"/>
              <w:left w:type="dxa" w:w="140"/>
              <w:bottom w:type="dxa" w:w="90"/>
              <w:right w:type="dxa" w:w="140"/>
            </w:tcMar>
          </w:tcPr>
          <w:p>
            <w:pPr>
              <w:spacing w:line="260"/>
            </w:pPr>
            <w:r>
              <w:rPr>
                <w:color w:val="222222"/>
                <w:sz w:val="18"/>
                <w:szCs w:val="18"/>
              </w:rPr>
              <w:t xml:space="preserve">resumly.ai/answers/simplify-jobs-review; jobhire.ai/blog/simplify-jobs-review; jobsolv.com/directory/simplify-jobs</w:t>
            </w:r>
          </w:p>
        </w:tc>
      </w:tr>
      <w:tr>
        <w:tc>
          <w:tcPr>
            <w:tcW w:type="dxa" w:w="1700"/>
            <w:shd w:fill="F2F5F3" w:val="clear"/>
            <w:tcMar>
              <w:top w:type="dxa" w:w="90"/>
              <w:left w:type="dxa" w:w="140"/>
              <w:bottom w:type="dxa" w:w="90"/>
              <w:right w:type="dxa" w:w="140"/>
            </w:tcMar>
          </w:tcPr>
          <w:p>
            <w:pPr>
              <w:spacing w:line="260"/>
            </w:pPr>
            <w:r>
              <w:rPr>
                <w:color w:val="222222"/>
                <w:sz w:val="18"/>
                <w:szCs w:val="18"/>
              </w:rPr>
              <w:t xml:space="preserve">Careerflow.ai</w:t>
            </w:r>
          </w:p>
        </w:tc>
        <w:tc>
          <w:tcPr>
            <w:tcW w:type="dxa" w:w="4600"/>
            <w:shd w:fill="F2F5F3" w:val="clear"/>
            <w:tcMar>
              <w:top w:type="dxa" w:w="90"/>
              <w:left w:type="dxa" w:w="140"/>
              <w:bottom w:type="dxa" w:w="90"/>
              <w:right w:type="dxa" w:w="140"/>
            </w:tcMar>
          </w:tcPr>
          <w:p>
            <w:pPr>
              <w:spacing w:line="260"/>
            </w:pPr>
            <w:r>
              <w:rPr>
                <w:color w:val="222222"/>
                <w:sz w:val="18"/>
                <w:szCs w:val="18"/>
              </w:rPr>
              <w:t xml:space="preserve">“Careerflow.ai pricing features job tracker resume 2026”</w:t>
            </w:r>
          </w:p>
        </w:tc>
        <w:tc>
          <w:tcPr>
            <w:tcW w:type="dxa" w:w="4500"/>
            <w:shd w:fill="F2F5F3" w:val="clear"/>
            <w:tcMar>
              <w:top w:type="dxa" w:w="90"/>
              <w:left w:type="dxa" w:w="140"/>
              <w:bottom w:type="dxa" w:w="90"/>
              <w:right w:type="dxa" w:w="140"/>
            </w:tcMar>
          </w:tcPr>
          <w:p>
            <w:pPr>
              <w:spacing w:line="260"/>
            </w:pPr>
            <w:r>
              <w:rPr>
                <w:color w:val="222222"/>
                <w:sz w:val="18"/>
                <w:szCs w:val="18"/>
              </w:rPr>
              <w:t xml:space="preserve">jobright.ai/blog/careerflow-review-2026; capterra.com/p/10015230/Careerflow-ai; resumehog.com/blog/posts/careerflow-review-2026</w:t>
            </w:r>
          </w:p>
        </w:tc>
      </w:tr>
      <w:tr>
        <w:tc>
          <w:tcPr>
            <w:tcW w:type="dxa" w:w="1700"/>
            <w:shd w:fill="FFFFFF" w:val="clear"/>
            <w:tcMar>
              <w:top w:type="dxa" w:w="90"/>
              <w:left w:type="dxa" w:w="140"/>
              <w:bottom w:type="dxa" w:w="90"/>
              <w:right w:type="dxa" w:w="140"/>
            </w:tcMar>
          </w:tcPr>
          <w:p>
            <w:pPr>
              <w:spacing w:line="260"/>
            </w:pPr>
            <w:r>
              <w:rPr>
                <w:color w:val="222222"/>
                <w:sz w:val="18"/>
                <w:szCs w:val="18"/>
              </w:rPr>
              <w:t xml:space="preserve">JobScan</w:t>
            </w:r>
          </w:p>
        </w:tc>
        <w:tc>
          <w:tcPr>
            <w:tcW w:type="dxa" w:w="4600"/>
            <w:shd w:fill="FFFFFF" w:val="clear"/>
            <w:tcMar>
              <w:top w:type="dxa" w:w="90"/>
              <w:left w:type="dxa" w:w="140"/>
              <w:bottom w:type="dxa" w:w="90"/>
              <w:right w:type="dxa" w:w="140"/>
            </w:tcMar>
          </w:tcPr>
          <w:p>
            <w:pPr>
              <w:spacing w:line="260"/>
            </w:pPr>
            <w:r>
              <w:rPr>
                <w:color w:val="222222"/>
                <w:sz w:val="18"/>
                <w:szCs w:val="18"/>
              </w:rPr>
              <w:t xml:space="preserve">“JobScan pricing features ATS resume optimizer 2026”</w:t>
            </w:r>
          </w:p>
        </w:tc>
        <w:tc>
          <w:tcPr>
            <w:tcW w:type="dxa" w:w="4500"/>
            <w:shd w:fill="FFFFFF" w:val="clear"/>
            <w:tcMar>
              <w:top w:type="dxa" w:w="90"/>
              <w:left w:type="dxa" w:w="140"/>
              <w:bottom w:type="dxa" w:w="90"/>
              <w:right w:type="dxa" w:w="140"/>
            </w:tcMar>
          </w:tcPr>
          <w:p>
            <w:pPr>
              <w:spacing w:line="260"/>
            </w:pPr>
            <w:r>
              <w:rPr>
                <w:color w:val="222222"/>
                <w:sz w:val="18"/>
                <w:szCs w:val="18"/>
              </w:rPr>
              <w:t xml:space="preserve">resumehog.com/blog/posts/jobscan-review-2026; atsresumeai.com/compare/jobscan-review; onlineatschecker.com/blog/jobscan-pricing-2026</w:t>
            </w:r>
          </w:p>
        </w:tc>
      </w:tr>
      <w:tr>
        <w:tc>
          <w:tcPr>
            <w:tcW w:type="dxa" w:w="1700"/>
            <w:shd w:fill="F2F5F3" w:val="clear"/>
            <w:tcMar>
              <w:top w:type="dxa" w:w="90"/>
              <w:left w:type="dxa" w:w="140"/>
              <w:bottom w:type="dxa" w:w="90"/>
              <w:right w:type="dxa" w:w="140"/>
            </w:tcMar>
          </w:tcPr>
          <w:p>
            <w:pPr>
              <w:spacing w:line="260"/>
            </w:pPr>
            <w:r>
              <w:rPr>
                <w:color w:val="222222"/>
                <w:sz w:val="18"/>
                <w:szCs w:val="18"/>
              </w:rPr>
              <w:t xml:space="preserve">Sonara</w:t>
            </w:r>
          </w:p>
        </w:tc>
        <w:tc>
          <w:tcPr>
            <w:tcW w:type="dxa" w:w="4600"/>
            <w:shd w:fill="F2F5F3" w:val="clear"/>
            <w:tcMar>
              <w:top w:type="dxa" w:w="90"/>
              <w:left w:type="dxa" w:w="140"/>
              <w:bottom w:type="dxa" w:w="90"/>
              <w:right w:type="dxa" w:w="140"/>
            </w:tcMar>
          </w:tcPr>
          <w:p>
            <w:pPr>
              <w:spacing w:line="260"/>
            </w:pPr>
            <w:r>
              <w:rPr>
                <w:color w:val="222222"/>
                <w:sz w:val="18"/>
                <w:szCs w:val="18"/>
              </w:rPr>
              <w:t xml:space="preserve">“Sonara AI job search auto apply pricing features 2026”</w:t>
            </w:r>
          </w:p>
        </w:tc>
        <w:tc>
          <w:tcPr>
            <w:tcW w:type="dxa" w:w="4500"/>
            <w:shd w:fill="F2F5F3" w:val="clear"/>
            <w:tcMar>
              <w:top w:type="dxa" w:w="90"/>
              <w:left w:type="dxa" w:w="140"/>
              <w:bottom w:type="dxa" w:w="90"/>
              <w:right w:type="dxa" w:w="140"/>
            </w:tcMar>
          </w:tcPr>
          <w:p>
            <w:pPr>
              <w:spacing w:line="260"/>
            </w:pPr>
            <w:r>
              <w:rPr>
                <w:color w:val="222222"/>
                <w:sz w:val="18"/>
                <w:szCs w:val="18"/>
              </w:rPr>
              <w:t xml:space="preserve">blog.fastapply.co/sonara-pricing-2026; spotsaas.com/product/sonara; usesprout.com/blog/sonara-ai-review-pricing-alternatives</w:t>
            </w:r>
          </w:p>
        </w:tc>
      </w:tr>
      <w:tr>
        <w:tc>
          <w:tcPr>
            <w:tcW w:type="dxa" w:w="1700"/>
            <w:shd w:fill="FFFFFF" w:val="clear"/>
            <w:tcMar>
              <w:top w:type="dxa" w:w="90"/>
              <w:left w:type="dxa" w:w="140"/>
              <w:bottom w:type="dxa" w:w="90"/>
              <w:right w:type="dxa" w:w="140"/>
            </w:tcMar>
          </w:tcPr>
          <w:p>
            <w:pPr>
              <w:spacing w:line="260"/>
            </w:pPr>
            <w:r>
              <w:rPr>
                <w:color w:val="222222"/>
                <w:sz w:val="18"/>
                <w:szCs w:val="18"/>
              </w:rPr>
              <w:t xml:space="preserve">Massive</w:t>
            </w:r>
          </w:p>
        </w:tc>
        <w:tc>
          <w:tcPr>
            <w:tcW w:type="dxa" w:w="4600"/>
            <w:shd w:fill="FFFFFF" w:val="clear"/>
            <w:tcMar>
              <w:top w:type="dxa" w:w="90"/>
              <w:left w:type="dxa" w:w="140"/>
              <w:bottom w:type="dxa" w:w="90"/>
              <w:right w:type="dxa" w:w="140"/>
            </w:tcMar>
          </w:tcPr>
          <w:p>
            <w:pPr>
              <w:spacing w:line="260"/>
            </w:pPr>
            <w:r>
              <w:rPr>
                <w:color w:val="222222"/>
                <w:sz w:val="18"/>
                <w:szCs w:val="18"/>
              </w:rPr>
              <w:t xml:space="preserve">“Massive AI job application autopilot pricing 2026”</w:t>
            </w:r>
          </w:p>
        </w:tc>
        <w:tc>
          <w:tcPr>
            <w:tcW w:type="dxa" w:w="4500"/>
            <w:shd w:fill="FFFFFF" w:val="clear"/>
            <w:tcMar>
              <w:top w:type="dxa" w:w="90"/>
              <w:left w:type="dxa" w:w="140"/>
              <w:bottom w:type="dxa" w:w="90"/>
              <w:right w:type="dxa" w:w="140"/>
            </w:tcMar>
          </w:tcPr>
          <w:p>
            <w:pPr>
              <w:spacing w:line="260"/>
            </w:pPr>
            <w:r>
              <w:rPr>
                <w:color w:val="222222"/>
                <w:sz w:val="18"/>
                <w:szCs w:val="18"/>
              </w:rPr>
              <w:t xml:space="preserve">sprad.io/blog/top-5-jobcopilot-alternatives; jobcopilot.com/use-massive-review; jobgoround.com/7-best-ai-tools-that-auto-apply-to-jobs-in-2026</w:t>
            </w:r>
          </w:p>
        </w:tc>
      </w:tr>
      <w:tr>
        <w:tc>
          <w:tcPr>
            <w:tcW w:type="dxa" w:w="1700"/>
            <w:shd w:fill="F2F5F3" w:val="clear"/>
            <w:tcMar>
              <w:top w:type="dxa" w:w="90"/>
              <w:left w:type="dxa" w:w="140"/>
              <w:bottom w:type="dxa" w:w="90"/>
              <w:right w:type="dxa" w:w="140"/>
            </w:tcMar>
          </w:tcPr>
          <w:p>
            <w:pPr>
              <w:spacing w:line="260"/>
            </w:pPr>
            <w:r>
              <w:rPr>
                <w:color w:val="222222"/>
                <w:sz w:val="18"/>
                <w:szCs w:val="18"/>
              </w:rPr>
              <w:t xml:space="preserve">LazyApply</w:t>
            </w:r>
          </w:p>
        </w:tc>
        <w:tc>
          <w:tcPr>
            <w:tcW w:type="dxa" w:w="4600"/>
            <w:shd w:fill="F2F5F3" w:val="clear"/>
            <w:tcMar>
              <w:top w:type="dxa" w:w="90"/>
              <w:left w:type="dxa" w:w="140"/>
              <w:bottom w:type="dxa" w:w="90"/>
              <w:right w:type="dxa" w:w="140"/>
            </w:tcMar>
          </w:tcPr>
          <w:p>
            <w:pPr>
              <w:spacing w:line="260"/>
            </w:pPr>
            <w:r>
              <w:rPr>
                <w:color w:val="222222"/>
                <w:sz w:val="18"/>
                <w:szCs w:val="18"/>
              </w:rPr>
              <w:t xml:space="preserve">“LazyApply pricing features auto job application Chrome extension 2026”</w:t>
            </w:r>
          </w:p>
        </w:tc>
        <w:tc>
          <w:tcPr>
            <w:tcW w:type="dxa" w:w="4500"/>
            <w:shd w:fill="F2F5F3" w:val="clear"/>
            <w:tcMar>
              <w:top w:type="dxa" w:w="90"/>
              <w:left w:type="dxa" w:w="140"/>
              <w:bottom w:type="dxa" w:w="90"/>
              <w:right w:type="dxa" w:w="140"/>
            </w:tcMar>
          </w:tcPr>
          <w:p>
            <w:pPr>
              <w:spacing w:line="260"/>
            </w:pPr>
            <w:r>
              <w:rPr>
                <w:color w:val="222222"/>
                <w:sz w:val="18"/>
                <w:szCs w:val="18"/>
              </w:rPr>
              <w:t xml:space="preserve">f6s.com/software/lazyapply; saasworthy.com/product/lazyapply; resumehog.com/blog/posts/lazyapply-review-2026</w:t>
            </w:r>
          </w:p>
        </w:tc>
      </w:tr>
    </w:tbl>
    <w:p>
      <w:pPr>
        <w:spacing w:after="160" w:before="200"/>
      </w:pPr>
      <w:r>
        <w:rPr>
          <w:b/>
          <w:bCs/>
          <w:color w:val="222222"/>
          <w:sz w:val="21"/>
          <w:szCs w:val="21"/>
        </w:rPr>
        <w:t xml:space="preserve">Human executive coaching pricing (Sections 5–6):  </w:t>
      </w:r>
      <w:r>
        <w:rPr>
          <w:color w:val="222222"/>
          <w:sz w:val="21"/>
          <w:szCs w:val="21"/>
        </w:rPr>
        <w:t xml:space="preserve">Query “executive senior job search coaching service pricing career copilot 2026.” Sources: igotanoffer.com/en/advice/best-job-search-coaching-services; blog.loopcv.pro/how-much-does-a-career-coach-cost; wearecareer.com/blogs/news/executive-career-coaching-services; headgloballlc.com/store/career-coaching-executive; wilbanksconsulting.com/buy-services/executive-job-search-strategy. The specific figures cited came from named firms' own listed pricing within these results, not third-party estimates — more directly sourced than the SaaS-competitor pricing above.</w:t>
      </w:r>
    </w:p>
    <w:p>
      <w:pPr>
        <w:spacing w:after="160"/>
      </w:pPr>
      <w:r>
        <w:rPr>
          <w:b/>
          <w:bCs/>
          <w:color w:val="222222"/>
          <w:sz w:val="21"/>
          <w:szCs w:val="21"/>
        </w:rPr>
        <w:t xml:space="preserve">Feature/positioning claims (Sections 2, 3, 4, 7):  </w:t>
      </w:r>
      <w:r>
        <w:rPr>
          <w:color w:val="222222"/>
          <w:sz w:val="21"/>
          <w:szCs w:val="21"/>
        </w:rPr>
        <w:t xml:space="preserve">e.g. “Simplify's top complaint is autofill-not-auto-apply,” “LazyApply doesn't reach Workday/Greenhouse/Lever/Ashby,” “Massive's onboarding is 23 steps,” “Sonara has refund/auto-renew complaints” — drawn from the same search results above, specifically review-site commentary, not from this session directly testing each product. Flagged, not smoothed over: none of these products were hands-on tested for this brief; every qualitative claim is secondhand from review sites — a reasonable basis for a competitive-positioning brief, but a materially weaker evidence bar than direct product testing. If this brief is used where that distinction matters (e.g. a VC asking “did you actually try these”), the honest answer is no — this was desk research, not hands-on evaluation.</w:t>
      </w:r>
    </w:p>
    <w:p>
      <w:pPr>
        <w:spacing w:after="160"/>
      </w:pPr>
      <w:r>
        <w:rPr>
          <w:b/>
          <w:bCs/>
          <w:color w:val="222222"/>
          <w:sz w:val="21"/>
          <w:szCs w:val="21"/>
        </w:rPr>
        <w:t xml:space="preserve">Panga's own feature claims (Section 1, and the “Panga” column throughout Sections 3–4):  </w:t>
      </w:r>
      <w:r>
        <w:rPr>
          <w:color w:val="222222"/>
          <w:sz w:val="21"/>
          <w:szCs w:val="21"/>
        </w:rPr>
        <w:t xml:space="preserve">sourced differently and more directly: read from Panga's actual codebase and PRD (docs/job-search-automation-prd.md, docs/licensing-scope.md, security/crypto_store.py, and the module files cited in Section 1's table) rather than from web search — first-party and verifiable by opening the referenced files directly, not subject to the caveats above.</w:t>
      </w:r>
    </w:p>
    <w:p>
      <w:pPr>
        <w:pBdr>
          <w:bottom w:val="single" w:color="CCCCCC" w:sz="6" w:space="1"/>
        </w:pBdr>
        <w:spacing w:after="200" w:before="200"/>
      </w:pPr>
    </w:p>
    <w:p>
      <w:pPr>
        <w:spacing w:before="200"/>
        <w:jc w:val="center"/>
      </w:pPr>
      <w:r>
        <w:rPr>
          <w:color w:val="222222"/>
          <w:sz w:val="21"/>
          <w:szCs w:val="21"/>
        </w:rPr>
        <w:t xml:space="preserve">Source: Panga/docs/competitive-brief.md · Prepared by the “Mirror” competitive-analysis session using the product-management:competitive-brief skill.</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2f82dc5481839914f8e2a6f5c8bf3e45efacf7.png"/><Relationship Id="rId8" Type="http://schemas.openxmlformats.org/officeDocument/2006/relationships/image" Target="media/01f148762f4d2249311a50be8e7818715caa33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2026-08-01T21:10:03.951Z</dcterms:created>
  <dcterms:modified xsi:type="dcterms:W3CDTF">2026-08-01T21:10:03.953Z</dcterms:modified>
</cp:coreProperties>
</file>

<file path=docProps/custom.xml><?xml version="1.0" encoding="utf-8"?>
<Properties xmlns="http://schemas.openxmlformats.org/officeDocument/2006/custom-properties" xmlns:vt="http://schemas.openxmlformats.org/officeDocument/2006/docPropsVTypes"/>
</file>