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rFonts w:ascii="Hanken Grotesk" w:cs="Hanken Grotesk" w:eastAsia="Hanken Grotesk" w:hAnsi="Hanken Grotesk"/>
          <w:b/>
          <w:bCs/>
          <w:color w:val="635BFF"/>
          <w:sz w:val="17"/>
          <w:szCs w:val="17"/>
        </w:rPr>
        <w:t xml:space="preserve">INSTRUCTOR MANUAL</w:t>
      </w:r>
    </w:p>
    <w:p>
      <w:pPr>
        <w:pStyle w:val="Title"/>
        <w:spacing w:after="40"/>
      </w:pPr>
      <w:r>
        <w:rPr>
          <w:rFonts w:ascii="Fredoka" w:cs="Fredoka" w:eastAsia="Fredoka" w:hAnsi="Fredoka"/>
          <w:b/>
          <w:bCs/>
          <w:color w:val="0A2540"/>
          <w:sz w:val="48"/>
          <w:szCs w:val="48"/>
        </w:rPr>
        <w:t xml:space="preserve">Economo</w:t>
      </w:r>
    </w:p>
    <w:p>
      <w:pPr>
        <w:spacing w:after="20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IS-LM-PC Interactive Macro Lab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697386"/>
          <w:sz w:val="20"/>
          <w:szCs w:val="20"/>
        </w:rPr>
        <w:t xml:space="preserve">A guide for lecturers and seminar leaders · Blanchard, </w:t>
      </w:r>
      <w:r>
        <w:rPr>
          <w:rFonts w:ascii="Hanken Grotesk" w:cs="Hanken Grotesk" w:eastAsia="Hanken Grotesk" w:hAnsi="Hanken Grotesk"/>
          <w:i/>
          <w:iCs/>
          <w:color w:val="697386"/>
          <w:sz w:val="20"/>
          <w:szCs w:val="20"/>
        </w:rPr>
        <w:t xml:space="preserve">Macroeconomics</w:t>
      </w:r>
      <w:r>
        <w:rPr>
          <w:rFonts w:ascii="Hanken Grotesk" w:cs="Hanken Grotesk" w:eastAsia="Hanken Grotesk" w:hAnsi="Hanken Grotesk"/>
          <w:color w:val="697386"/>
          <w:sz w:val="20"/>
          <w:szCs w:val="20"/>
        </w:rPr>
        <w:t xml:space="preserve"> 9th Global Edition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425466"/>
          <w:sz w:val="23"/>
          <w:szCs w:val="23"/>
        </w:rPr>
        <w:t xml:space="preserve">Economo is a single-file, browser-based simulator for teaching short-run and medium-run macroeconomics. It turns the core IS-LM-PC framework into something students manipulate directly: drag the curves, step through time, and watch the whole economy respond at once.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1. About this tool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Economo is one progressive learning tool, not a set of separate models. The full IS-LM-PC system — closed and open economy, goods market through government debt — lives in a single HTML file. The whole model is always on screen; blocks not yet taught are greyed out and locked. As you move through the stages, complexity unlocks in the order your syllabus follows.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It runs in any browser with no install, no login, and no internet connection. Project it in a lecture, embed it in your VLE, or email the file to students.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2. The four teaching stages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A dropdown in the top bar (with a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Next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button beside it) moves between stages. Each stage unlocks one more block of the model. The order follows the course syllabus, not Blanchard’s chapter order — the open economy is introduced before the Phillips curve.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300"/>
        <w:gridCol w:w="3160"/>
        <w:gridCol w:w="2300"/>
      </w:tblGrid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ECONOMY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WHAT UNLOCKS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792A2"/>
                <w:spacing w:val="20"/>
                <w:sz w:val="15"/>
                <w:szCs w:val="15"/>
              </w:rPr>
              <w:t xml:space="preserve">RATE REGIME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0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Closed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Goods market, IS-LM chart, policy rate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— prices fixed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IS-LM-UIP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+ Imports/exports, UIP, exchange rate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still r = i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IS-LM-PC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Closed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+ Phillips curve, expectations, Yn, Okun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− πᵉ switches on</w:t>
            </w:r>
          </w:p>
        </w:tc>
      </w:tr>
      <w:tr>
        <w:tc>
          <w:tcPr>
            <w:tcW w:type="dxa" w:w="9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0"/>
                <w:szCs w:val="20"/>
              </w:rPr>
              <w:t xml:space="preserve">Full Model</w:t>
            </w:r>
          </w:p>
        </w:tc>
        <w:tc>
          <w:tcPr>
            <w:tcW w:type="dxa" w:w="1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Hanken Grotesk" w:cs="Hanken Grotesk" w:eastAsia="Hanken Grotesk" w:hAnsi="Hanken Grotesk"/>
                <w:b w:val="false"/>
                <w:bCs w:val="false"/>
                <w:color w:val="425466"/>
                <w:sz w:val="20"/>
                <w:szCs w:val="20"/>
              </w:rPr>
              <w:t xml:space="preserve">Everything combined</w:t>
            </w:r>
          </w:p>
        </w:tc>
        <w:tc>
          <w:tcPr>
            <w:tcW w:type="dxa" w:w="2300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IBM Plex Mono" w:cs="IBM Plex Mono" w:eastAsia="IBM Plex Mono" w:hAnsi="IBM Plex Mono"/>
                <w:color w:val="425466"/>
                <w:sz w:val="18"/>
                <w:szCs w:val="18"/>
              </w:rPr>
              <w:t xml:space="preserve">r = i − πᵉ</w:t>
            </w:r>
          </w:p>
        </w:tc>
      </w:tr>
    </w:tbl>
    <w:p/>
    <w:tbl>
      <w:tblPr>
        <w:tblW w:type="dxa" w:w="9360"/>
        <w:tblBorders>
          <w:top w:val="single" w:color="DEDBFB" w:sz="1"/>
          <w:left w:val="single" w:color="635BFF" w:sz="18"/>
          <w:bottom w:val="single" w:color="DEDBFB" w:sz="1"/>
          <w:right w:val="single" w:color="DEDB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pacing w:val="30"/>
                <w:sz w:val="16"/>
                <w:szCs w:val="16"/>
              </w:rPr>
              <w:t xml:space="preserve">THE KEY PEDAGOGICAL MOVE</w:t>
            </w:r>
          </w:p>
          <w:p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The nominal-versus-real distinction does </w:t>
            </w:r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2"/>
                <w:szCs w:val="22"/>
              </w:rPr>
              <w:t xml:space="preserve">not exist</w:t>
            </w:r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 until the Phillips curve is unlocked. In stages 0 and 1 the economy is Blanchard’s core short run: prices are constant, so the real rate equals the nominal rate (r = i), and there is no expected-inflation control. The Fisher line, the real-rate line, and the πᵉ slider all appear together the moment the PC block unlocks at stage 2.</w:t>
            </w:r>
          </w:p>
        </w:tc>
      </w:tr>
    </w:tbl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3. The interface at a glance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The top bar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Carries the stage dropdown and Next button, the period counter, and the run controls: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Step one period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advances the economy so a shock can play out;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Reverse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steps back through the stored history; and the controls reset cleanly when a new scenario loads.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The sidebar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left sidebar holds every control, grouped into collapsible sections: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Preset scenarios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a dropdown, a Load button, and a description box.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Policy &amp; exogenous variables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G, T, the policy rate i, the MPC c₁, and (once unlocked) the open-economy and Phillips-curve parameters.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Adjustment dynamics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price-flexibility (medium-run speed), expectations anchoring (θ), and the Taylor rule.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Supply shocks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the cost-push slider and a one-click oil-shock button.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Every slider has an editable value beside it: drag it, or click the number and type a value directly. Sliders for locked blocks are greyed until their stage unlocks.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4. The three charts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Curves with a hollow circle are draggable. Dragging changes the underlying parameter and redraws everything at once — the feature that makes simultaneity visible.</w:t>
      </w:r>
    </w:p>
    <w:p>
      <w:pPr>
        <w:pStyle w:val="Heading2"/>
      </w:pPr>
      <w:r>
        <w:rPr>
          <w:color w:val="E25950"/>
          <w:sz w:val="24"/>
          <w:szCs w:val="24"/>
        </w:rPr>
        <w:t xml:space="preserve">● </w:t>
      </w: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ISLM — goods market &amp; policy rate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Solid blue is the nominal LM (the policy rate). The dashed blue line is the real rate r = i − πᵉ, which only appears once the PC block unlocks. Drag the IS curve for fiscal policy; drag the LM line for monetary policy. A faint dashed vertical marks natural output Yn (once the PC block unlocks).</w:t>
      </w:r>
    </w:p>
    <w:p>
      <w:pPr>
        <w:pStyle w:val="Heading2"/>
      </w:pPr>
      <w:r>
        <w:rPr>
          <w:color w:val="0FA9A0"/>
          <w:sz w:val="24"/>
          <w:szCs w:val="24"/>
        </w:rPr>
        <w:t xml:space="preserve">● </w:t>
      </w: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UIP — interest rate &amp; exchange rate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Solid green is the UIP relation in nominal terms, E = Eᵉ(1+i)/(1+i*). The gold dashed line is the real exchange rate ε = E·P/P*. The two diverge as home prices move relative to foreign. Live from stage 1.</w:t>
      </w:r>
    </w:p>
    <w:p>
      <w:pPr>
        <w:pStyle w:val="Heading2"/>
      </w:pPr>
      <w:r>
        <w:rPr>
          <w:color w:val="E0408E"/>
          <w:sz w:val="24"/>
          <w:szCs w:val="24"/>
        </w:rPr>
        <w:t xml:space="preserve">● </w:t>
      </w: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Phillips curve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Drag the curve vertically to change expected inflation πᵉ. A cost-push shock z lifts the whole curve. The derivation drill-down expands the labour market (WS-PS), the Okun bridge, and the Phillips relation. Live from stage 2.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5. Controls and what they mean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Government spending G (10–35) and Taxes T (10–35).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The fiscal levers. Baseline is a balanced budget at G = T = 20 (about a 20% government share of output).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Policy rate i (−2% to 15%).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The monetary lever throughout — the bank sets the nominal rate directly, giving a flat policy line. Overridden when the Taylor rule is on.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MPC c₁ (0.30–0.80).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The marginal propensity to consume. Raising it steepens the multiplier; the live readout shows the updated multiplier and response coefficients.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Expected inflation πᵉ (−2% to 15%).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Unlocks at stage 2. Shifts the Phillips curve and drives the real rate r = i − πᵉ.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PC slope α (0.05–0.50, default 0.30).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How strongly the output gap feeds into inflation. Calibrated against Hazell et al. (QJE 2022).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Markup m and Wage push z (structural).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Shift natural output Yn through the wage-setting relation, not the Phillips curve directly. Distinct from the transitory cost-push shock.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Import propensity m₁, Foreign output Y*, Foreign rate i*, Expected exchange rate Eᵉ.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Open-economy parameters, from stage 1.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Anchoring ceiling θ (0–1) and credibility.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How firmly expectations stay anchored to target. High θ damps the inflation response to shocks.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Taylor rule toggle and coefficient φ (0–3).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When on, the bank sets the rate by a smoothed Taylor rule. φ above 1 satisfies the Taylor principle.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Cost-push shock z and the oil-shock button.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A transitory supply disturbance that lifts the Phillips curve and decays over time.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6. Equations and calibration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Output is solved each period as a comparative-static equilibrium, then advanced dynamically. The closed and open economy share one engine — the closed economy is the open-economy IS with the import term forced to zero.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IS (goods market)</w:t>
      </w:r>
    </w:p>
    <w:tbl>
      <w:tblPr>
        <w:tblW w:type="dxa" w:w="9360"/>
        <w:tblBorders>
          <w:top w:val="single" w:color="E3E8EE" w:sz="1"/>
          <w:left w:val="single" w:color="635BFF" w:sz="18"/>
          <w:bottom w:val="single" w:color="E3E8EE" w:sz="1"/>
          <w:right w:val="single" w:color="E3E8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Closed:  k = 1 / (1 − c₁ − d₁) = 2.5</w:t>
            </w:r>
            <w:r>
              <w:rPr>
                <w:rFonts w:ascii="Hanken Grotesk" w:cs="Hanken Grotesk" w:eastAsia="Hanken Grotesk" w:hAnsi="Hanken Grotesk"/>
                <w:color w:val="697386"/>
                <w:sz w:val="18"/>
                <w:szCs w:val="18"/>
              </w:rPr>
              <w:t xml:space="preserve">  at baseline (c₁=0.5, d₁=0.1)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Open:    k_o = 1 / (1 − c₁ − d₁ + m₁) ≈ 1.43</w:t>
            </w:r>
            <w:r>
              <w:rPr>
                <w:rFonts w:ascii="Hanken Grotesk" w:cs="Hanken Grotesk" w:eastAsia="Hanken Grotesk" w:hAnsi="Hanken Grotesk"/>
                <w:color w:val="697386"/>
                <w:sz w:val="18"/>
                <w:szCs w:val="18"/>
              </w:rPr>
              <w:t xml:space="preserve">  + m₁=0.3</w:t>
            </w:r>
            <w:r>
              <w:rPr>
                <w:rFonts w:ascii="Hanken Grotesk" w:cs="Hanken Grotesk" w:eastAsia="Hanken Grotesk" w:hAnsi="Hanken Grotesk"/>
                <w:color w:val="8792A2"/>
                <w:sz w:val="17"/>
                <w:szCs w:val="17"/>
              </w:rPr>
              <w:t xml:space="preserve">  Blanchard eq. 19.1</w:t>
            </w:r>
          </w:p>
        </w:tc>
      </w:tr>
    </w:tbl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import leakage m₁ sits inside the denominator, so the open multiplier is smaller and the open IS curve is steeper than the closed one. Baseline reduced-form responses (closed): ΔY = +2.5 ΔG, −1.25 ΔT, −500 Δr.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MP (monetary policy)</w:t>
      </w:r>
    </w:p>
    <w:tbl>
      <w:tblPr>
        <w:tblW w:type="dxa" w:w="9360"/>
        <w:tblBorders>
          <w:top w:val="single" w:color="E3E8EE" w:sz="1"/>
          <w:left w:val="single" w:color="635BFF" w:sz="18"/>
          <w:bottom w:val="single" w:color="E3E8EE" w:sz="1"/>
          <w:right w:val="single" w:color="E3E8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r = i  (stages 0–1, prices fixed)   →   r = i − πᵉ  (stage 2 onward)</w:t>
            </w:r>
          </w:p>
        </w:tc>
      </w:tr>
    </w:tbl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central bank sets the nominal rate i directly. In the closed stage, money demand is multiplicative, M/P = Y·(L₀ − L₁·i); in the open stage it is abstracted out.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4"/>
          <w:szCs w:val="24"/>
        </w:rPr>
        <w:t xml:space="preserve">PC (Phillips curve) — gap form</w:t>
      </w:r>
    </w:p>
    <w:tbl>
      <w:tblPr>
        <w:tblW w:type="dxa" w:w="9360"/>
        <w:tblBorders>
          <w:top w:val="single" w:color="E3E8EE" w:sz="1"/>
          <w:left w:val="single" w:color="635BFF" w:sz="18"/>
          <w:bottom w:val="single" w:color="E3E8EE" w:sz="1"/>
          <w:right w:val="single" w:color="E3E8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π = πᵉ + α(Y − Yn)/Yn + z</w:t>
            </w:r>
            <w:r>
              <w:rPr>
                <w:rFonts w:ascii="Hanken Grotesk" w:cs="Hanken Grotesk" w:eastAsia="Hanken Grotesk" w:hAnsi="Hanken Grotesk"/>
                <w:color w:val="8792A2"/>
                <w:sz w:val="17"/>
                <w:szCs w:val="17"/>
              </w:rPr>
              <w:t xml:space="preserve">  Blanchard eq. 9.3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0A2540"/>
                <w:sz w:val="20"/>
                <w:szCs w:val="20"/>
              </w:rPr>
              <w:t xml:space="preserve">un = (m + z_struct) / α_WS  ;  Yn = L(1 − un)</w:t>
            </w:r>
            <w:r>
              <w:rPr>
                <w:rFonts w:ascii="Hanken Grotesk" w:cs="Hanken Grotesk" w:eastAsia="Hanken Grotesk" w:hAnsi="Hanken Grotesk"/>
                <w:color w:val="8792A2"/>
                <w:sz w:val="17"/>
                <w:szCs w:val="17"/>
              </w:rPr>
              <w:t xml:space="preserve">  eq. 8.4</w:t>
            </w:r>
          </w:p>
        </w:tc>
      </w:tr>
    </w:tbl>
    <w:tbl>
      <w:tblPr>
        <w:tblW w:type="dxa" w:w="9360"/>
        <w:tblBorders>
          <w:top w:val="single" w:color="DEDBFB" w:sz="1"/>
          <w:left w:val="single" w:color="635BFF" w:sz="18"/>
          <w:bottom w:val="single" w:color="DEDBFB" w:sz="1"/>
          <w:right w:val="single" w:color="DEDB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pacing w:val="30"/>
                <w:sz w:val="16"/>
                <w:szCs w:val="16"/>
              </w:rPr>
              <w:t xml:space="preserve">WHY STRUCTURAL SHOCKS SHOW NOTHING IN THE PC LINE</w:t>
            </w:r>
          </w:p>
          <w:p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The Phillips curve is written in </w:t>
            </w:r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2"/>
                <w:szCs w:val="22"/>
              </w:rPr>
              <w:t xml:space="preserve">gap form</w:t>
            </w:r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. The structural markup m and structural wage-push z_struct live inside natural output Yn via the wage-setting relation, so moving those sliders shifts Yn rather than appearing as a term in the PC equation. The “+ z” in the PC line is a separate </w:t>
            </w:r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22"/>
                <w:szCs w:val="22"/>
              </w:rPr>
              <w:t xml:space="preserve">transitory cost-push shock</w:t>
            </w:r>
            <w:r>
              <w:rPr>
                <w:rFonts w:ascii="Hanken Grotesk" w:cs="Hanken Grotesk" w:eastAsia="Hanken Grotesk" w:hAnsi="Hanken Grotesk"/>
                <w:color w:val="425466"/>
                <w:sz w:val="22"/>
                <w:szCs w:val="22"/>
              </w:rPr>
              <w:t xml:space="preserve"> that sits at zero at rest and decays after a pulse. The two are deliberately kept apart.</w:t>
            </w:r>
          </w:p>
        </w:tc>
      </w:tr>
    </w:tbl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7. Preset scenarios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Three ready-to-run scenarios load a parameter set and a teaching narrative. Use them as lecture set-pieces or seminar prompts.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The Taylor Principle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why φ &gt; 1 stabilises inflation and φ &lt; 1 lets it spiral.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2a. De-Anchored Expectations (1970s)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a persistent cost-push shock with low credibility; πᵉ drifts and the shock compounds.</w:t>
      </w:r>
    </w:p>
    <w:p>
      <w:pPr>
        <w:pStyle w:val="ListParagraph"/>
        <w:numPr>
          <w:ilvl w:val="0"/>
          <w:numId w:val="3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2b. Anchored Expectations (1990s)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— the same shock with θ = 1; credibility holds πᵉ at target and the adjustment is far smoother. Run side-by-side with scenario 2.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8. Teaching with Economo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Start locked.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Open at stage 0 so students see the full model greyed out — the destination is visible from the first lecture, which motivates each unlock.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Drag before you derive.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Let students predict the direction of a shift, then drag the curve to test it. The live equation panel confirms the algebra.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Step through dynamics.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Equilibrium comparison is one lesson; watching prices adjust period by period back to potential is another. Use Step / Reverse to slow it down.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Pair the scenarios.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Scenarios 2 and 3 are designed as a contrast — same shock, different credibility. The side-by-side is the lesson.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30"/>
          <w:szCs w:val="30"/>
        </w:rPr>
        <w:t xml:space="preserve">9. FAQ &amp; troubleshooting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Why does closed-economy output settle at Y = 90, not 100?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In stages 0–1 the engine runs r = i with no inflation. At the baseline policy rate of 3%, the goods market clears at Y = 90, below potential Yn = 100. This is a real-rate result, not a sign the closed economy is “smaller.” Output returns to 100 once the PC block unlocks and the real rate falls.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The πᵉ slider does nothing.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Correct before stage 2. Expected inflation has no effect until the Phillips curve unlocks — by design.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A permanent open-economy supply shock never settles.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open economy uses backward-looking exchange-rate expectations, so permanent supply shocks have no stationary equilibrium under UIP. Use transitory shocks; forward-looking FX dynamics are out of scope for this version.</w:t>
      </w:r>
    </w:p>
    <w:p>
      <w:pPr>
        <w:pStyle w:val="Heading2"/>
      </w:pPr>
      <w:r>
        <w:rPr>
          <w:rFonts w:ascii="Hanken Grotesk" w:cs="Hanken Grotesk" w:eastAsia="Hanken Grotesk" w:hAnsi="Hanken Grotesk"/>
          <w:b/>
          <w:bCs/>
          <w:color w:val="0A2540"/>
          <w:sz w:val="23"/>
          <w:szCs w:val="23"/>
        </w:rPr>
        <w:t xml:space="preserve">Nothing installs — is that right?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Yes. It is one HTML file. Double-click it, or host it on your VLE. No IT involvement, works offline.</w:t>
      </w:r>
    </w:p>
    <w:p>
      <w:pPr>
        <w:pBdr>
          <w:top w:val="single" w:color="E3E8EE" w:sz="6" w:space="10"/>
        </w:pBdr>
        <w:spacing w:before="300"/>
      </w:pPr>
      <w:r>
        <w:rPr>
          <w:rFonts w:ascii="Hanken Grotesk" w:cs="Hanken Grotesk" w:eastAsia="Hanken Grotesk" w:hAnsi="Hanken Grotesk"/>
          <w:b/>
          <w:bCs/>
          <w:color w:val="697386"/>
          <w:sz w:val="18"/>
          <w:szCs w:val="18"/>
        </w:rPr>
        <w:t xml:space="preserve">Economo</w:t>
      </w:r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 — IS-LM-PC Interactive Macro Lab. Built around Blanchard, </w:t>
      </w:r>
      <w:r>
        <w:rPr>
          <w:rFonts w:ascii="Hanken Grotesk" w:cs="Hanken Grotesk" w:eastAsia="Hanken Grotesk" w:hAnsi="Hanken Grotesk"/>
          <w:i/>
          <w:iCs/>
          <w:color w:val="8792A2"/>
          <w:sz w:val="18"/>
          <w:szCs w:val="18"/>
        </w:rPr>
        <w:t xml:space="preserve">Macroeconomics</w:t>
      </w:r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, 9th Global Edition (2024). The underlying economic model is drawn from published academic work and is not claimed as proprietary; this manual and the software implementation are the author’s own work.</w:t>
      </w:r>
    </w:p>
    <w:p>
      <w:r>
        <w:rPr>
          <w:rFonts w:ascii="Hanken Grotesk" w:cs="Hanken Grotesk" w:eastAsia="Hanken Grotesk" w:hAnsi="Hanken Grotesk"/>
          <w:color w:val="8792A2"/>
          <w:sz w:val="18"/>
          <w:szCs w:val="18"/>
        </w:rPr>
        <w:t xml:space="preserve">Malin Anderson · malinanderson97@gmail.com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635B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35B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425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0"/>
    </w:pPr>
    <w:rPr>
      <w:rFonts w:ascii="Hanken Grotesk" w:cs="Hanken Grotesk" w:eastAsia="Hanken Grotesk" w:hAnsi="Hanken Grotesk"/>
      <w:b/>
      <w:bCs/>
      <w:color w:val="0A254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top w:val="single" w:color="E3E8EE" w:sz="6" w:space="10"/>
      </w:pBdr>
      <w:spacing w:after="120" w:before="340"/>
      <w:outlineLvl w:val="0"/>
    </w:pPr>
    <w:rPr>
      <w:rFonts w:ascii="Hanken Grotesk" w:cs="Hanken Grotesk" w:eastAsia="Hanken Grotesk" w:hAnsi="Hanken Grotesk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Hanken Grotesk" w:cs="Hanken Grotesk" w:eastAsia="Hanken Grotesk" w:hAnsi="Hanken Grotesk"/>
      <w:b/>
      <w:bCs/>
      <w:color w:val="0A2540"/>
      <w:sz w:val="24"/>
      <w:szCs w:val="24"/>
    </w:rPr>
  </w:style>
  <w:style w:type="paragraph" w:styleId="Eyebrow">
    <w:name w:val="Eyebrow"/>
    <w:basedOn w:val="Normal"/>
    <w:next w:val="Normal"/>
    <w:pPr>
      <w:spacing w:after="40" w:before="60"/>
    </w:pPr>
    <w:rPr>
      <w:rFonts w:ascii="Hanken Grotesk" w:cs="Hanken Grotesk" w:eastAsia="Hanken Grotesk" w:hAnsi="Hanken Grotesk"/>
      <w:b/>
      <w:bCs/>
      <w:color w:val="635BFF"/>
      <w:spacing w:val="40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2026-06-29T13:11:07.673Z</dcterms:created>
  <dcterms:modified xsi:type="dcterms:W3CDTF">2026-06-29T13:11:07.673Z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