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Eyebrow"/>
      </w:pPr>
      <w:r>
        <w:rPr>
          <w:rFonts w:ascii="Hanken Grotesk" w:cs="Hanken Grotesk" w:eastAsia="Hanken Grotesk" w:hAnsi="Hanken Grotesk"/>
          <w:b/>
          <w:bCs/>
          <w:color w:val="635BFF"/>
          <w:sz w:val="17"/>
          <w:szCs w:val="17"/>
        </w:rPr>
        <w:t xml:space="preserve">INSTRUCTOR MANUAL</w:t>
      </w:r>
    </w:p>
    <w:p>
      <w:pPr>
        <w:pStyle w:val="Title"/>
        <w:spacing w:after="40"/>
      </w:pPr>
      <w:r>
        <w:rPr>
          <w:rFonts w:ascii="Fredoka" w:cs="Fredoka" w:eastAsia="Fredoka" w:hAnsi="Fredoka"/>
          <w:b/>
          <w:bCs/>
          <w:color w:val="0A2540"/>
          <w:sz w:val="48"/>
          <w:szCs w:val="48"/>
        </w:rPr>
        <w:t xml:space="preserve">Economo</w:t>
      </w:r>
    </w:p>
    <w:p>
      <w:pPr>
        <w:spacing w:after="20"/>
      </w:pPr>
      <w:r>
        <w:rPr>
          <w:rFonts w:ascii="Hanken Grotesk" w:cs="Hanken Grotesk" w:eastAsia="Hanken Grotesk" w:hAnsi="Hanken Grotesk"/>
          <w:b/>
          <w:bCs/>
          <w:color w:val="0A2540"/>
          <w:sz w:val="24"/>
          <w:szCs w:val="24"/>
        </w:rPr>
        <w:t xml:space="preserve">IS-LM-PC Interactive Macro Lab</w:t>
      </w:r>
    </w:p>
    <w:p>
      <w:pPr>
        <w:spacing w:after="160"/>
      </w:pPr>
      <w:r>
        <w:rPr>
          <w:rFonts w:ascii="Hanken Grotesk" w:cs="Hanken Grotesk" w:eastAsia="Hanken Grotesk" w:hAnsi="Hanken Grotesk"/>
          <w:color w:val="697386"/>
          <w:sz w:val="20"/>
          <w:szCs w:val="20"/>
        </w:rPr>
        <w:t xml:space="preserve">A guide for lecturers and seminar leaders · Blanchard, </w:t>
      </w:r>
      <w:r>
        <w:rPr>
          <w:rFonts w:ascii="Hanken Grotesk" w:cs="Hanken Grotesk" w:eastAsia="Hanken Grotesk" w:hAnsi="Hanken Grotesk"/>
          <w:i/>
          <w:iCs/>
          <w:color w:val="697386"/>
          <w:sz w:val="20"/>
          <w:szCs w:val="20"/>
        </w:rPr>
        <w:t xml:space="preserve">Macroeconomics</w:t>
      </w:r>
      <w:r>
        <w:rPr>
          <w:rFonts w:ascii="Hanken Grotesk" w:cs="Hanken Grotesk" w:eastAsia="Hanken Grotesk" w:hAnsi="Hanken Grotesk"/>
          <w:color w:val="697386"/>
          <w:sz w:val="20"/>
          <w:szCs w:val="20"/>
        </w:rPr>
        <w:t xml:space="preserve"> 9th Global Edition</w:t>
      </w:r>
    </w:p>
    <w:p>
      <w:pPr>
        <w:spacing w:after="120"/>
      </w:pPr>
      <w:r>
        <w:rPr>
          <w:rFonts w:ascii="Hanken Grotesk" w:cs="Hanken Grotesk" w:eastAsia="Hanken Grotesk" w:hAnsi="Hanken Grotesk"/>
          <w:color w:val="425466"/>
          <w:sz w:val="23"/>
          <w:szCs w:val="23"/>
        </w:rPr>
        <w:t xml:space="preserve">Economo is a single-file, browser-based simulator for teaching short-run and medium-run macroeconomics. It turns the core IS-LM-PC framework into something students manipulate directly: drag the curves, step through time, and watch the whole economy respond at once.</w:t>
      </w:r>
    </w:p>
    <w:p>
      <w:pPr>
        <w:pStyle w:val="Heading1"/>
      </w:pPr>
      <w:r>
        <w:rPr>
          <w:rFonts w:ascii="Hanken Grotesk" w:cs="Hanken Grotesk" w:eastAsia="Hanken Grotesk" w:hAnsi="Hanken Grotesk"/>
          <w:b/>
          <w:bCs/>
          <w:color w:val="0A2540"/>
          <w:sz w:val="30"/>
          <w:szCs w:val="30"/>
        </w:rPr>
        <w:t xml:space="preserve">1. About this tool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Economo is one progressive learning tool, not a set of separate models. The full IS-LM-PC system — closed and open economy, goods market through government debt — lives in a single HTML file. The whole model is always on screen; blocks not yet taught are greyed out and locked. As you move through the stages, complexity unlocks in the order your syllabus follows.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It runs in any browser with no install, no login, and no internet connection. Project it in a lecture, embed it in your VLE, or email the file to students.</w:t>
      </w:r>
    </w:p>
    <w:tbl>
      <w:tblPr>
        <w:tblW w:type="dxa" w:w="9360"/>
        <w:tblBorders>
          <w:top w:val="single" w:color="DEDBFB" w:sz="1"/>
          <w:left w:val="single" w:color="635BFF" w:sz="18"/>
          <w:bottom w:val="single" w:color="DEDBFB" w:sz="1"/>
          <w:right w:val="single" w:color="DEDBF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E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Hanken Grotesk" w:cs="Hanken Grotesk" w:eastAsia="Hanken Grotesk" w:hAnsi="Hanken Grotesk"/>
                <w:b/>
                <w:bCs/>
                <w:color w:val="635BFF"/>
                <w:spacing w:val="30"/>
                <w:sz w:val="16"/>
                <w:szCs w:val="16"/>
              </w:rPr>
              <w:t xml:space="preserve">A NOTE ON WHAT CHANGED</w:t>
            </w:r>
          </w:p>
          <w:p>
            <w:r>
              <w:rPr>
                <w:rFonts w:ascii="Hanken Grotesk" w:cs="Hanken Grotesk" w:eastAsia="Hanken Grotesk" w:hAnsi="Hanken Grotesk"/>
                <w:color w:val="425466"/>
                <w:sz w:val="22"/>
                <w:szCs w:val="22"/>
              </w:rPr>
              <w:t xml:space="preserve">Earlier drafts were split into a free closed-economy version and a paid open-economy version. That split is gone. There is now </w:t>
            </w:r>
            <w:r>
              <w:rPr>
                <w:rFonts w:ascii="Hanken Grotesk" w:cs="Hanken Grotesk" w:eastAsia="Hanken Grotesk" w:hAnsi="Hanken Grotesk"/>
                <w:b/>
                <w:bCs/>
                <w:color w:val="0A2540"/>
                <w:sz w:val="22"/>
                <w:szCs w:val="22"/>
              </w:rPr>
              <w:t xml:space="preserve">one tool</w:t>
            </w:r>
            <w:r>
              <w:rPr>
                <w:rFonts w:ascii="Hanken Grotesk" w:cs="Hanken Grotesk" w:eastAsia="Hanken Grotesk" w:hAnsi="Hanken Grotesk"/>
                <w:color w:val="425466"/>
                <w:sz w:val="22"/>
                <w:szCs w:val="22"/>
              </w:rPr>
              <w:t xml:space="preserve"> that reveals the closed and open economy as successive stages of the same model — the closed economy is simply the open-economy goods market with the trade terms switched off.</w:t>
            </w:r>
          </w:p>
        </w:tc>
      </w:tr>
    </w:tbl>
    <w:p>
      <w:pPr>
        <w:pStyle w:val="Heading1"/>
      </w:pPr>
      <w:r>
        <w:rPr>
          <w:rFonts w:ascii="Hanken Grotesk" w:cs="Hanken Grotesk" w:eastAsia="Hanken Grotesk" w:hAnsi="Hanken Grotesk"/>
          <w:b/>
          <w:bCs/>
          <w:color w:val="0A2540"/>
          <w:sz w:val="30"/>
          <w:szCs w:val="30"/>
        </w:rPr>
        <w:t xml:space="preserve">2. The five teaching stages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A dropdown in the top bar (with a </w:t>
      </w: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Next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button beside it) moves between stages. Each stage unlocks one more block of the model. The order follows the course syllabus, not Blanchard’s chapter order — the open economy is introduced before the Phillips curve.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1300"/>
        <w:gridCol w:w="3160"/>
        <w:gridCol w:w="2300"/>
      </w:tblGrid>
      <w:tr>
        <w:tc>
          <w:tcPr>
            <w:tcW w:type="dxa" w:w="9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8792A2"/>
                <w:spacing w:val="20"/>
                <w:sz w:val="15"/>
                <w:szCs w:val="15"/>
              </w:rPr>
              <w:t xml:space="preserve">STAGE</w:t>
            </w:r>
          </w:p>
        </w:tc>
        <w:tc>
          <w:tcPr>
            <w:tcW w:type="dxa" w:w="17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8792A2"/>
                <w:spacing w:val="20"/>
                <w:sz w:val="15"/>
                <w:szCs w:val="15"/>
              </w:rPr>
              <w:t xml:space="preserve">MODEL</w:t>
            </w:r>
          </w:p>
        </w:tc>
        <w:tc>
          <w:tcPr>
            <w:tcW w:type="dxa" w:w="13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8792A2"/>
                <w:spacing w:val="20"/>
                <w:sz w:val="15"/>
                <w:szCs w:val="15"/>
              </w:rPr>
              <w:t xml:space="preserve">ECONOMY</w:t>
            </w:r>
          </w:p>
        </w:tc>
        <w:tc>
          <w:tcPr>
            <w:tcW w:type="dxa" w:w="316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8792A2"/>
                <w:spacing w:val="20"/>
                <w:sz w:val="15"/>
                <w:szCs w:val="15"/>
              </w:rPr>
              <w:t xml:space="preserve">WHAT UNLOCKS</w:t>
            </w:r>
          </w:p>
        </w:tc>
        <w:tc>
          <w:tcPr>
            <w:tcW w:type="dxa" w:w="23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8792A2"/>
                <w:spacing w:val="20"/>
                <w:sz w:val="15"/>
                <w:szCs w:val="15"/>
              </w:rPr>
              <w:t xml:space="preserve">RATE REGIME</w:t>
            </w:r>
          </w:p>
        </w:tc>
      </w:tr>
      <w:tr>
        <w:tc>
          <w:tcPr>
            <w:tcW w:type="dxa" w:w="9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635BFF"/>
                <w:sz w:val="21"/>
                <w:szCs w:val="21"/>
              </w:rPr>
              <w:t xml:space="preserve">0</w:t>
            </w:r>
          </w:p>
        </w:tc>
        <w:tc>
          <w:tcPr>
            <w:tcW w:type="dxa" w:w="17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0A2540"/>
                <w:sz w:val="20"/>
                <w:szCs w:val="20"/>
              </w:rPr>
              <w:t xml:space="preserve">IS-LM</w:t>
            </w:r>
          </w:p>
        </w:tc>
        <w:tc>
          <w:tcPr>
            <w:tcW w:type="dxa" w:w="13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 w:val="false"/>
                <w:bCs w:val="false"/>
                <w:color w:val="425466"/>
                <w:sz w:val="20"/>
                <w:szCs w:val="20"/>
              </w:rPr>
              <w:t xml:space="preserve">Closed</w:t>
            </w:r>
          </w:p>
        </w:tc>
        <w:tc>
          <w:tcPr>
            <w:tcW w:type="dxa" w:w="316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 w:val="false"/>
                <w:bCs w:val="false"/>
                <w:color w:val="425466"/>
                <w:sz w:val="20"/>
                <w:szCs w:val="20"/>
              </w:rPr>
              <w:t xml:space="preserve">Goods market, IS-LM chart, policy rate</w:t>
            </w:r>
          </w:p>
        </w:tc>
        <w:tc>
          <w:tcPr>
            <w:tcW w:type="dxa" w:w="23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IBM Plex Mono" w:cs="IBM Plex Mono" w:eastAsia="IBM Plex Mono" w:hAnsi="IBM Plex Mono"/>
                <w:color w:val="425466"/>
                <w:sz w:val="18"/>
                <w:szCs w:val="18"/>
              </w:rPr>
              <w:t xml:space="preserve">r = i — prices fixed</w:t>
            </w:r>
          </w:p>
        </w:tc>
      </w:tr>
      <w:tr>
        <w:tc>
          <w:tcPr>
            <w:tcW w:type="dxa" w:w="9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635BFF"/>
                <w:sz w:val="21"/>
                <w:szCs w:val="21"/>
              </w:rPr>
              <w:t xml:space="preserve">1</w:t>
            </w:r>
          </w:p>
        </w:tc>
        <w:tc>
          <w:tcPr>
            <w:tcW w:type="dxa" w:w="17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0A2540"/>
                <w:sz w:val="20"/>
                <w:szCs w:val="20"/>
              </w:rPr>
              <w:t xml:space="preserve">IS-LM-UIP</w:t>
            </w:r>
          </w:p>
        </w:tc>
        <w:tc>
          <w:tcPr>
            <w:tcW w:type="dxa" w:w="13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 w:val="false"/>
                <w:bCs w:val="false"/>
                <w:color w:val="425466"/>
                <w:sz w:val="20"/>
                <w:szCs w:val="20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 w:val="false"/>
                <w:bCs w:val="false"/>
                <w:color w:val="425466"/>
                <w:sz w:val="20"/>
                <w:szCs w:val="20"/>
              </w:rPr>
              <w:t xml:space="preserve">+ Imports/exports, UIP, exchange rate</w:t>
            </w:r>
          </w:p>
        </w:tc>
        <w:tc>
          <w:tcPr>
            <w:tcW w:type="dxa" w:w="23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IBM Plex Mono" w:cs="IBM Plex Mono" w:eastAsia="IBM Plex Mono" w:hAnsi="IBM Plex Mono"/>
                <w:color w:val="425466"/>
                <w:sz w:val="18"/>
                <w:szCs w:val="18"/>
              </w:rPr>
              <w:t xml:space="preserve">still r = i</w:t>
            </w:r>
          </w:p>
        </w:tc>
      </w:tr>
      <w:tr>
        <w:tc>
          <w:tcPr>
            <w:tcW w:type="dxa" w:w="9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635BFF"/>
                <w:sz w:val="21"/>
                <w:szCs w:val="21"/>
              </w:rPr>
              <w:t xml:space="preserve">2</w:t>
            </w:r>
          </w:p>
        </w:tc>
        <w:tc>
          <w:tcPr>
            <w:tcW w:type="dxa" w:w="17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0A2540"/>
                <w:sz w:val="20"/>
                <w:szCs w:val="20"/>
              </w:rPr>
              <w:t xml:space="preserve">IS-LM-PC</w:t>
            </w:r>
          </w:p>
        </w:tc>
        <w:tc>
          <w:tcPr>
            <w:tcW w:type="dxa" w:w="13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 w:val="false"/>
                <w:bCs w:val="false"/>
                <w:color w:val="425466"/>
                <w:sz w:val="20"/>
                <w:szCs w:val="20"/>
              </w:rPr>
              <w:t xml:space="preserve">Closed</w:t>
            </w:r>
          </w:p>
        </w:tc>
        <w:tc>
          <w:tcPr>
            <w:tcW w:type="dxa" w:w="316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 w:val="false"/>
                <w:bCs w:val="false"/>
                <w:color w:val="425466"/>
                <w:sz w:val="20"/>
                <w:szCs w:val="20"/>
              </w:rPr>
              <w:t xml:space="preserve">+ Phillips curve, expectations, Yn, Okun</w:t>
            </w:r>
          </w:p>
        </w:tc>
        <w:tc>
          <w:tcPr>
            <w:tcW w:type="dxa" w:w="23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IBM Plex Mono" w:cs="IBM Plex Mono" w:eastAsia="IBM Plex Mono" w:hAnsi="IBM Plex Mono"/>
                <w:color w:val="425466"/>
                <w:sz w:val="18"/>
                <w:szCs w:val="18"/>
              </w:rPr>
              <w:t xml:space="preserve">r = i − πᵉ switches on</w:t>
            </w:r>
          </w:p>
        </w:tc>
      </w:tr>
      <w:tr>
        <w:tc>
          <w:tcPr>
            <w:tcW w:type="dxa" w:w="9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635BFF"/>
                <w:sz w:val="21"/>
                <w:szCs w:val="21"/>
              </w:rPr>
              <w:t xml:space="preserve">3</w:t>
            </w:r>
          </w:p>
        </w:tc>
        <w:tc>
          <w:tcPr>
            <w:tcW w:type="dxa" w:w="17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0A2540"/>
                <w:sz w:val="20"/>
                <w:szCs w:val="20"/>
              </w:rPr>
              <w:t xml:space="preserve">Full Model</w:t>
            </w:r>
          </w:p>
        </w:tc>
        <w:tc>
          <w:tcPr>
            <w:tcW w:type="dxa" w:w="13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 w:val="false"/>
                <w:bCs w:val="false"/>
                <w:color w:val="425466"/>
                <w:sz w:val="20"/>
                <w:szCs w:val="20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 w:val="false"/>
                <w:bCs w:val="false"/>
                <w:color w:val="425466"/>
                <w:sz w:val="20"/>
                <w:szCs w:val="20"/>
              </w:rPr>
              <w:t xml:space="preserve">Everything combined</w:t>
            </w:r>
          </w:p>
        </w:tc>
        <w:tc>
          <w:tcPr>
            <w:tcW w:type="dxa" w:w="23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IBM Plex Mono" w:cs="IBM Plex Mono" w:eastAsia="IBM Plex Mono" w:hAnsi="IBM Plex Mono"/>
                <w:color w:val="425466"/>
                <w:sz w:val="18"/>
                <w:szCs w:val="18"/>
              </w:rPr>
              <w:t xml:space="preserve">r = i − πᵉ</w:t>
            </w:r>
          </w:p>
        </w:tc>
      </w:tr>
      <w:tr>
        <w:tc>
          <w:tcPr>
            <w:tcW w:type="dxa" w:w="9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635BFF"/>
                <w:sz w:val="21"/>
                <w:szCs w:val="21"/>
              </w:rPr>
              <w:t xml:space="preserve">4</w:t>
            </w:r>
          </w:p>
        </w:tc>
        <w:tc>
          <w:tcPr>
            <w:tcW w:type="dxa" w:w="17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0A2540"/>
                <w:sz w:val="20"/>
                <w:szCs w:val="20"/>
              </w:rPr>
              <w:t xml:space="preserve">+ Government Debt</w:t>
            </w:r>
          </w:p>
        </w:tc>
        <w:tc>
          <w:tcPr>
            <w:tcW w:type="dxa" w:w="13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 w:val="false"/>
                <w:bCs w:val="false"/>
                <w:color w:val="425466"/>
                <w:sz w:val="20"/>
                <w:szCs w:val="20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 w:val="false"/>
                <w:bCs w:val="false"/>
                <w:color w:val="425466"/>
                <w:sz w:val="20"/>
                <w:szCs w:val="20"/>
              </w:rPr>
              <w:t xml:space="preserve">+ Debt dynamics</w:t>
            </w:r>
          </w:p>
        </w:tc>
        <w:tc>
          <w:tcPr>
            <w:tcW w:type="dxa" w:w="23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IBM Plex Mono" w:cs="IBM Plex Mono" w:eastAsia="IBM Plex Mono" w:hAnsi="IBM Plex Mono"/>
                <w:color w:val="425466"/>
                <w:sz w:val="18"/>
                <w:szCs w:val="18"/>
              </w:rPr>
              <w:t xml:space="preserve">full model live</w:t>
            </w:r>
          </w:p>
        </w:tc>
      </w:tr>
    </w:tbl>
    <w:p/>
    <w:tbl>
      <w:tblPr>
        <w:tblW w:type="dxa" w:w="9360"/>
        <w:tblBorders>
          <w:top w:val="single" w:color="DEDBFB" w:sz="1"/>
          <w:left w:val="single" w:color="635BFF" w:sz="18"/>
          <w:bottom w:val="single" w:color="DEDBFB" w:sz="1"/>
          <w:right w:val="single" w:color="DEDBF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E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Hanken Grotesk" w:cs="Hanken Grotesk" w:eastAsia="Hanken Grotesk" w:hAnsi="Hanken Grotesk"/>
                <w:b/>
                <w:bCs/>
                <w:color w:val="635BFF"/>
                <w:spacing w:val="30"/>
                <w:sz w:val="16"/>
                <w:szCs w:val="16"/>
              </w:rPr>
              <w:t xml:space="preserve">THE KEY PEDAGOGICAL MOVE</w:t>
            </w:r>
          </w:p>
          <w:p>
            <w:r>
              <w:rPr>
                <w:rFonts w:ascii="Hanken Grotesk" w:cs="Hanken Grotesk" w:eastAsia="Hanken Grotesk" w:hAnsi="Hanken Grotesk"/>
                <w:color w:val="425466"/>
                <w:sz w:val="22"/>
                <w:szCs w:val="22"/>
              </w:rPr>
              <w:t xml:space="preserve">The nominal-versus-real distinction does </w:t>
            </w:r>
            <w:r>
              <w:rPr>
                <w:rFonts w:ascii="Hanken Grotesk" w:cs="Hanken Grotesk" w:eastAsia="Hanken Grotesk" w:hAnsi="Hanken Grotesk"/>
                <w:b/>
                <w:bCs/>
                <w:color w:val="0A2540"/>
                <w:sz w:val="22"/>
                <w:szCs w:val="22"/>
              </w:rPr>
              <w:t xml:space="preserve">not exist</w:t>
            </w:r>
            <w:r>
              <w:rPr>
                <w:rFonts w:ascii="Hanken Grotesk" w:cs="Hanken Grotesk" w:eastAsia="Hanken Grotesk" w:hAnsi="Hanken Grotesk"/>
                <w:color w:val="425466"/>
                <w:sz w:val="22"/>
                <w:szCs w:val="22"/>
              </w:rPr>
              <w:t xml:space="preserve"> until the Phillips curve is unlocked. In stages 0 and 1 the economy is Blanchard’s core short run: prices are constant, so the real rate equals the nominal rate (r = i), and there is no expected-inflation control. The Fisher line, the real-rate line, and the πᵉ slider all appear together the moment the PC block unlocks at stage 2.</w:t>
            </w:r>
          </w:p>
        </w:tc>
      </w:tr>
    </w:tbl>
    <w:p>
      <w:pPr>
        <w:pStyle w:val="Heading1"/>
      </w:pPr>
      <w:r>
        <w:rPr>
          <w:rFonts w:ascii="Hanken Grotesk" w:cs="Hanken Grotesk" w:eastAsia="Hanken Grotesk" w:hAnsi="Hanken Grotesk"/>
          <w:b/>
          <w:bCs/>
          <w:color w:val="0A2540"/>
          <w:sz w:val="30"/>
          <w:szCs w:val="30"/>
        </w:rPr>
        <w:t xml:space="preserve">3. The interface at a glance</w:t>
      </w:r>
    </w:p>
    <w:p>
      <w:pPr>
        <w:pStyle w:val="Heading2"/>
      </w:pPr>
      <w:r>
        <w:rPr>
          <w:rFonts w:ascii="Hanken Grotesk" w:cs="Hanken Grotesk" w:eastAsia="Hanken Grotesk" w:hAnsi="Hanken Grotesk"/>
          <w:b/>
          <w:bCs/>
          <w:color w:val="0A2540"/>
          <w:sz w:val="24"/>
          <w:szCs w:val="24"/>
        </w:rPr>
        <w:t xml:space="preserve">The top bar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Carries the stage dropdown and Next button, the period counter, and the run controls: </w:t>
      </w: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Step one period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advances the economy so a shock can play out; </w:t>
      </w: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Reverse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steps back through the stored history; and the controls reset cleanly when a new scenario loads.</w:t>
      </w:r>
    </w:p>
    <w:p>
      <w:pPr>
        <w:pStyle w:val="Heading2"/>
      </w:pPr>
      <w:r>
        <w:rPr>
          <w:rFonts w:ascii="Hanken Grotesk" w:cs="Hanken Grotesk" w:eastAsia="Hanken Grotesk" w:hAnsi="Hanken Grotesk"/>
          <w:b/>
          <w:bCs/>
          <w:color w:val="0A2540"/>
          <w:sz w:val="24"/>
          <w:szCs w:val="24"/>
        </w:rPr>
        <w:t xml:space="preserve">The sidebar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The left sidebar holds every control, grouped into collapsible sections: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Preset scenarios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— a dropdown, a Load button, and a description box.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Policy &amp; exogenous variables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— G, T, the policy rate i, the MPC c₁, and (once unlocked) the open-economy and Phillips-curve parameters.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Adjustment dynamics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— price-flexibility (medium-run speed), expectations anchoring (θ), and the Taylor rule.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Supply shocks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— the cost-push slider and a one-click oil-shock button.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Government debt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— a starting-debt slider and a trend-growth slider for debt-sustainability work.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Every slider has an editable value beside it: drag it, or click the number and type a value directly. Sliders for locked blocks are greyed until their stage unlocks.</w:t>
      </w:r>
    </w:p>
    <w:p>
      <w:pPr>
        <w:pStyle w:val="Heading1"/>
      </w:pPr>
      <w:r>
        <w:rPr>
          <w:rFonts w:ascii="Hanken Grotesk" w:cs="Hanken Grotesk" w:eastAsia="Hanken Grotesk" w:hAnsi="Hanken Grotesk"/>
          <w:b/>
          <w:bCs/>
          <w:color w:val="0A2540"/>
          <w:sz w:val="30"/>
          <w:szCs w:val="30"/>
        </w:rPr>
        <w:t xml:space="preserve">4. The four charts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Curves with a hollow circle are draggable. Dragging changes the underlying parameter and redraws everything at once — the feature that makes simultaneity visible.</w:t>
      </w:r>
    </w:p>
    <w:p>
      <w:pPr>
        <w:pStyle w:val="Heading2"/>
      </w:pPr>
      <w:r>
        <w:rPr>
          <w:color w:val="E25950"/>
          <w:sz w:val="24"/>
          <w:szCs w:val="24"/>
        </w:rPr>
        <w:t xml:space="preserve">● </w:t>
      </w:r>
      <w:r>
        <w:rPr>
          <w:rFonts w:ascii="Hanken Grotesk" w:cs="Hanken Grotesk" w:eastAsia="Hanken Grotesk" w:hAnsi="Hanken Grotesk"/>
          <w:b/>
          <w:bCs/>
          <w:color w:val="0A2540"/>
          <w:sz w:val="24"/>
          <w:szCs w:val="24"/>
        </w:rPr>
        <w:t xml:space="preserve">ISLM — goods market &amp; policy rate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Solid blue is the nominal LM (the policy rate). The dashed blue line is the real rate r = i − πᵉ, which only appears once the PC block unlocks. Drag the IS curve for fiscal policy; drag the LM line for monetary policy. A faint dashed vertical marks natural output Yn.</w:t>
      </w:r>
    </w:p>
    <w:p>
      <w:pPr>
        <w:pStyle w:val="Heading2"/>
      </w:pPr>
      <w:r>
        <w:rPr>
          <w:color w:val="0FA9A0"/>
          <w:sz w:val="24"/>
          <w:szCs w:val="24"/>
        </w:rPr>
        <w:t xml:space="preserve">● </w:t>
      </w:r>
      <w:r>
        <w:rPr>
          <w:rFonts w:ascii="Hanken Grotesk" w:cs="Hanken Grotesk" w:eastAsia="Hanken Grotesk" w:hAnsi="Hanken Grotesk"/>
          <w:b/>
          <w:bCs/>
          <w:color w:val="0A2540"/>
          <w:sz w:val="24"/>
          <w:szCs w:val="24"/>
        </w:rPr>
        <w:t xml:space="preserve">UIP — interest rate &amp; exchange rate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Solid green is the UIP relation in nominal terms, E = Eᵉ(1+i)/(1+i*). The gold dashed line is the real exchange rate ε = E·P/P*. The two diverge as home prices move relative to foreign. Live from stage 1.</w:t>
      </w:r>
    </w:p>
    <w:p>
      <w:pPr>
        <w:pStyle w:val="Heading2"/>
      </w:pPr>
      <w:r>
        <w:rPr>
          <w:color w:val="E0408E"/>
          <w:sz w:val="24"/>
          <w:szCs w:val="24"/>
        </w:rPr>
        <w:t xml:space="preserve">● </w:t>
      </w:r>
      <w:r>
        <w:rPr>
          <w:rFonts w:ascii="Hanken Grotesk" w:cs="Hanken Grotesk" w:eastAsia="Hanken Grotesk" w:hAnsi="Hanken Grotesk"/>
          <w:b/>
          <w:bCs/>
          <w:color w:val="0A2540"/>
          <w:sz w:val="24"/>
          <w:szCs w:val="24"/>
        </w:rPr>
        <w:t xml:space="preserve">Phillips curve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Drag the curve vertically to change expected inflation πᵉ. A cost-push shock z lifts the whole curve. The derivation drill-down expands the labour market (WS-PS), the Okun bridge, and the Phillips relation. Live from stage 2.</w:t>
      </w:r>
    </w:p>
    <w:p>
      <w:pPr>
        <w:pStyle w:val="Heading2"/>
      </w:pPr>
      <w:r>
        <w:rPr>
          <w:color w:val="697386"/>
          <w:sz w:val="24"/>
          <w:szCs w:val="24"/>
        </w:rPr>
        <w:t xml:space="preserve">● </w:t>
      </w:r>
      <w:r>
        <w:rPr>
          <w:rFonts w:ascii="Hanken Grotesk" w:cs="Hanken Grotesk" w:eastAsia="Hanken Grotesk" w:hAnsi="Hanken Grotesk"/>
          <w:b/>
          <w:bCs/>
          <w:color w:val="0A2540"/>
          <w:sz w:val="24"/>
          <w:szCs w:val="24"/>
        </w:rPr>
        <w:t xml:space="preserve">Government debt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Set a starting debt ratio d = B/Y and a trend growth rate g, then create a primary deficit by raising G above T. The ratio evolves by Δd = (r − g)·d − s, where s = (T−G)/Y. When r &gt; g it snowballs even on a balanced budget; when g &gt; r it erodes on its own. Live at stage 4.</w:t>
      </w:r>
    </w:p>
    <w:p>
      <w:pPr>
        <w:pStyle w:val="Heading1"/>
      </w:pPr>
      <w:r>
        <w:rPr>
          <w:rFonts w:ascii="Hanken Grotesk" w:cs="Hanken Grotesk" w:eastAsia="Hanken Grotesk" w:hAnsi="Hanken Grotesk"/>
          <w:b/>
          <w:bCs/>
          <w:color w:val="0A2540"/>
          <w:sz w:val="30"/>
          <w:szCs w:val="30"/>
        </w:rPr>
        <w:t xml:space="preserve">5. Controls and what they mean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Government spending G (10–35) and Taxes T (10–35).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The fiscal levers. Baseline is a balanced budget at G = T = 20 (about a 20% government share of output).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Policy rate i (−2% to 15%).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The monetary lever throughout — the bank sets the nominal rate directly, giving a flat policy line. Overridden when the Taylor rule is on.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MPC c₁ (0.30–0.80).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The marginal propensity to consume. Raising it steepens the multiplier; the live readout shows the updated multiplier and response coefficients.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Expected inflation πᵉ (−2% to 15%).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Unlocks at stage 2. Shifts the Phillips curve and drives the real rate r = i − πᵉ.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PC slope α (0.05–0.50, default 0.30).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How strongly the output gap feeds into inflation. Calibrated against Hazell et al. (QJE 2022).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Markup m and Wage push z (structural).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Shift natural output Yn through the wage-setting relation, not the Phillips curve directly. Distinct from the transitory cost-push shock.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Import propensity m₁, Foreign output Y*, Foreign rate i*, Expected exchange rate Eᵉ.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Open-economy parameters, from stage 1.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Anchoring ceiling θ (0–1) and credibility.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How firmly expectations stay anchored to target. High θ damps the inflation response to shocks.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Taylor rule toggle and coefficient φ (0–3).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When on, the bank sets the rate by a smoothed Taylor rule. φ above 1 satisfies the Taylor principle.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Cost-push shock z and the oil-shock button.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A transitory supply disturbance that lifts the Phillips curve and decays over time.</w:t>
      </w:r>
    </w:p>
    <w:p>
      <w:pPr>
        <w:pStyle w:val="Heading1"/>
      </w:pPr>
      <w:r>
        <w:rPr>
          <w:rFonts w:ascii="Hanken Grotesk" w:cs="Hanken Grotesk" w:eastAsia="Hanken Grotesk" w:hAnsi="Hanken Grotesk"/>
          <w:b/>
          <w:bCs/>
          <w:color w:val="0A2540"/>
          <w:sz w:val="30"/>
          <w:szCs w:val="30"/>
        </w:rPr>
        <w:t xml:space="preserve">6. Equations and calibration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Output is solved each period as a comparative-static equilibrium, then advanced dynamically. The closed and open economy share one engine — the closed economy is the open-economy IS with the import term forced to zero.</w:t>
      </w:r>
    </w:p>
    <w:p>
      <w:pPr>
        <w:pStyle w:val="Heading2"/>
      </w:pPr>
      <w:r>
        <w:rPr>
          <w:rFonts w:ascii="Hanken Grotesk" w:cs="Hanken Grotesk" w:eastAsia="Hanken Grotesk" w:hAnsi="Hanken Grotesk"/>
          <w:b/>
          <w:bCs/>
          <w:color w:val="0A2540"/>
          <w:sz w:val="24"/>
          <w:szCs w:val="24"/>
        </w:rPr>
        <w:t xml:space="preserve">IS (goods market)</w:t>
      </w:r>
    </w:p>
    <w:tbl>
      <w:tblPr>
        <w:tblW w:type="dxa" w:w="9360"/>
        <w:tblBorders>
          <w:top w:val="single" w:color="E3E8EE" w:sz="1"/>
          <w:left w:val="single" w:color="635BFF" w:sz="18"/>
          <w:bottom w:val="single" w:color="E3E8EE" w:sz="1"/>
          <w:right w:val="single" w:color="E3E8E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IBM Plex Mono" w:cs="IBM Plex Mono" w:eastAsia="IBM Plex Mono" w:hAnsi="IBM Plex Mono"/>
                <w:color w:val="0A2540"/>
                <w:sz w:val="20"/>
                <w:szCs w:val="20"/>
              </w:rPr>
              <w:t xml:space="preserve">Closed:  k = 1 / (1 − c₁ − d₁) = 2.5</w:t>
            </w:r>
            <w:r>
              <w:rPr>
                <w:rFonts w:ascii="Hanken Grotesk" w:cs="Hanken Grotesk" w:eastAsia="Hanken Grotesk" w:hAnsi="Hanken Grotesk"/>
                <w:color w:val="697386"/>
                <w:sz w:val="18"/>
                <w:szCs w:val="18"/>
              </w:rPr>
              <w:t xml:space="preserve">  at baseline (c₁=0.5, d₁=0.1)</w:t>
            </w:r>
          </w:p>
          <w:p>
            <w:pPr>
              <w:spacing w:after="30"/>
            </w:pPr>
            <w:r>
              <w:rPr>
                <w:rFonts w:ascii="IBM Plex Mono" w:cs="IBM Plex Mono" w:eastAsia="IBM Plex Mono" w:hAnsi="IBM Plex Mono"/>
                <w:color w:val="0A2540"/>
                <w:sz w:val="20"/>
                <w:szCs w:val="20"/>
              </w:rPr>
              <w:t xml:space="preserve">Open:    k_o = 1 / (1 − c₁ − d₁ + m₁) ≈ 1.43</w:t>
            </w:r>
            <w:r>
              <w:rPr>
                <w:rFonts w:ascii="Hanken Grotesk" w:cs="Hanken Grotesk" w:eastAsia="Hanken Grotesk" w:hAnsi="Hanken Grotesk"/>
                <w:color w:val="697386"/>
                <w:sz w:val="18"/>
                <w:szCs w:val="18"/>
              </w:rPr>
              <w:t xml:space="preserve">  + m₁=0.3</w:t>
            </w:r>
            <w:r>
              <w:rPr>
                <w:rFonts w:ascii="Hanken Grotesk" w:cs="Hanken Grotesk" w:eastAsia="Hanken Grotesk" w:hAnsi="Hanken Grotesk"/>
                <w:color w:val="8792A2"/>
                <w:sz w:val="17"/>
                <w:szCs w:val="17"/>
              </w:rPr>
              <w:t xml:space="preserve">  Blanchard eq. 19.1</w:t>
            </w:r>
          </w:p>
        </w:tc>
      </w:tr>
    </w:tbl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The import leakage m₁ sits inside the denominator, so the open multiplier is smaller and the open IS curve is steeper than the closed one. Baseline reduced-form responses (closed): ΔY = +2.5 ΔG, −1.25 ΔT, −500 Δr.</w:t>
      </w:r>
    </w:p>
    <w:p>
      <w:pPr>
        <w:pStyle w:val="Heading2"/>
      </w:pPr>
      <w:r>
        <w:rPr>
          <w:rFonts w:ascii="Hanken Grotesk" w:cs="Hanken Grotesk" w:eastAsia="Hanken Grotesk" w:hAnsi="Hanken Grotesk"/>
          <w:b/>
          <w:bCs/>
          <w:color w:val="0A2540"/>
          <w:sz w:val="24"/>
          <w:szCs w:val="24"/>
        </w:rPr>
        <w:t xml:space="preserve">MP (monetary policy)</w:t>
      </w:r>
    </w:p>
    <w:tbl>
      <w:tblPr>
        <w:tblW w:type="dxa" w:w="9360"/>
        <w:tblBorders>
          <w:top w:val="single" w:color="E3E8EE" w:sz="1"/>
          <w:left w:val="single" w:color="635BFF" w:sz="18"/>
          <w:bottom w:val="single" w:color="E3E8EE" w:sz="1"/>
          <w:right w:val="single" w:color="E3E8E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IBM Plex Mono" w:cs="IBM Plex Mono" w:eastAsia="IBM Plex Mono" w:hAnsi="IBM Plex Mono"/>
                <w:color w:val="0A2540"/>
                <w:sz w:val="20"/>
                <w:szCs w:val="20"/>
              </w:rPr>
              <w:t xml:space="preserve">r = i  (stages 0–1, prices fixed)   →   r = i − πᵉ  (stage 2 onward)</w:t>
            </w:r>
          </w:p>
        </w:tc>
      </w:tr>
    </w:tbl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The central bank sets the nominal rate i directly. In the closed stage, money demand is multiplicative, M/P = Y·(L₀ − L₁·i); in the open stage it is abstracted out.</w:t>
      </w:r>
    </w:p>
    <w:p>
      <w:pPr>
        <w:pStyle w:val="Heading2"/>
      </w:pPr>
      <w:r>
        <w:rPr>
          <w:rFonts w:ascii="Hanken Grotesk" w:cs="Hanken Grotesk" w:eastAsia="Hanken Grotesk" w:hAnsi="Hanken Grotesk"/>
          <w:b/>
          <w:bCs/>
          <w:color w:val="0A2540"/>
          <w:sz w:val="24"/>
          <w:szCs w:val="24"/>
        </w:rPr>
        <w:t xml:space="preserve">PC (Phillips curve) — gap form</w:t>
      </w:r>
    </w:p>
    <w:tbl>
      <w:tblPr>
        <w:tblW w:type="dxa" w:w="9360"/>
        <w:tblBorders>
          <w:top w:val="single" w:color="E3E8EE" w:sz="1"/>
          <w:left w:val="single" w:color="635BFF" w:sz="18"/>
          <w:bottom w:val="single" w:color="E3E8EE" w:sz="1"/>
          <w:right w:val="single" w:color="E3E8E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IBM Plex Mono" w:cs="IBM Plex Mono" w:eastAsia="IBM Plex Mono" w:hAnsi="IBM Plex Mono"/>
                <w:color w:val="0A2540"/>
                <w:sz w:val="20"/>
                <w:szCs w:val="20"/>
              </w:rPr>
              <w:t xml:space="preserve">π = πᵉ + α(Y − Yn)/Yn + z</w:t>
            </w:r>
            <w:r>
              <w:rPr>
                <w:rFonts w:ascii="Hanken Grotesk" w:cs="Hanken Grotesk" w:eastAsia="Hanken Grotesk" w:hAnsi="Hanken Grotesk"/>
                <w:color w:val="8792A2"/>
                <w:sz w:val="17"/>
                <w:szCs w:val="17"/>
              </w:rPr>
              <w:t xml:space="preserve">  Blanchard eq. 9.3</w:t>
            </w:r>
          </w:p>
          <w:p>
            <w:pPr>
              <w:spacing w:after="30"/>
            </w:pPr>
            <w:r>
              <w:rPr>
                <w:rFonts w:ascii="IBM Plex Mono" w:cs="IBM Plex Mono" w:eastAsia="IBM Plex Mono" w:hAnsi="IBM Plex Mono"/>
                <w:color w:val="0A2540"/>
                <w:sz w:val="20"/>
                <w:szCs w:val="20"/>
              </w:rPr>
              <w:t xml:space="preserve">un = (m + z_struct) / α_WS  ;  Yn = L(1 − un)</w:t>
            </w:r>
            <w:r>
              <w:rPr>
                <w:rFonts w:ascii="Hanken Grotesk" w:cs="Hanken Grotesk" w:eastAsia="Hanken Grotesk" w:hAnsi="Hanken Grotesk"/>
                <w:color w:val="8792A2"/>
                <w:sz w:val="17"/>
                <w:szCs w:val="17"/>
              </w:rPr>
              <w:t xml:space="preserve">  eq. 8.4</w:t>
            </w:r>
          </w:p>
        </w:tc>
      </w:tr>
    </w:tbl>
    <w:tbl>
      <w:tblPr>
        <w:tblW w:type="dxa" w:w="9360"/>
        <w:tblBorders>
          <w:top w:val="single" w:color="DEDBFB" w:sz="1"/>
          <w:left w:val="single" w:color="635BFF" w:sz="18"/>
          <w:bottom w:val="single" w:color="DEDBFB" w:sz="1"/>
          <w:right w:val="single" w:color="DEDBF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E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Hanken Grotesk" w:cs="Hanken Grotesk" w:eastAsia="Hanken Grotesk" w:hAnsi="Hanken Grotesk"/>
                <w:b/>
                <w:bCs/>
                <w:color w:val="635BFF"/>
                <w:spacing w:val="30"/>
                <w:sz w:val="16"/>
                <w:szCs w:val="16"/>
              </w:rPr>
              <w:t xml:space="preserve">WHY STRUCTURAL SHOCKS SHOW NOTHING IN THE PC LINE</w:t>
            </w:r>
          </w:p>
          <w:p>
            <w:r>
              <w:rPr>
                <w:rFonts w:ascii="Hanken Grotesk" w:cs="Hanken Grotesk" w:eastAsia="Hanken Grotesk" w:hAnsi="Hanken Grotesk"/>
                <w:color w:val="425466"/>
                <w:sz w:val="22"/>
                <w:szCs w:val="22"/>
              </w:rPr>
              <w:t xml:space="preserve">The Phillips curve is written in </w:t>
            </w:r>
            <w:r>
              <w:rPr>
                <w:rFonts w:ascii="Hanken Grotesk" w:cs="Hanken Grotesk" w:eastAsia="Hanken Grotesk" w:hAnsi="Hanken Grotesk"/>
                <w:b/>
                <w:bCs/>
                <w:color w:val="0A2540"/>
                <w:sz w:val="22"/>
                <w:szCs w:val="22"/>
              </w:rPr>
              <w:t xml:space="preserve">gap form</w:t>
            </w:r>
            <w:r>
              <w:rPr>
                <w:rFonts w:ascii="Hanken Grotesk" w:cs="Hanken Grotesk" w:eastAsia="Hanken Grotesk" w:hAnsi="Hanken Grotesk"/>
                <w:color w:val="425466"/>
                <w:sz w:val="22"/>
                <w:szCs w:val="22"/>
              </w:rPr>
              <w:t xml:space="preserve">. The structural markup m and structural wage-push z_struct live inside natural output Yn via the wage-setting relation, so moving those sliders shifts Yn rather than appearing as a term in the PC equation. The “+ z” in the PC line is a separate </w:t>
            </w:r>
            <w:r>
              <w:rPr>
                <w:rFonts w:ascii="Hanken Grotesk" w:cs="Hanken Grotesk" w:eastAsia="Hanken Grotesk" w:hAnsi="Hanken Grotesk"/>
                <w:b/>
                <w:bCs/>
                <w:color w:val="0A2540"/>
                <w:sz w:val="22"/>
                <w:szCs w:val="22"/>
              </w:rPr>
              <w:t xml:space="preserve">transitory cost-push shock</w:t>
            </w:r>
            <w:r>
              <w:rPr>
                <w:rFonts w:ascii="Hanken Grotesk" w:cs="Hanken Grotesk" w:eastAsia="Hanken Grotesk" w:hAnsi="Hanken Grotesk"/>
                <w:color w:val="425466"/>
                <w:sz w:val="22"/>
                <w:szCs w:val="22"/>
              </w:rPr>
              <w:t xml:space="preserve"> that sits at zero at rest and decays after a pulse. The two are deliberately kept apart.</w:t>
            </w:r>
          </w:p>
        </w:tc>
      </w:tr>
    </w:tbl>
    <w:p>
      <w:pPr>
        <w:pStyle w:val="Heading2"/>
      </w:pPr>
      <w:r>
        <w:rPr>
          <w:rFonts w:ascii="Hanken Grotesk" w:cs="Hanken Grotesk" w:eastAsia="Hanken Grotesk" w:hAnsi="Hanken Grotesk"/>
          <w:b/>
          <w:bCs/>
          <w:color w:val="0A2540"/>
          <w:sz w:val="24"/>
          <w:szCs w:val="24"/>
        </w:rPr>
        <w:t xml:space="preserve">Government debt</w:t>
      </w:r>
    </w:p>
    <w:tbl>
      <w:tblPr>
        <w:tblW w:type="dxa" w:w="9360"/>
        <w:tblBorders>
          <w:top w:val="single" w:color="E3E8EE" w:sz="1"/>
          <w:left w:val="single" w:color="635BFF" w:sz="18"/>
          <w:bottom w:val="single" w:color="E3E8EE" w:sz="1"/>
          <w:right w:val="single" w:color="E3E8E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IBM Plex Mono" w:cs="IBM Plex Mono" w:eastAsia="IBM Plex Mono" w:hAnsi="IBM Plex Mono"/>
                <w:color w:val="0A2540"/>
                <w:sz w:val="20"/>
                <w:szCs w:val="20"/>
              </w:rPr>
              <w:t xml:space="preserve">Δd = (r − g)·d − s ,   s = (T − G)/Y</w:t>
            </w:r>
            <w:r>
              <w:rPr>
                <w:rFonts w:ascii="Hanken Grotesk" w:cs="Hanken Grotesk" w:eastAsia="Hanken Grotesk" w:hAnsi="Hanken Grotesk"/>
                <w:color w:val="8792A2"/>
                <w:sz w:val="17"/>
                <w:szCs w:val="17"/>
              </w:rPr>
              <w:t xml:space="preserve">  Ch. 22</w:t>
            </w:r>
          </w:p>
        </w:tc>
      </w:tr>
    </w:tbl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g enters the debt accounting only — it is an assumed trend, not modelled output growth.</w:t>
      </w:r>
    </w:p>
    <w:p>
      <w:pPr>
        <w:pStyle w:val="Heading1"/>
      </w:pPr>
      <w:r>
        <w:rPr>
          <w:rFonts w:ascii="Hanken Grotesk" w:cs="Hanken Grotesk" w:eastAsia="Hanken Grotesk" w:hAnsi="Hanken Grotesk"/>
          <w:b/>
          <w:bCs/>
          <w:color w:val="0A2540"/>
          <w:sz w:val="30"/>
          <w:szCs w:val="30"/>
        </w:rPr>
        <w:t xml:space="preserve">7. Preset scenarios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Six ready-to-run scenarios load a parameter set and a teaching narrative. Use them as lecture set-pieces or seminar prompts.</w:t>
      </w:r>
    </w:p>
    <w:p>
      <w:pPr>
        <w:pStyle w:val="ListParagraph"/>
        <w:numPr>
          <w:ilvl w:val="0"/>
          <w:numId w:val="3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The Taylor Principle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— why φ &gt; 1 stabilises inflation and φ &lt; 1 lets it spiral.</w:t>
      </w:r>
    </w:p>
    <w:p>
      <w:pPr>
        <w:pStyle w:val="ListParagraph"/>
        <w:numPr>
          <w:ilvl w:val="0"/>
          <w:numId w:val="3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De-Anchored Expectations (1970s)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— a persistent cost-push shock with low credibility; πᵉ drifts and the shock compounds.</w:t>
      </w:r>
    </w:p>
    <w:p>
      <w:pPr>
        <w:pStyle w:val="ListParagraph"/>
        <w:numPr>
          <w:ilvl w:val="0"/>
          <w:numId w:val="3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Anchored Expectations (1990s)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— the same shock with θ = 1; credibility holds πᵉ at target and the adjustment is far smoother. Run side-by-side with scenario 2.</w:t>
      </w:r>
    </w:p>
    <w:p>
      <w:pPr>
        <w:pStyle w:val="ListParagraph"/>
        <w:numPr>
          <w:ilvl w:val="0"/>
          <w:numId w:val="3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Exchange-Rate Disinflation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— using the exchange-rate channel to bring inflation down.</w:t>
      </w:r>
    </w:p>
    <w:p>
      <w:pPr>
        <w:pStyle w:val="ListParagraph"/>
        <w:numPr>
          <w:ilvl w:val="0"/>
          <w:numId w:val="3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Twin Deficits &amp; Real Appreciation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— a fiscal expansion feeding the current account and the real exchange rate.</w:t>
      </w:r>
    </w:p>
    <w:p>
      <w:pPr>
        <w:pStyle w:val="ListParagraph"/>
        <w:numPr>
          <w:ilvl w:val="0"/>
          <w:numId w:val="3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Global Rate Hike Spillover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— a rise in the foreign rate i* transmitting through UIP.</w:t>
      </w:r>
    </w:p>
    <w:p>
      <w:pPr>
        <w:pStyle w:val="Heading1"/>
      </w:pPr>
      <w:r>
        <w:rPr>
          <w:rFonts w:ascii="Hanken Grotesk" w:cs="Hanken Grotesk" w:eastAsia="Hanken Grotesk" w:hAnsi="Hanken Grotesk"/>
          <w:b/>
          <w:bCs/>
          <w:color w:val="0A2540"/>
          <w:sz w:val="30"/>
          <w:szCs w:val="30"/>
        </w:rPr>
        <w:t xml:space="preserve">8. Teaching with Economo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Start locked.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Open at stage 0 so students see the full model greyed out — the destination is visible from the first lecture, which motivates each unlock.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Drag before you derive.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Let students predict the direction of a shift, then drag the curve to test it. The live equation panel confirms the algebra.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Step through dynamics.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Equilibrium comparison is one lesson; watching prices adjust period by period back to potential is another. Use Step / Reverse to slow it down.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Pair the scenarios.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Scenarios 2 and 3 are designed as a contrast — same shock, different credibility. The side-by-side is the lesson.</w:t>
      </w:r>
    </w:p>
    <w:p>
      <w:pPr>
        <w:pStyle w:val="Heading1"/>
      </w:pPr>
      <w:r>
        <w:rPr>
          <w:rFonts w:ascii="Hanken Grotesk" w:cs="Hanken Grotesk" w:eastAsia="Hanken Grotesk" w:hAnsi="Hanken Grotesk"/>
          <w:b/>
          <w:bCs/>
          <w:color w:val="0A2540"/>
          <w:sz w:val="30"/>
          <w:szCs w:val="30"/>
        </w:rPr>
        <w:t xml:space="preserve">9. FAQ &amp; troubleshooting</w:t>
      </w:r>
    </w:p>
    <w:p>
      <w:pPr>
        <w:pStyle w:val="Heading2"/>
      </w:pPr>
      <w:r>
        <w:rPr>
          <w:rFonts w:ascii="Hanken Grotesk" w:cs="Hanken Grotesk" w:eastAsia="Hanken Grotesk" w:hAnsi="Hanken Grotesk"/>
          <w:b/>
          <w:bCs/>
          <w:color w:val="0A2540"/>
          <w:sz w:val="23"/>
          <w:szCs w:val="23"/>
        </w:rPr>
        <w:t xml:space="preserve">Why does closed-economy output settle at Y = 90, not 100?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In stages 0–1 the engine runs r = i with no inflation. At the baseline policy rate of 3%, the goods market clears at Y = 90, below potential Yn = 100. This is a real-rate result, not a sign the closed economy is “smaller.” Output returns to 100 once the PC block unlocks and the real rate falls.</w:t>
      </w:r>
    </w:p>
    <w:p>
      <w:pPr>
        <w:pStyle w:val="Heading2"/>
      </w:pPr>
      <w:r>
        <w:rPr>
          <w:rFonts w:ascii="Hanken Grotesk" w:cs="Hanken Grotesk" w:eastAsia="Hanken Grotesk" w:hAnsi="Hanken Grotesk"/>
          <w:b/>
          <w:bCs/>
          <w:color w:val="0A2540"/>
          <w:sz w:val="23"/>
          <w:szCs w:val="23"/>
        </w:rPr>
        <w:t xml:space="preserve">The πᵉ slider does nothing.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Correct before stage 2. Expected inflation has no effect until the Phillips curve unlocks — by design.</w:t>
      </w:r>
    </w:p>
    <w:p>
      <w:pPr>
        <w:pStyle w:val="Heading2"/>
      </w:pPr>
      <w:r>
        <w:rPr>
          <w:rFonts w:ascii="Hanken Grotesk" w:cs="Hanken Grotesk" w:eastAsia="Hanken Grotesk" w:hAnsi="Hanken Grotesk"/>
          <w:b/>
          <w:bCs/>
          <w:color w:val="0A2540"/>
          <w:sz w:val="23"/>
          <w:szCs w:val="23"/>
        </w:rPr>
        <w:t xml:space="preserve">A permanent open-economy supply shock never settles.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The open economy uses backward-looking exchange-rate expectations, so permanent supply shocks have no stationary equilibrium under UIP. Use transitory shocks; forward-looking FX dynamics are out of scope for this version.</w:t>
      </w:r>
    </w:p>
    <w:p>
      <w:pPr>
        <w:pStyle w:val="Heading2"/>
      </w:pPr>
      <w:r>
        <w:rPr>
          <w:rFonts w:ascii="Hanken Grotesk" w:cs="Hanken Grotesk" w:eastAsia="Hanken Grotesk" w:hAnsi="Hanken Grotesk"/>
          <w:b/>
          <w:bCs/>
          <w:color w:val="0A2540"/>
          <w:sz w:val="23"/>
          <w:szCs w:val="23"/>
        </w:rPr>
        <w:t xml:space="preserve">Nothing installs — is that right?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Yes. It is one HTML file. Double-click it, or host it on your VLE. No IT involvement, works offline.</w:t>
      </w:r>
    </w:p>
    <w:p>
      <w:pPr>
        <w:pBdr>
          <w:top w:val="single" w:color="E3E8EE" w:sz="6" w:space="10"/>
        </w:pBdr>
        <w:spacing w:before="300"/>
      </w:pPr>
      <w:r>
        <w:rPr>
          <w:rFonts w:ascii="Hanken Grotesk" w:cs="Hanken Grotesk" w:eastAsia="Hanken Grotesk" w:hAnsi="Hanken Grotesk"/>
          <w:b/>
          <w:bCs/>
          <w:color w:val="697386"/>
          <w:sz w:val="18"/>
          <w:szCs w:val="18"/>
        </w:rPr>
        <w:t xml:space="preserve">Economo</w:t>
      </w:r>
      <w:r>
        <w:rPr>
          <w:rFonts w:ascii="Hanken Grotesk" w:cs="Hanken Grotesk" w:eastAsia="Hanken Grotesk" w:hAnsi="Hanken Grotesk"/>
          <w:color w:val="8792A2"/>
          <w:sz w:val="18"/>
          <w:szCs w:val="18"/>
        </w:rPr>
        <w:t xml:space="preserve"> — IS-LM-PC Interactive Macro Lab. Built around Blanchard, </w:t>
      </w:r>
      <w:r>
        <w:rPr>
          <w:rFonts w:ascii="Hanken Grotesk" w:cs="Hanken Grotesk" w:eastAsia="Hanken Grotesk" w:hAnsi="Hanken Grotesk"/>
          <w:i/>
          <w:iCs/>
          <w:color w:val="8792A2"/>
          <w:sz w:val="18"/>
          <w:szCs w:val="18"/>
        </w:rPr>
        <w:t xml:space="preserve">Macroeconomics</w:t>
      </w:r>
      <w:r>
        <w:rPr>
          <w:rFonts w:ascii="Hanken Grotesk" w:cs="Hanken Grotesk" w:eastAsia="Hanken Grotesk" w:hAnsi="Hanken Grotesk"/>
          <w:color w:val="8792A2"/>
          <w:sz w:val="18"/>
          <w:szCs w:val="18"/>
        </w:rPr>
        <w:t xml:space="preserve">, 9th Global Edition (2024). The underlying economic model is drawn from published academic work and is not claimed as proprietary; this manual and the software implementation are the author’s own work.</w:t>
      </w:r>
    </w:p>
    <w:p>
      <w:r>
        <w:rPr>
          <w:rFonts w:ascii="Hanken Grotesk" w:cs="Hanken Grotesk" w:eastAsia="Hanken Grotesk" w:hAnsi="Hanken Grotesk"/>
          <w:color w:val="8792A2"/>
          <w:sz w:val="18"/>
          <w:szCs w:val="18"/>
        </w:rPr>
        <w:t xml:space="preserve">Malin Anderson · malinanderson97@gmail.com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635BF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635BF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anken Grotesk" w:cs="Hanken Grotesk" w:eastAsia="Hanken Grotesk" w:hAnsi="Hanken Grotesk"/>
        <w:color w:val="42546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 w:before="0"/>
    </w:pPr>
    <w:rPr>
      <w:rFonts w:ascii="Hanken Grotesk" w:cs="Hanken Grotesk" w:eastAsia="Hanken Grotesk" w:hAnsi="Hanken Grotesk"/>
      <w:b/>
      <w:bCs/>
      <w:color w:val="0A2540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top w:val="single" w:color="E3E8EE" w:sz="6" w:space="10"/>
      </w:pBdr>
      <w:spacing w:after="120" w:before="340"/>
      <w:outlineLvl w:val="0"/>
    </w:pPr>
    <w:rPr>
      <w:rFonts w:ascii="Hanken Grotesk" w:cs="Hanken Grotesk" w:eastAsia="Hanken Grotesk" w:hAnsi="Hanken Grotesk"/>
      <w:b/>
      <w:bCs/>
      <w:color w:val="0A25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Hanken Grotesk" w:cs="Hanken Grotesk" w:eastAsia="Hanken Grotesk" w:hAnsi="Hanken Grotesk"/>
      <w:b/>
      <w:bCs/>
      <w:color w:val="0A2540"/>
      <w:sz w:val="24"/>
      <w:szCs w:val="24"/>
    </w:rPr>
  </w:style>
  <w:style w:type="paragraph" w:styleId="Eyebrow">
    <w:name w:val="Eyebrow"/>
    <w:basedOn w:val="Normal"/>
    <w:next w:val="Normal"/>
    <w:pPr>
      <w:spacing w:after="40" w:before="60"/>
    </w:pPr>
    <w:rPr>
      <w:rFonts w:ascii="Hanken Grotesk" w:cs="Hanken Grotesk" w:eastAsia="Hanken Grotesk" w:hAnsi="Hanken Grotesk"/>
      <w:b/>
      <w:bCs/>
      <w:color w:val="635BFF"/>
      <w:spacing w:val="40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2026-06-29T13:11:07.673Z</dcterms:created>
  <dcterms:modified xsi:type="dcterms:W3CDTF">2026-06-29T13:11:07.673Z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