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Membership Registration and Approval Process</w:t>
      </w:r>
    </w:p>
    <w:p>
      <w:pPr>
        <w:spacing w:after="280"/>
        <w:jc w:val="center"/>
      </w:pPr>
      <w:r>
        <w:rPr>
          <w:i/>
        </w:rPr>
        <w:t>Malanga Community Welfare Scheme</w:t>
      </w:r>
    </w:p>
    <w:p>
      <w:r>
        <w:t>Approved working draft for the Malanga Community Welfare Scheme. This document defines the member journey, eligibility rules, application form, and information to be stored.</w:t>
      </w:r>
    </w:p>
    <w:p>
      <w:pPr>
        <w:pStyle w:val="Heading1"/>
      </w:pPr>
      <w:r>
        <w:t>1. Membership Registration and Approval Process</w:t>
      </w:r>
    </w:p>
    <w:p>
      <w:pPr>
        <w:pStyle w:val="Heading2"/>
      </w:pPr>
      <w:r>
        <w:t>Online Application</w:t>
      </w:r>
    </w:p>
    <w:p>
      <w:r>
        <w:t>A prospective member submits the online application form and provides all required personal details and supporting information.</w:t>
      </w:r>
    </w:p>
    <w:p>
      <w:pPr>
        <w:pStyle w:val="Heading2"/>
      </w:pPr>
      <w:r>
        <w:t>Application Acknowledgement</w:t>
      </w:r>
    </w:p>
    <w:p>
      <w:r>
        <w:t>Immediately after submission, the applicant receives an automated notification confirming receipt and stating that the application is awaiting Welfare Committee review.</w:t>
      </w:r>
    </w:p>
    <w:p>
      <w:pPr>
        <w:pStyle w:val="Heading2"/>
      </w:pPr>
      <w:r>
        <w:t>Committee Review</w:t>
      </w:r>
    </w:p>
    <w:p>
      <w:r>
        <w:t>The Welfare Committee reviews the application for eligibility, completeness, and compliance with membership requirements. If rejected, the applicant is notified. If approved, the applicant receives instructions to pay the registration fee.</w:t>
      </w:r>
    </w:p>
    <w:p>
      <w:pPr>
        <w:pStyle w:val="Heading2"/>
      </w:pPr>
      <w:r>
        <w:t>Registration Fee Payment</w:t>
      </w:r>
    </w:p>
    <w:p>
      <w:r>
        <w:t>The approved applicant pays using a unique payment account or reference code. The code may be the registered Safaricom phone number or a system-generated identifier.</w:t>
      </w:r>
    </w:p>
    <w:p>
      <w:pPr>
        <w:pStyle w:val="Heading2"/>
      </w:pPr>
      <w:r>
        <w:t>Membership Activation</w:t>
      </w:r>
    </w:p>
    <w:p>
      <w:r>
        <w:t>After payment is received and verified, the Committee receives a payment notification, the application is activated, a unique Membership Number is generated, and the new member receives confirmation with their membership details.</w:t>
      </w:r>
    </w:p>
    <w:p>
      <w:pPr>
        <w:pStyle w:val="Heading2"/>
      </w:pPr>
      <w:r>
        <w:t>Probation Period</w:t>
      </w:r>
    </w:p>
    <w:p>
      <w:r>
        <w:t>The probation period begins on the date of successful activation and payment confirmation. During probation, the member is registered but is not yet eligible for full welfare benefits.</w:t>
      </w:r>
    </w:p>
    <w:p>
      <w:pPr>
        <w:pStyle w:val="Heading2"/>
      </w:pPr>
      <w:r>
        <w:t>Full Membership</w:t>
      </w:r>
    </w:p>
    <w:p>
      <w:r>
        <w:t>After successful completion of probation, the system automatically changes the member to Full Membership. The member becomes eligible for benefits and services subject to the Welfare Constitution and Regulations.</w:t>
      </w:r>
    </w:p>
    <w:p>
      <w:pPr>
        <w:pStyle w:val="Heading1"/>
      </w:pPr>
      <w:r>
        <w:t>2. Age Eligibility and Probation Policy</w:t>
      </w:r>
    </w:p>
    <w:p>
      <w:r>
        <w:t>Age is calculated from the applicant’s date of birth as at the membership activation date, after payment verification.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Age at Activation</w:t>
            </w:r>
          </w:p>
        </w:tc>
        <w:tc>
          <w:tcPr>
            <w:tcW w:type="dxa" w:w="3312"/>
            <w:vAlign w:val="center"/>
            <w:shd w:fill="D9EAF7"/>
          </w:tcPr>
          <w:p>
            <w:pPr>
              <w:spacing w:after="0"/>
            </w:pPr>
            <w:r/>
            <w:r>
              <w:rPr>
                <w:b/>
              </w:rPr>
              <w:t>Admission Decision</w:t>
            </w:r>
          </w:p>
        </w:tc>
        <w:tc>
          <w:tcPr>
            <w:tcW w:type="dxa" w:w="3312"/>
            <w:vAlign w:val="center"/>
            <w:shd w:fill="D9EAF7"/>
          </w:tcPr>
          <w:p>
            <w:pPr>
              <w:spacing w:after="0"/>
            </w:pPr>
            <w:r/>
            <w:r>
              <w:rPr>
                <w:b/>
              </w:rPr>
              <w:t>Probation Period</w:t>
            </w:r>
          </w:p>
        </w:tc>
      </w:tr>
      <w:tr>
        <w:tc>
          <w:tcPr>
            <w:tcW w:type="dxa" w:w="3312"/>
            <w:vAlign w:val="center"/>
          </w:tcPr>
          <w:p>
            <w:pPr>
              <w:spacing w:after="0"/>
            </w:pPr>
            <w:r/>
            <w:r>
              <w:rPr>
                <w:b w:val="0"/>
              </w:rPr>
              <w:t>Up to 50 years</w:t>
            </w:r>
          </w:p>
        </w:tc>
        <w:tc>
          <w:tcPr>
            <w:tcW w:type="dxa" w:w="3312"/>
            <w:vAlign w:val="center"/>
          </w:tcPr>
          <w:p>
            <w:pPr>
              <w:spacing w:after="0"/>
            </w:pPr>
            <w:r/>
            <w:r>
              <w:rPr>
                <w:b w:val="0"/>
              </w:rPr>
              <w:t>Eligible</w:t>
            </w:r>
          </w:p>
        </w:tc>
        <w:tc>
          <w:tcPr>
            <w:tcW w:type="dxa" w:w="3312"/>
            <w:vAlign w:val="center"/>
          </w:tcPr>
          <w:p>
            <w:pPr>
              <w:spacing w:after="0"/>
            </w:pPr>
            <w:r/>
            <w:r>
              <w:rPr>
                <w:b w:val="0"/>
              </w:rPr>
              <w:t>3 months</w:t>
            </w:r>
          </w:p>
        </w:tc>
      </w:tr>
      <w:tr>
        <w:tc>
          <w:tcPr>
            <w:tcW w:type="dxa" w:w="3312"/>
            <w:vAlign w:val="center"/>
          </w:tcPr>
          <w:p>
            <w:pPr>
              <w:spacing w:after="0"/>
            </w:pPr>
            <w:r/>
            <w:r>
              <w:rPr>
                <w:b w:val="0"/>
              </w:rPr>
              <w:t>51–75 years</w:t>
            </w:r>
          </w:p>
        </w:tc>
        <w:tc>
          <w:tcPr>
            <w:tcW w:type="dxa" w:w="3312"/>
            <w:vAlign w:val="center"/>
          </w:tcPr>
          <w:p>
            <w:pPr>
              <w:spacing w:after="0"/>
            </w:pPr>
            <w:r/>
            <w:r>
              <w:rPr>
                <w:b w:val="0"/>
              </w:rPr>
              <w:t>Eligible</w:t>
            </w:r>
          </w:p>
        </w:tc>
        <w:tc>
          <w:tcPr>
            <w:tcW w:type="dxa" w:w="3312"/>
            <w:vAlign w:val="center"/>
          </w:tcPr>
          <w:p>
            <w:pPr>
              <w:spacing w:after="0"/>
            </w:pPr>
            <w:r/>
            <w:r>
              <w:rPr>
                <w:b w:val="0"/>
              </w:rPr>
              <w:t>6 months</w:t>
            </w:r>
          </w:p>
        </w:tc>
      </w:tr>
      <w:tr>
        <w:tc>
          <w:tcPr>
            <w:tcW w:type="dxa" w:w="3312"/>
            <w:vAlign w:val="center"/>
          </w:tcPr>
          <w:p>
            <w:pPr>
              <w:spacing w:after="0"/>
            </w:pPr>
            <w:r/>
            <w:r>
              <w:rPr>
                <w:b w:val="0"/>
              </w:rPr>
              <w:t>Above 75 years</w:t>
            </w:r>
          </w:p>
        </w:tc>
        <w:tc>
          <w:tcPr>
            <w:tcW w:type="dxa" w:w="3312"/>
            <w:vAlign w:val="center"/>
          </w:tcPr>
          <w:p>
            <w:pPr>
              <w:spacing w:after="0"/>
            </w:pPr>
            <w:r/>
            <w:r>
              <w:rPr>
                <w:b w:val="0"/>
              </w:rPr>
              <w:t>Not eligible for admission</w:t>
            </w:r>
          </w:p>
        </w:tc>
        <w:tc>
          <w:tcPr>
            <w:tcW w:type="dxa" w:w="3312"/>
            <w:vAlign w:val="center"/>
          </w:tcPr>
          <w:p>
            <w:pPr>
              <w:spacing w:after="0"/>
            </w:pPr>
            <w:r/>
            <w:r>
              <w:rPr>
                <w:b w:val="0"/>
              </w:rPr>
              <w:t>Not applicable</w:t>
            </w:r>
          </w:p>
        </w:tc>
      </w:tr>
    </w:tbl>
    <w:p>
      <w:r>
        <w:t>Applicants above 75 years must not be admitted under this policy. The Committee may reject an application for any other constitutional or verification reason.</w:t>
      </w:r>
    </w:p>
    <w:p>
      <w:pPr>
        <w:pStyle w:val="Heading1"/>
      </w:pPr>
      <w:r>
        <w:t>3. Online Self-Registration and Application Form</w:t>
      </w:r>
    </w:p>
    <w:p>
      <w:pPr>
        <w:pStyle w:val="Heading2"/>
      </w:pPr>
      <w:r>
        <w:t>A. Personal Information</w:t>
      </w:r>
    </w:p>
    <w:p>
      <w:pPr>
        <w:pStyle w:val="ListBullet"/>
      </w:pPr>
      <w:r>
        <w:t>1. Full Name (as it appears on National ID)</w:t>
      </w:r>
    </w:p>
    <w:p>
      <w:pPr>
        <w:pStyle w:val="ListBullet"/>
      </w:pPr>
      <w:r>
        <w:t>2. National ID Number</w:t>
      </w:r>
    </w:p>
    <w:p>
      <w:pPr>
        <w:pStyle w:val="ListBullet"/>
      </w:pPr>
      <w:r>
        <w:t>3. Date of Birth</w:t>
      </w:r>
    </w:p>
    <w:p>
      <w:pPr>
        <w:pStyle w:val="ListBullet"/>
      </w:pPr>
      <w:r>
        <w:t>4. Gender</w:t>
      </w:r>
    </w:p>
    <w:p>
      <w:pPr>
        <w:pStyle w:val="ListBullet"/>
      </w:pPr>
      <w:r>
        <w:t>5. Phone Number (Safaricom)</w:t>
      </w:r>
    </w:p>
    <w:p>
      <w:pPr>
        <w:pStyle w:val="ListBullet"/>
      </w:pPr>
      <w:r>
        <w:t>6. Alternative Phone Number</w:t>
      </w:r>
    </w:p>
    <w:p>
      <w:pPr>
        <w:pStyle w:val="ListBullet"/>
      </w:pPr>
      <w:r>
        <w:t>7. Email Address (Optional)</w:t>
      </w:r>
    </w:p>
    <w:p>
      <w:pPr>
        <w:pStyle w:val="Heading2"/>
      </w:pPr>
      <w:r>
        <w:t>B. Residence Information</w:t>
      </w:r>
    </w:p>
    <w:p>
      <w:pPr>
        <w:pStyle w:val="ListBullet"/>
      </w:pPr>
      <w:r>
        <w:t>8. Are you a resident of Malanga? (Yes / No)</w:t>
      </w:r>
    </w:p>
    <w:p>
      <w:pPr>
        <w:pStyle w:val="ListBullet"/>
      </w:pPr>
      <w:r>
        <w:t>9. If Yes, select your village:</w:t>
      </w:r>
    </w:p>
    <w:p>
      <w:pPr>
        <w:pStyle w:val="ListBullet"/>
      </w:pPr>
      <w:r>
        <w:t xml:space="preserve">   1. Malanga – Kabiranduni</w:t>
      </w:r>
    </w:p>
    <w:p>
      <w:pPr>
        <w:pStyle w:val="ListBullet"/>
      </w:pPr>
      <w:r>
        <w:t xml:space="preserve">   2. Malanga – Chembe</w:t>
      </w:r>
    </w:p>
    <w:p>
      <w:pPr>
        <w:pStyle w:val="ListBullet"/>
      </w:pPr>
      <w:r>
        <w:t xml:space="preserve">   3. Malanga – Kibaoni</w:t>
      </w:r>
    </w:p>
    <w:p>
      <w:pPr>
        <w:pStyle w:val="ListBullet"/>
      </w:pPr>
      <w:r>
        <w:t xml:space="preserve">   4. Malanga – Ziani</w:t>
      </w:r>
    </w:p>
    <w:p>
      <w:pPr>
        <w:pStyle w:val="ListBullet"/>
      </w:pPr>
      <w:r>
        <w:t xml:space="preserve">   5. Malanga – Soyosoyo</w:t>
      </w:r>
    </w:p>
    <w:p>
      <w:pPr>
        <w:pStyle w:val="ListBullet"/>
      </w:pPr>
      <w:r>
        <w:t xml:space="preserve">   6. Malanga – Muthoroni</w:t>
      </w:r>
    </w:p>
    <w:p>
      <w:pPr>
        <w:pStyle w:val="ListBullet"/>
      </w:pPr>
      <w:r>
        <w:t xml:space="preserve">   7. Malanga – Yembe</w:t>
      </w:r>
    </w:p>
    <w:p>
      <w:pPr>
        <w:pStyle w:val="ListBullet"/>
      </w:pPr>
      <w:r>
        <w:t xml:space="preserve">   8. Malanga – Majengo</w:t>
      </w:r>
    </w:p>
    <w:p>
      <w:pPr>
        <w:pStyle w:val="ListBullet"/>
      </w:pPr>
      <w:r>
        <w:t xml:space="preserve">   9. Malanga – Ngamani</w:t>
      </w:r>
    </w:p>
    <w:p>
      <w:pPr>
        <w:pStyle w:val="ListBullet"/>
      </w:pPr>
      <w:r>
        <w:t xml:space="preserve">   10. Malanga – Kadzitosoni</w:t>
      </w:r>
    </w:p>
    <w:p>
      <w:pPr>
        <w:pStyle w:val="ListBullet"/>
      </w:pPr>
      <w:r>
        <w:t xml:space="preserve">   11. Malanga – Kisimani</w:t>
      </w:r>
    </w:p>
    <w:p>
      <w:pPr>
        <w:pStyle w:val="ListBullet"/>
      </w:pPr>
      <w:r>
        <w:t xml:space="preserve">   12. Malanga – Bahati</w:t>
      </w:r>
    </w:p>
    <w:p>
      <w:pPr>
        <w:pStyle w:val="ListBullet"/>
      </w:pPr>
      <w:r>
        <w:t xml:space="preserve">   13. Malanga – Muungano</w:t>
      </w:r>
    </w:p>
    <w:p>
      <w:pPr>
        <w:pStyle w:val="ListBullet"/>
      </w:pPr>
      <w:r>
        <w:t xml:space="preserve">   14. Malanga – Malanga</w:t>
      </w:r>
    </w:p>
    <w:p>
      <w:pPr>
        <w:pStyle w:val="ListBullet"/>
      </w:pPr>
      <w:r>
        <w:t>10. If No, indicate your current residence/location (example: Malindi – Shella)</w:t>
      </w:r>
    </w:p>
    <w:p>
      <w:pPr>
        <w:pStyle w:val="Heading2"/>
      </w:pPr>
      <w:r>
        <w:t>C. Dependants Information</w:t>
      </w:r>
    </w:p>
    <w:p>
      <w:pPr>
        <w:pStyle w:val="ListBullet"/>
      </w:pPr>
      <w:r>
        <w:t>11. Do you have dependants? (Yes / No)</w:t>
      </w:r>
    </w:p>
    <w:p>
      <w:pPr>
        <w:pStyle w:val="ListBullet"/>
      </w:pPr>
      <w:r>
        <w:t>12. Dependant Details — repeatable for each dependant:</w:t>
      </w:r>
    </w:p>
    <w:p>
      <w:pPr>
        <w:pStyle w:val="ListBullet"/>
      </w:pPr>
      <w:r>
        <w:t xml:space="preserve">   • Full Name</w:t>
      </w:r>
    </w:p>
    <w:p>
      <w:pPr>
        <w:pStyle w:val="ListBullet"/>
      </w:pPr>
      <w:r>
        <w:t xml:space="preserve">   • Relationship to Applicant (Spouse, Child, Parent, Sibling, Other)</w:t>
      </w:r>
    </w:p>
    <w:p>
      <w:pPr>
        <w:pStyle w:val="ListBullet"/>
      </w:pPr>
      <w:r>
        <w:t xml:space="preserve">   • Date of Birth (Optional)</w:t>
      </w:r>
    </w:p>
    <w:p>
      <w:pPr>
        <w:pStyle w:val="Heading2"/>
      </w:pPr>
      <w:r>
        <w:t>D. Next of Kin Information</w:t>
      </w:r>
    </w:p>
    <w:p>
      <w:pPr>
        <w:pStyle w:val="ListBullet"/>
      </w:pPr>
      <w:r>
        <w:t>13. Next of Kin Full Name</w:t>
      </w:r>
    </w:p>
    <w:p>
      <w:pPr>
        <w:pStyle w:val="ListBullet"/>
      </w:pPr>
      <w:r>
        <w:t>14. Relationship to Applicant</w:t>
      </w:r>
    </w:p>
    <w:p>
      <w:pPr>
        <w:pStyle w:val="ListBullet"/>
      </w:pPr>
      <w:r>
        <w:t>15. Next of Kin Phone Number</w:t>
      </w:r>
    </w:p>
    <w:p>
      <w:pPr>
        <w:pStyle w:val="Heading2"/>
      </w:pPr>
      <w:r>
        <w:t>E. Supporting Documents</w:t>
      </w:r>
    </w:p>
    <w:p>
      <w:pPr>
        <w:pStyle w:val="ListBullet"/>
      </w:pPr>
      <w:r>
        <w:t>16. Passport-size Photo Upload (Optional)</w:t>
      </w:r>
    </w:p>
    <w:p>
      <w:pPr>
        <w:pStyle w:val="Heading2"/>
      </w:pPr>
      <w:r>
        <w:t>F. Declaration and Confirmation</w:t>
      </w:r>
    </w:p>
    <w:p>
      <w:pPr>
        <w:pStyle w:val="ListBullet"/>
      </w:pPr>
      <w:r>
        <w:t>17. Declaration: I declare that the information provided in this application is true and accurate to the best of my knowledge.</w:t>
      </w:r>
    </w:p>
    <w:p>
      <w:pPr>
        <w:pStyle w:val="ListBullet"/>
      </w:pPr>
      <w:r>
        <w:t>18. Applicant Confirmation: Checkbox — I agree to the declaration above.</w:t>
      </w:r>
    </w:p>
    <w:p>
      <w:pPr>
        <w:pStyle w:val="ListBullet"/>
      </w:pPr>
      <w:r>
        <w:t>19. Date of Application: Automatically captured by the system.</w:t>
      </w:r>
    </w:p>
    <w:p>
      <w:pPr>
        <w:pStyle w:val="Heading1"/>
      </w:pPr>
      <w:r>
        <w:t>4. Data Summary to Be Stored</w:t>
      </w:r>
    </w:p>
    <w:p>
      <w:pPr>
        <w:pStyle w:val="ListBullet"/>
      </w:pPr>
      <w:r>
        <w:t>Full Name</w:t>
      </w:r>
    </w:p>
    <w:p>
      <w:pPr>
        <w:pStyle w:val="ListBullet"/>
      </w:pPr>
      <w:r>
        <w:t>National ID Number</w:t>
      </w:r>
    </w:p>
    <w:p>
      <w:pPr>
        <w:pStyle w:val="ListBullet"/>
      </w:pPr>
      <w:r>
        <w:t>Date of Birth</w:t>
      </w:r>
    </w:p>
    <w:p>
      <w:pPr>
        <w:pStyle w:val="ListBullet"/>
      </w:pPr>
      <w:r>
        <w:t>Gender</w:t>
      </w:r>
    </w:p>
    <w:p>
      <w:pPr>
        <w:pStyle w:val="ListBullet"/>
      </w:pPr>
      <w:r>
        <w:t>Phone Number</w:t>
      </w:r>
    </w:p>
    <w:p>
      <w:pPr>
        <w:pStyle w:val="ListBullet"/>
      </w:pPr>
      <w:r>
        <w:t>Alternative Phone Number</w:t>
      </w:r>
    </w:p>
    <w:p>
      <w:pPr>
        <w:pStyle w:val="ListBullet"/>
      </w:pPr>
      <w:r>
        <w:t>Email Address (optional)</w:t>
      </w:r>
    </w:p>
    <w:p>
      <w:pPr>
        <w:pStyle w:val="ListBullet"/>
      </w:pPr>
      <w:r>
        <w:t>Residence Status: Malanga Resident / Non-Resident</w:t>
      </w:r>
    </w:p>
    <w:p>
      <w:pPr>
        <w:pStyle w:val="ListBullet"/>
      </w:pPr>
      <w:r>
        <w:t>Village or Current Location</w:t>
      </w:r>
    </w:p>
    <w:p>
      <w:pPr>
        <w:pStyle w:val="ListBullet"/>
      </w:pPr>
      <w:r>
        <w:t>Dependants’ names, relationships, and optional dates of birth</w:t>
      </w:r>
    </w:p>
    <w:p>
      <w:pPr>
        <w:pStyle w:val="ListBullet"/>
      </w:pPr>
      <w:r>
        <w:t>Next of Kin details</w:t>
      </w:r>
    </w:p>
    <w:p>
      <w:pPr>
        <w:pStyle w:val="ListBullet"/>
      </w:pPr>
      <w:r>
        <w:t>Passport Photo (optional)</w:t>
      </w:r>
    </w:p>
    <w:p>
      <w:pPr>
        <w:pStyle w:val="ListBullet"/>
      </w:pPr>
      <w:r>
        <w:t>Application Date</w:t>
      </w:r>
    </w:p>
    <w:p>
      <w:pPr>
        <w:pStyle w:val="ListBullet"/>
      </w:pPr>
      <w:r>
        <w:t>Declaration Acceptance Status</w:t>
      </w:r>
    </w:p>
    <w:p>
      <w:pPr>
        <w:pStyle w:val="ListBullet"/>
      </w:pPr>
      <w:r>
        <w:t>Application status and Committee decision</w:t>
      </w:r>
    </w:p>
    <w:p>
      <w:pPr>
        <w:pStyle w:val="ListBullet"/>
      </w:pPr>
      <w:r>
        <w:t>Payment reference, payment status, and payment date</w:t>
      </w:r>
    </w:p>
    <w:p>
      <w:pPr>
        <w:pStyle w:val="ListBullet"/>
      </w:pPr>
      <w:r>
        <w:t>Membership Number, activation date, probation end date, and membership status</w:t>
      </w:r>
    </w:p>
    <w:p>
      <w:pPr>
        <w:pStyle w:val="Heading1"/>
      </w:pPr>
      <w:r>
        <w:t>5. Required Notifications</w:t>
      </w:r>
    </w:p>
    <w:p>
      <w:pPr>
        <w:pStyle w:val="ListBullet"/>
      </w:pPr>
      <w:r>
        <w:t>Application received and awaiting review</w:t>
      </w:r>
    </w:p>
    <w:p>
      <w:pPr>
        <w:pStyle w:val="ListBullet"/>
      </w:pPr>
      <w:r>
        <w:t>Application approved and registration fee payment requested</w:t>
      </w:r>
    </w:p>
    <w:p>
      <w:pPr>
        <w:pStyle w:val="ListBullet"/>
      </w:pPr>
      <w:r>
        <w:t>Application rejected, including a recorded reason where appropriate</w:t>
      </w:r>
    </w:p>
    <w:p>
      <w:pPr>
        <w:pStyle w:val="ListBullet"/>
      </w:pPr>
      <w:r>
        <w:t>Payment received and under verification</w:t>
      </w:r>
    </w:p>
    <w:p>
      <w:pPr>
        <w:pStyle w:val="ListBullet"/>
      </w:pPr>
      <w:r>
        <w:t>Membership activated with Membership Number and probation end date</w:t>
      </w:r>
    </w:p>
    <w:p>
      <w:pPr>
        <w:pStyle w:val="ListBullet"/>
      </w:pPr>
      <w:r>
        <w:t>Probation completed and Full Membership attained</w:t>
      </w:r>
    </w:p>
    <w:p>
      <w:pPr>
        <w:pStyle w:val="Heading1"/>
      </w:pPr>
      <w:r>
        <w:t>6. Administrative Controls</w:t>
      </w:r>
    </w:p>
    <w:p>
      <w:pPr>
        <w:pStyle w:val="ListBullet"/>
      </w:pPr>
      <w:r>
        <w:t>Only authorised Welfare Committee users may approve or reject applications.</w:t>
      </w:r>
    </w:p>
    <w:p>
      <w:pPr>
        <w:pStyle w:val="ListBullet"/>
      </w:pPr>
      <w:r>
        <w:t>All decisions and status changes must be recorded with the responsible user and timestamp.</w:t>
      </w:r>
    </w:p>
    <w:p>
      <w:pPr>
        <w:pStyle w:val="ListBullet"/>
      </w:pPr>
      <w:r>
        <w:t>Payment confirmation must be based on a trusted payment notification or reconciliation process.</w:t>
      </w:r>
    </w:p>
    <w:p>
      <w:pPr>
        <w:pStyle w:val="ListBullet"/>
      </w:pPr>
      <w:r>
        <w:t>The system must prevent duplicate National ID numbers and duplicate active phone numbers unless authorised.</w:t>
      </w:r>
    </w:p>
    <w:p>
      <w:pPr>
        <w:pStyle w:val="ListBullet"/>
      </w:pPr>
      <w:r>
        <w:t>Personal information and uploaded photos must be protected through role-based access and secure storage.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