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智能能力网络的能力协作与信任机制</w:t>
      </w:r>
    </w:p>
    <w:p>
      <w:pPr>
        <w:pStyle w:val="Subtitle"/>
      </w:pPr>
      <w:r>
        <w:rPr>
          <w:b w:val="0"/>
        </w:rPr>
        <w:t>授权衰减 契约组合与结果证据的形式化研究</w:t>
      </w:r>
    </w:p>
    <w:p>
      <w:hyperlink r:id="rId10">
        <w:r>
          <w:rPr>
            <w:color w:val="245A81"/>
          </w:rPr>
          <w:t>English</w:t>
        </w:r>
      </w:hyperlink>
      <w:r>
        <w:rPr>
          <w:b w:val="0"/>
        </w:rPr>
        <w:t xml:space="preserve"> · </w:t>
      </w:r>
      <w:hyperlink r:id="rId11">
        <w:r>
          <w:rPr>
            <w:color w:val="245A81"/>
          </w:rPr>
          <w:t>中文入口</w:t>
        </w:r>
      </w:hyperlink>
    </w:p>
    <w:p>
      <w:pPr>
        <w:pStyle w:val="Heading1"/>
      </w:pPr>
      <w:r>
        <w:rPr>
          <w:b w:val="0"/>
        </w:rPr>
        <w:t>摘要</w:t>
      </w:r>
    </w:p>
    <w:p>
      <w:r>
        <w:rPr>
          <w:b w:val="0"/>
        </w:rPr>
        <w:t>能力可以被发现，不代表调用者有权使用；动作被接受，不代表目标已经实现。智能能力网络的协作问题因此需要同时处理行为契约、授权范围、时效和结果证据。本文提出按证明义务组织协作过程：每项候选能力承担兼容性、执行许可、状态有效性和目标实现等不同义务，结果声明仅覆盖已经得到支持的部分。</w:t>
      </w:r>
    </w:p>
    <w:p>
      <w:r>
        <w:rPr>
          <w:b w:val="0"/>
        </w:rPr>
        <w:t>本文给出授权沿委托路径衰减的集合模型，证明复合任务所需权限应按动作需求合并、再逐项受到上级授权约束；建立关系契约的顺序组合与并发非干扰条件；推导撤销传播、凭据寿命和已接受动作延迟共同决定的陈旧授权窗口；并用不可区分执行说明分区期间即时撤销与完全授权可用性的冲突。对于结果验证，本文区分观察真实性与目标真实性，给出验证器相关时的保守误判界，以及证据失效对依赖结论的传播规则。</w:t>
      </w:r>
    </w:p>
    <w:p>
      <w:r>
        <w:rPr>
          <w:b w:val="0"/>
        </w:rPr>
        <w:t>本文的研究设想是让能力协作携带尚未完成的证明义务，并把发现覆盖证据与执行结果证据连接起来。契约逻辑、最小权限、授权衰减与概率推理已有成熟基础；本文不把这些基础方法改名为新定理，也不把框架的合理性当作经过实验验证的效果。</w:t>
      </w:r>
    </w:p>
    <w:p>
      <w:r>
        <w:rPr>
          <w:b/>
        </w:rPr>
        <w:t>关键词</w:t>
      </w:r>
      <w:r>
        <w:rPr>
          <w:b w:val="0"/>
        </w:rPr>
        <w:t>：智能能力网络；能力契约；授权衰减；协作正确性；撤销时效；结果证据</w:t>
      </w:r>
    </w:p>
    <w:p>
      <w:pPr>
        <w:pStyle w:val="Heading1"/>
      </w:pPr>
      <w:r>
        <w:rPr>
          <w:b w:val="0"/>
        </w:rPr>
        <w:t>1 从能力发现到可负责的协作</w:t>
      </w:r>
    </w:p>
    <w:p>
      <w:r>
        <w:rPr>
          <w:b w:val="0"/>
        </w:rPr>
        <w:t>本文的 ICN 指 Intelligent Capability Network，即智能能力网络。能力是主体在指定条件下可以完成某类状态转换的契约，而不是一句功能描述或一个端点地址。网络可以包含软件服务、模型、传感设备和能够改变物理环境的执行者；一个管理域对其对外声明及授权边界负责。</w:t>
      </w:r>
    </w:p>
    <w:p>
      <w:r>
        <w:rPr>
          <w:b w:val="0"/>
        </w:rPr>
        <w:t>协作包含发起者、能力拥有者、发现者、执行者和结果验证者等角色。同一个实体可以承担多个角色，但角色合并不能消除其证明义务。例如，发现者找到“测量温度”的服务，并不因此成为温度测量的可信来源；代理能代表用户查找服务，也不因此能代表用户开启设备。</w:t>
      </w:r>
    </w:p>
    <w:p>
      <w:r>
        <w:rPr>
          <w:b w:val="0"/>
        </w:rPr>
        <w:t>配套论文</w:t>
      </w:r>
      <w:hyperlink r:id="rId12">
        <w:r>
          <w:rPr>
            <w:color w:val="245A81"/>
          </w:rPr>
          <w:t>《策略约束下的递归能力发现》</w:t>
        </w:r>
      </w:hyperlink>
      <w:r>
        <w:rPr>
          <w:b w:val="0"/>
        </w:rPr>
        <w:t>研究候选声明集合的覆盖、预算与一致性。本文从候选已被返回开始，考察“可以替换什么能力”“谁允许什么动作”“何时许可仍有效”和“什么证据支持目标已实现”。两篇论文共同采用显式参考范围，避免把局部结论扩展为全系统保证。</w:t>
      </w:r>
    </w:p>
    <w:p>
      <w:r>
        <w:rPr>
          <w:b w:val="0"/>
        </w:rPr>
        <w:t>MCP 和 A2A 的官方规范为工具与智能体交互提供接口语义 [1–2]；它们的存在不自动证明任何业务目标得到实现。NIST 零信任架构提供按资源和请求评估访问的背景 [3]。行为子类型、Hoare 逻辑和带约束的委托凭据分别为契约、组合和权限衰减提供既有理论基础 [4–6]。本文的增量研究对象是这些条件如何在同一个跨域任务中保持一致，以及证据不足时应怎样限定结果声明。</w:t>
      </w:r>
    </w:p>
    <w:p>
      <w:pPr>
        <w:pStyle w:val="Heading1"/>
      </w:pPr>
      <w:r>
        <w:rPr>
          <w:b w:val="0"/>
        </w:rPr>
        <w:t>2 能力模型与证明义务</w:t>
      </w:r>
    </w:p>
    <w:p>
      <w:pPr>
        <w:pStyle w:val="Heading2"/>
      </w:pPr>
      <w:r>
        <w:rPr>
          <w:b w:val="0"/>
        </w:rPr>
        <w:t>2.1 状态关系与动作权限</w:t>
      </w:r>
    </w:p>
    <w:p>
      <w:pPr>
        <w:keepNext/>
      </w:pPr>
      <w:r>
        <w:rPr>
          <w:b w:val="0"/>
        </w:rPr>
        <w:t xml:space="preserve">令 </w:t>
      </w:r>
      <m:oMath>
        <m:r>
          <m:t>S</m:t>
        </m:r>
      </m:oMath>
      <w:r>
        <w:rPr>
          <w:b w:val="0"/>
        </w:rPr>
        <w:t xml:space="preserve"> 为相关世界状态集合，</w:t>
      </w:r>
      <m:oMath>
        <m:r>
          <m:rPr>
            <m:scr m:val="script"/>
          </m:rPr>
          <m:t>A</m:t>
        </m:r>
      </m:oMath>
      <w:r>
        <w:rPr>
          <w:b w:val="0"/>
        </w:rPr>
        <w:t xml:space="preserve"> 为带有资源、主体、动作、目的和时间上下文的具体动作集合。能力 </w:t>
      </w:r>
      <m:oMath>
        <m:r>
          <m:t>c</m:t>
        </m:r>
      </m:oMath>
      <w:r>
        <w:rPr>
          <w:b w:val="0"/>
        </w:rPr>
        <w:t xml:space="preserve"> 的行为规格为</w:t>
      </w:r>
    </w:p>
    <w:p>
      <w:pPr>
        <w:keepNext/>
        <w:spacing w:before="100" w:after="140"/>
        <w:jc w:val="center"/>
      </w:pPr>
      <m:oMathPara>
        <m:oMath>
          <m:sSub>
            <m:e>
              <m:r>
                <m:t>K</m:t>
              </m:r>
            </m:e>
            <m:sub>
              <m:r>
                <m:t>c</m:t>
              </m:r>
            </m:sub>
          </m:sSub>
          <m:r>
            <m:t>=(</m:t>
          </m:r>
          <m:sSub>
            <m:e>
              <m:r>
                <m:t>P</m:t>
              </m:r>
            </m:e>
            <m:sub>
              <m:r>
                <m:t>c</m:t>
              </m:r>
            </m:sub>
          </m:sSub>
          <m:r>
            <m:t>,</m:t>
          </m:r>
          <m:sSub>
            <m:e>
              <m:r>
                <m:t>R</m:t>
              </m:r>
            </m:e>
            <m:sub>
              <m:r>
                <m:t>c</m:t>
              </m:r>
            </m:sub>
          </m:sSub>
          <m:r>
            <m:t>,</m:t>
          </m:r>
          <m:sSub>
            <m:e>
              <m:r>
                <m:t>Q</m:t>
              </m:r>
            </m:e>
            <m:sub>
              <m:r>
                <m:t>c</m:t>
              </m:r>
            </m:sub>
          </m:sSub>
          <m:r>
            <m:t>,</m:t>
          </m:r>
          <m:sSub>
            <m:e>
              <m:r>
                <m:t>E</m:t>
              </m:r>
            </m:e>
            <m:sub>
              <m:r>
                <m:t>c</m:t>
              </m:r>
            </m:sub>
          </m:sSub>
          <m:r>
            <m:t>),</m:t>
          </m:r>
          <m:sSub>
            <m:e>
              <m:r>
                <m:t>R</m:t>
              </m:r>
            </m:e>
            <m:sub>
              <m:r>
                <m:t>c</m:t>
              </m:r>
            </m:sub>
          </m:sSub>
          <m:r>
            <m:t>⊆S×S.</m:t>
          </m:r>
        </m:oMath>
      </m:oMathPara>
      <w:r>
        <w:t xml:space="preserve">   (C1)</w:t>
      </w:r>
    </w:p>
    <w:p>
      <w:pPr>
        <w:keepNext/>
      </w:pPr>
      <m:oMath>
        <m:sSub>
          <m:e>
            <m:r>
              <m:t>P</m:t>
            </m:r>
          </m:e>
          <m:sub>
            <m:r>
              <m:t>c</m:t>
            </m:r>
          </m:sub>
        </m:sSub>
      </m:oMath>
      <w:r>
        <w:rPr>
          <w:b w:val="0"/>
        </w:rPr>
        <w:t xml:space="preserve"> 是前置状态集合，</w:t>
      </w:r>
      <m:oMath>
        <m:sSub>
          <m:e>
            <m:r>
              <m:t>R</m:t>
            </m:r>
          </m:e>
          <m:sub>
            <m:r>
              <m:t>c</m:t>
            </m:r>
          </m:sub>
        </m:sSub>
      </m:oMath>
      <w:r>
        <w:rPr>
          <w:b w:val="0"/>
        </w:rPr>
        <w:t xml:space="preserve"> 描述允许的状态转换，</w:t>
      </w:r>
      <m:oMath>
        <m:sSub>
          <m:e>
            <m:r>
              <m:t>Q</m:t>
            </m:r>
          </m:e>
          <m:sub>
            <m:r>
              <m:t>c</m:t>
            </m:r>
          </m:sub>
        </m:sSub>
      </m:oMath>
      <w:r>
        <w:rPr>
          <w:b w:val="0"/>
        </w:rPr>
        <w:t xml:space="preserve"> 是后置状态集合，</w:t>
      </w:r>
      <m:oMath>
        <m:sSub>
          <m:e>
            <m:r>
              <m:t>E</m:t>
            </m:r>
          </m:e>
          <m:sub>
            <m:r>
              <m:t>c</m:t>
            </m:r>
          </m:sub>
        </m:sSub>
        <m:r>
          <m:t>⊆</m:t>
        </m:r>
        <m:r>
          <m:rPr>
            <m:scr m:val="script"/>
          </m:rPr>
          <m:t>A</m:t>
        </m:r>
      </m:oMath>
      <w:r>
        <w:rPr>
          <w:b w:val="0"/>
        </w:rPr>
        <w:t xml:space="preserve"> 为允许的动作或副作用。输入、输出和环境观测可以并入状态；这样不会用一个输出字段掩盖未声明的物理作用。对前置条件内所有实际发生的转换，部分正确性要求</w:t>
      </w:r>
    </w:p>
    <w:p>
      <w:pPr>
        <w:keepNext/>
        <w:spacing w:before="100" w:after="140"/>
        <w:jc w:val="center"/>
      </w:pPr>
      <m:oMathPara>
        <m:oMath>
          <m:sSub>
            <m:e>
              <m:r>
                <m:t>R</m:t>
              </m:r>
            </m:e>
            <m:sub>
              <m:r>
                <m:t>c</m:t>
              </m:r>
            </m:sub>
          </m:sSub>
          <m:r>
            <m:t>(</m:t>
          </m:r>
          <m:sSub>
            <m:e>
              <m:r>
                <m:t>P</m:t>
              </m:r>
            </m:e>
            <m:sub>
              <m:r>
                <m:t>c</m:t>
              </m:r>
            </m:sub>
          </m:sSub>
          <m:r>
            <m:t>)⊆</m:t>
          </m:r>
          <m:sSub>
            <m:e>
              <m:r>
                <m:t>Q</m:t>
              </m:r>
            </m:e>
            <m:sub>
              <m:r>
                <m:t>c</m:t>
              </m:r>
            </m:sub>
          </m:sSub>
          <m:r>
            <m:t>,</m:t>
          </m:r>
          <m:r>
            <m:rPr>
              <m:sty m:val="p"/>
            </m:rPr>
            <m:t>Effects</m:t>
          </m:r>
          <m:r>
            <m:t>(c)⊆</m:t>
          </m:r>
          <m:sSub>
            <m:e>
              <m:r>
                <m:t>E</m:t>
              </m:r>
            </m:e>
            <m:sub>
              <m:r>
                <m:t>c</m:t>
              </m:r>
            </m:sub>
          </m:sSub>
          <m:r>
            <m:t>.</m:t>
          </m:r>
        </m:oMath>
      </m:oMathPara>
      <w:r>
        <w:t xml:space="preserve">   (C2)</w:t>
      </w:r>
    </w:p>
    <w:p>
      <m:oMath>
        <m:sSub>
          <m:e>
            <m:r>
              <m:t>R</m:t>
            </m:r>
          </m:e>
          <m:sub>
            <m:r>
              <m:t>c</m:t>
            </m:r>
          </m:sub>
        </m:sSub>
        <m:r>
          <m:t>(</m:t>
        </m:r>
        <m:sSub>
          <m:e>
            <m:r>
              <m:t>P</m:t>
            </m:r>
          </m:e>
          <m:sub>
            <m:r>
              <m:t>c</m:t>
            </m:r>
          </m:sub>
        </m:sSub>
        <m:r>
          <m:t>)</m:t>
        </m:r>
      </m:oMath>
      <w:r>
        <w:rPr>
          <w:b w:val="0"/>
        </w:rPr>
        <w:t xml:space="preserve"> 表示从 </w:t>
      </w:r>
      <m:oMath>
        <m:sSub>
          <m:e>
            <m:r>
              <m:t>P</m:t>
            </m:r>
          </m:e>
          <m:sub>
            <m:r>
              <m:t>c</m:t>
            </m:r>
          </m:sub>
        </m:sSub>
      </m:oMath>
      <w:r>
        <w:rPr>
          <w:b w:val="0"/>
        </w:rPr>
        <w:t xml:space="preserve"> 中状态可到达的后继集合。C2 不证明执行终止或截止时间；可能永不完成的能力也可满足部分正确性。若任务要求终止，需另加全正确性或有界完成的证明义务。</w:t>
      </w:r>
    </w:p>
    <w:p>
      <w:pPr>
        <w:pStyle w:val="Heading2"/>
      </w:pPr>
      <w:r>
        <w:rPr>
          <w:b w:val="0"/>
        </w:rPr>
        <w:t>2.2 四种义务而非一个信任分数</w:t>
      </w:r>
    </w:p>
    <w:p>
      <w:r>
        <w:rPr>
          <w:b w:val="0"/>
        </w:rPr>
        <w:t xml:space="preserve">对能力使用请求 </w:t>
      </w:r>
      <m:oMath>
        <m:r>
          <m:t>x</m:t>
        </m:r>
      </m:oMath>
      <w:r>
        <w:rPr>
          <w:b w:val="0"/>
        </w:rPr>
        <w:t xml:space="preserve">，定义类型兼容义务 </w:t>
      </w:r>
      <m:oMath>
        <m:sSub>
          <m:e>
            <m:r>
              <m:t>O</m:t>
            </m:r>
          </m:e>
          <m:sub>
            <m:r>
              <m:t>T</m:t>
            </m:r>
          </m:sub>
        </m:sSub>
      </m:oMath>
      <w:r>
        <w:rPr>
          <w:b w:val="0"/>
        </w:rPr>
        <w:t xml:space="preserve">、授权义务 </w:t>
      </w:r>
      <m:oMath>
        <m:sSub>
          <m:e>
            <m:r>
              <m:t>O</m:t>
            </m:r>
          </m:e>
          <m:sub>
            <m:r>
              <m:t>A</m:t>
            </m:r>
          </m:sub>
        </m:sSub>
      </m:oMath>
      <w:r>
        <w:rPr>
          <w:b w:val="0"/>
        </w:rPr>
        <w:t xml:space="preserve">、状态及时效义务 </w:t>
      </w:r>
      <m:oMath>
        <m:sSub>
          <m:e>
            <m:r>
              <m:t>O</m:t>
            </m:r>
          </m:e>
          <m:sub>
            <m:r>
              <m:t>F</m:t>
            </m:r>
          </m:sub>
        </m:sSub>
      </m:oMath>
      <w:r>
        <w:rPr>
          <w:b w:val="0"/>
        </w:rPr>
        <w:t xml:space="preserve"> 和目标证据义务 </w:t>
      </w:r>
      <m:oMath>
        <m:sSub>
          <m:e>
            <m:r>
              <m:t>O</m:t>
            </m:r>
          </m:e>
          <m:sub>
            <m:r>
              <m:t>G</m:t>
            </m:r>
          </m:sub>
        </m:sSub>
      </m:oMath>
      <w:r>
        <w:rPr>
          <w:b w:val="0"/>
        </w:rPr>
        <w:t>。它们具有不同前提和证据来源。本文将义务状态记为已支持、已反驳、未决，不用一个加权信任分数把缺失的权限抵消掉。</w:t>
      </w:r>
    </w:p>
    <w:p>
      <w:r>
        <w:rPr>
          <w:b w:val="0"/>
        </w:rPr>
        <w:t xml:space="preserve">发现阶段最多支持某些契约匹配；动作提交前必须支持 </w:t>
      </w:r>
      <m:oMath>
        <m:sSub>
          <m:e>
            <m:r>
              <m:t>O</m:t>
            </m:r>
          </m:e>
          <m:sub>
            <m:r>
              <m:t>A</m:t>
            </m:r>
          </m:sub>
        </m:sSub>
      </m:oMath>
      <w:r>
        <w:rPr>
          <w:b w:val="0"/>
        </w:rPr>
        <w:t xml:space="preserve"> 与所需的 </w:t>
      </w:r>
      <m:oMath>
        <m:sSub>
          <m:e>
            <m:r>
              <m:t>O</m:t>
            </m:r>
          </m:e>
          <m:sub>
            <m:r>
              <m:t>F</m:t>
            </m:r>
          </m:sub>
        </m:sSub>
      </m:oMath>
      <w:r>
        <w:rPr>
          <w:b w:val="0"/>
        </w:rPr>
        <w:t xml:space="preserve">；完成声明必须支持对应的 </w:t>
      </w:r>
      <m:oMath>
        <m:sSub>
          <m:e>
            <m:r>
              <m:t>O</m:t>
            </m:r>
          </m:e>
          <m:sub>
            <m:r>
              <m:t>G</m:t>
            </m:r>
          </m:sub>
        </m:sSub>
      </m:oMath>
      <w:r>
        <w:rPr>
          <w:b w:val="0"/>
        </w:rPr>
        <w:t>。这一阶段划分是研究框架的语义约束。它不会因为记录中写着“已支持”就成立：证据本身必须满足各节列出的可验证条件。</w:t>
      </w:r>
    </w:p>
    <w:p>
      <w:pPr>
        <w:pStyle w:val="Heading2"/>
      </w:pPr>
      <w:r>
        <w:rPr>
          <w:b w:val="0"/>
        </w:rPr>
        <w:t>2.3 共同假设</w:t>
      </w:r>
    </w:p>
    <w:p>
      <w:r>
        <w:rPr>
          <w:b w:val="0"/>
        </w:rPr>
        <w:t>所有命题都针对明确的动作范围与参考状态。用于授权的动作谓词可判定，权威主体身份与权限来源可验证，关键效应不能绕过模型中的授权判定。提供者是否真实遵守关系契约是外部证明或验证义务，不能仅凭自述成立。涉及物理效果时，状态模型必须说明可观察性、测量误差与环境干扰；若缺少这些条件，结论应退化为关于声明或观测的结论。</w:t>
      </w:r>
    </w:p>
    <w:p>
      <w:pPr>
        <w:pStyle w:val="Heading1"/>
      </w:pPr>
      <w:r>
        <w:rPr>
          <w:b w:val="0"/>
        </w:rPr>
        <w:t>3 委托权限的衰减与组合</w:t>
      </w:r>
    </w:p>
    <w:p>
      <w:pPr>
        <w:pStyle w:val="Heading2"/>
      </w:pPr>
      <w:r>
        <w:rPr>
          <w:b w:val="0"/>
        </w:rPr>
        <w:t>3.1 单条委托路径</w:t>
      </w:r>
    </w:p>
    <w:p>
      <w:pPr>
        <w:keepNext/>
      </w:pPr>
      <w:r>
        <w:rPr>
          <w:b w:val="0"/>
        </w:rPr>
        <w:t xml:space="preserve">固定判定时刻和完整上下文。令 </w:t>
      </w:r>
      <m:oMath>
        <m:sSub>
          <m:e>
            <m:r>
              <m:t>A</m:t>
            </m:r>
          </m:e>
          <m:sub>
            <m:r>
              <m:t>0</m:t>
            </m:r>
          </m:sub>
        </m:sSub>
        <m:r>
          <m:t>⊆</m:t>
        </m:r>
        <m:r>
          <m:rPr>
            <m:scr m:val="script"/>
          </m:rPr>
          <m:t>A</m:t>
        </m:r>
      </m:oMath>
      <w:r>
        <w:rPr>
          <w:b w:val="0"/>
        </w:rPr>
        <w:t xml:space="preserve"> 为根授权，</w:t>
      </w:r>
      <m:oMath>
        <m:sSub>
          <m:e>
            <m:r>
              <m:t>P</m:t>
            </m:r>
          </m:e>
          <m:sub>
            <m:r>
              <m:t>j</m:t>
            </m:r>
          </m:sub>
        </m:sSub>
        <m:r>
          <m:t>⊆</m:t>
        </m:r>
        <m:r>
          <m:rPr>
            <m:scr m:val="script"/>
          </m:rPr>
          <m:t>A</m:t>
        </m:r>
      </m:oMath>
      <w:r>
        <w:rPr>
          <w:b w:val="0"/>
        </w:rPr>
        <w:t xml:space="preserve"> 为第 </w:t>
      </w:r>
      <m:oMath>
        <m:r>
          <m:t>j</m:t>
        </m:r>
      </m:oMath>
      <w:r>
        <w:rPr>
          <w:b w:val="0"/>
        </w:rPr>
        <w:t xml:space="preserve"> 次委托附加的约束。子委托允许动作集合为</w:t>
      </w:r>
    </w:p>
    <w:p>
      <w:pPr>
        <w:keepNext/>
        <w:spacing w:before="100" w:after="140"/>
        <w:jc w:val="center"/>
      </w:pPr>
      <m:oMathPara>
        <m:oMath>
          <m:sSub>
            <m:e>
              <m:r>
                <m:t>A</m:t>
              </m:r>
            </m:e>
            <m:sub>
              <m:r>
                <m:t>j</m:t>
              </m:r>
            </m:sub>
          </m:sSub>
          <m:r>
            <m:t>=</m:t>
          </m:r>
          <m:sSub>
            <m:e>
              <m:r>
                <m:t>A</m:t>
              </m:r>
            </m:e>
            <m:sub>
              <m:r>
                <m:t>j−1</m:t>
              </m:r>
            </m:sub>
          </m:sSub>
          <m:r>
            <m:t>∩</m:t>
          </m:r>
          <m:sSub>
            <m:e>
              <m:r>
                <m:t>P</m:t>
              </m:r>
            </m:e>
            <m:sub>
              <m:r>
                <m:t>j</m:t>
              </m:r>
            </m:sub>
          </m:sSub>
          <m:r>
            <m:t>,</m:t>
          </m:r>
          <m:sSub>
            <m:e>
              <m:r>
                <m:t>A</m:t>
              </m:r>
            </m:e>
            <m:sub>
              <m:r>
                <m:t>n</m:t>
              </m:r>
            </m:sub>
          </m:sSub>
          <m:r>
            <m:t>=</m:t>
          </m:r>
          <m:sSub>
            <m:e>
              <m:r>
                <m:t>A</m:t>
              </m:r>
            </m:e>
            <m:sub>
              <m:r>
                <m:t>0</m:t>
              </m:r>
            </m:sub>
          </m:sSub>
          <m:r>
            <m:t>∩</m:t>
          </m:r>
          <m:nary>
            <m:naryPr>
              <m:chr m:val="⋂"/>
              <m:limLoc m:val="subSup"/>
              <m:grow m:val="1"/>
              <m:subHide m:val="off"/>
              <m:supHide m:val="off"/>
            </m:naryPr>
            <m:sub>
              <m:r>
                <m:t>j=1</m:t>
              </m:r>
            </m:sub>
            <m:sup>
              <m:r>
                <m:t>n</m:t>
              </m:r>
            </m:sup>
            <m:e>
              <m:sSub>
                <m:e>
                  <m:r>
                    <m:t>P</m:t>
                  </m:r>
                </m:e>
                <m:sub>
                  <m:r>
                    <m:t>j</m:t>
                  </m:r>
                </m:sub>
              </m:sSub>
            </m:e>
          </m:nary>
          <m:r>
            <m:t>.</m:t>
          </m:r>
        </m:oMath>
      </m:oMathPara>
      <w:r>
        <w:t xml:space="preserve">   (C3)</w:t>
      </w:r>
    </w:p>
    <w:p>
      <w:r>
        <w:rPr>
          <w:b/>
        </w:rPr>
        <w:t>命题 T1。</w:t>
      </w:r>
      <w:r>
        <w:rPr>
          <w:b w:val="0"/>
        </w:rPr>
        <w:t xml:space="preserve"> 在约束不能被删除或替换、根授权有效且所有层在同一上下文中判定的条件下，任何层的授权都不超出其祖先授权。</w:t>
      </w:r>
    </w:p>
    <w:p>
      <w:r>
        <w:rPr>
          <w:b/>
        </w:rPr>
        <w:t>证明。</w:t>
      </w:r>
      <w:r>
        <w:rPr>
          <w:b w:val="0"/>
        </w:rPr>
        <w:t xml:space="preserve"> 集合交满足 </w:t>
      </w:r>
      <m:oMath>
        <m:sSub>
          <m:e>
            <m:r>
              <m:t>A</m:t>
            </m:r>
          </m:e>
          <m:sub>
            <m:r>
              <m:t>j−1</m:t>
            </m:r>
          </m:sub>
        </m:sSub>
        <m:r>
          <m:t>∩</m:t>
        </m:r>
        <m:sSub>
          <m:e>
            <m:r>
              <m:t>P</m:t>
            </m:r>
          </m:e>
          <m:sub>
            <m:r>
              <m:t>j</m:t>
            </m:r>
          </m:sub>
        </m:sSub>
        <m:r>
          <m:t>⊆</m:t>
        </m:r>
        <m:sSub>
          <m:e>
            <m:r>
              <m:t>A</m:t>
            </m:r>
          </m:e>
          <m:sub>
            <m:r>
              <m:t>j−1</m:t>
            </m:r>
          </m:sub>
        </m:sSub>
      </m:oMath>
      <w:r>
        <w:rPr>
          <w:b w:val="0"/>
        </w:rPr>
        <w:t xml:space="preserve">。逐层归纳得到 </w:t>
      </w:r>
      <m:oMath>
        <m:sSub>
          <m:e>
            <m:r>
              <m:t>A</m:t>
            </m:r>
          </m:e>
          <m:sub>
            <m:r>
              <m:t>n</m:t>
            </m:r>
          </m:sub>
        </m:sSub>
        <m:r>
          <m:t>⊆</m:t>
        </m:r>
        <m:sSub>
          <m:e>
            <m:r>
              <m:t>A</m:t>
            </m:r>
          </m:e>
          <m:sub>
            <m:r>
              <m:t>n−1</m:t>
            </m:r>
          </m:sub>
        </m:sSub>
        <m:r>
          <m:t>⊆⋯⊆</m:t>
        </m:r>
        <m:sSub>
          <m:e>
            <m:r>
              <m:t>A</m:t>
            </m:r>
          </m:e>
          <m:sub>
            <m:r>
              <m:t>0</m:t>
            </m:r>
          </m:sub>
        </m:sSub>
      </m:oMath>
      <w:r>
        <w:rPr>
          <w:b w:val="0"/>
        </w:rPr>
        <w:t>。Macaroons 的约束式委托体现了这种既有衰减思想 [6]；C3 是集合语义，不是新的密码学安全证明。</w:t>
      </w:r>
    </w:p>
    <w:p>
      <w:r>
        <w:rPr>
          <w:b/>
        </w:rPr>
        <w:t>边界。</w:t>
      </w:r>
      <w:r>
        <w:rPr>
          <w:b w:val="0"/>
        </w:rPr>
        <w:t xml:space="preserve"> 不同时刻重新计算的授权集合可能扩大或缩小，C3 的链式包含仅比较同一时刻和上下文。将“家庭内读取温度”转换成不含资源范围的“读取权限”，会丢失约束，破坏模型。委托链中签名完整也不能修复错误的上下文映射。</w:t>
      </w:r>
    </w:p>
    <w:p>
      <w:pPr>
        <w:pStyle w:val="Heading2"/>
      </w:pPr>
      <w:r>
        <w:rPr>
          <w:b w:val="0"/>
        </w:rPr>
        <w:t>3.2 多个根授权与权限拼接</w:t>
      </w:r>
    </w:p>
    <w:p>
      <w:r>
        <w:rPr>
          <w:b w:val="0"/>
        </w:rPr>
        <w:t>主体可能从不同拥有者取得独立授权。若策略允许替代授权来源，一个具体动作只需落入其中一条有效授权链；但不能把一张凭据中的资源字段与另一张凭据中的动作字段任意拼接。每张授权描述的是完整动作元组的集合，而不是可随意组合的字段列表。</w:t>
      </w:r>
    </w:p>
    <w:p>
      <w:r>
        <w:rPr>
          <w:b w:val="0"/>
        </w:rPr>
        <w:t>例如，凭据甲允许对资源甲执行读取，凭据乙允许对资源乙执行写入；两者的集合并允许这两个完整动作，不允许对资源甲执行写入。该反例说明，将多个字段分别取并集再做笛卡尔积，会产生原授权中没有的动作。</w:t>
      </w:r>
    </w:p>
    <w:p>
      <w:pPr>
        <w:pStyle w:val="Heading2"/>
      </w:pPr>
      <w:r>
        <w:rPr>
          <w:b w:val="0"/>
        </w:rPr>
        <w:t>3.3 复合任务需要的是权限需求的并集</w:t>
      </w:r>
    </w:p>
    <w:p>
      <w:pPr>
        <w:keepNext/>
      </w:pPr>
      <w:r>
        <w:rPr>
          <w:b w:val="0"/>
        </w:rPr>
        <w:t xml:space="preserve">设任务 </w:t>
      </w:r>
      <m:oMath>
        <m:r>
          <m:t>T</m:t>
        </m:r>
      </m:oMath>
      <w:r>
        <w:rPr>
          <w:b w:val="0"/>
        </w:rPr>
        <w:t xml:space="preserve"> 包含动作需求集合 </w:t>
      </w:r>
      <m:oMath>
        <m:sSub>
          <m:e>
            <m:r>
              <m:t>N</m:t>
            </m:r>
          </m:e>
          <m:sub>
            <m:r>
              <m:t>1</m:t>
            </m:r>
          </m:sub>
        </m:sSub>
        <m:r>
          <m:t>,…,</m:t>
        </m:r>
        <m:sSub>
          <m:e>
            <m:r>
              <m:t>N</m:t>
            </m:r>
          </m:e>
          <m:sub>
            <m:r>
              <m:t>k</m:t>
            </m:r>
          </m:sub>
        </m:sSub>
      </m:oMath>
      <w:r>
        <w:rPr>
          <w:b w:val="0"/>
        </w:rPr>
        <w:t>。在同一根授权下，能够完成全部子任务的必要授权条件是</w:t>
      </w:r>
    </w:p>
    <w:p>
      <w:pPr>
        <w:keepNext/>
        <w:spacing w:before="100" w:after="140"/>
        <w:jc w:val="center"/>
      </w:pPr>
      <m:oMathPara>
        <m:oMath>
          <m:sSub>
            <m:e>
              <m:r>
                <m:t>N</m:t>
              </m:r>
            </m:e>
            <m:sub>
              <m:r>
                <m:t>T</m:t>
              </m:r>
            </m:sub>
          </m:sSub>
          <m:r>
            <m:t>=</m:t>
          </m:r>
          <m:nary>
            <m:naryPr>
              <m:chr m:val="⋃"/>
              <m:limLoc m:val="subSup"/>
              <m:grow m:val="1"/>
              <m:subHide m:val="off"/>
              <m:supHide m:val="off"/>
            </m:naryPr>
            <m:sub>
              <m:r>
                <m:t>i=1</m:t>
              </m:r>
            </m:sub>
            <m:sup>
              <m:r>
                <m:t>k</m:t>
              </m:r>
            </m:sup>
            <m:e>
              <m:sSub>
                <m:e>
                  <m:r>
                    <m:t>N</m:t>
                  </m:r>
                </m:e>
                <m:sub>
                  <m:r>
                    <m:t>i</m:t>
                  </m:r>
                </m:sub>
              </m:sSub>
            </m:e>
          </m:nary>
          <m:r>
            <m:t>⊆</m:t>
          </m:r>
          <m:sSub>
            <m:e>
              <m:r>
                <m:t>A</m:t>
              </m:r>
            </m:e>
            <m:sub>
              <m:r>
                <m:t>0</m:t>
              </m:r>
            </m:sub>
          </m:sSub>
          <m:r>
            <m:t>,</m:t>
          </m:r>
          <m:sSub>
            <m:e>
              <m:r>
                <m:t>N</m:t>
              </m:r>
            </m:e>
            <m:sub>
              <m:r>
                <m:t>i</m:t>
              </m:r>
            </m:sub>
          </m:sSub>
          <m:r>
            <m:t>⊆</m:t>
          </m:r>
          <m:sSub>
            <m:e>
              <m:r>
                <m:t>A</m:t>
              </m:r>
            </m:e>
            <m:sub>
              <m:r>
                <m:t>i</m:t>
              </m:r>
            </m:sub>
          </m:sSub>
          <m:r>
            <m:t>⊆</m:t>
          </m:r>
          <m:sSub>
            <m:e>
              <m:r>
                <m:t>A</m:t>
              </m:r>
            </m:e>
            <m:sub>
              <m:r>
                <m:t>0.</m:t>
              </m:r>
            </m:sub>
          </m:sSub>
        </m:oMath>
      </m:oMathPara>
      <w:r>
        <w:t xml:space="preserve">   (C4)</w:t>
      </w:r>
    </w:p>
    <w:p>
      <w:r>
        <w:rPr>
          <w:b/>
        </w:rPr>
        <w:t>命题 T2。</w:t>
      </w:r>
      <w:r>
        <w:rPr>
          <w:b w:val="0"/>
        </w:rPr>
        <w:t xml:space="preserve"> 若每个子任务仅使用其授权集合 </w:t>
      </w:r>
      <m:oMath>
        <m:sSub>
          <m:e>
            <m:r>
              <m:t>A</m:t>
            </m:r>
          </m:e>
          <m:sub>
            <m:r>
              <m:t>i</m:t>
            </m:r>
          </m:sub>
        </m:sSub>
      </m:oMath>
      <w:r>
        <w:rPr>
          <w:b w:val="0"/>
        </w:rPr>
        <w:t xml:space="preserve"> 中的动作，且 C4 成立，则组合不引入根授权以外的动作。</w:t>
      </w:r>
    </w:p>
    <w:p>
      <w:r>
        <w:rPr>
          <w:b/>
        </w:rPr>
        <w:t>证明。</w:t>
      </w:r>
      <w:r>
        <w:rPr>
          <w:b w:val="0"/>
        </w:rPr>
        <w:t xml:space="preserve"> 任取组合发生的动作。它来自某个子任务，属于该子任务的 </w:t>
      </w:r>
      <m:oMath>
        <m:sSub>
          <m:e>
            <m:r>
              <m:t>A</m:t>
            </m:r>
          </m:e>
          <m:sub>
            <m:r>
              <m:t>i</m:t>
            </m:r>
          </m:sub>
        </m:sSub>
      </m:oMath>
      <w:r>
        <w:rPr>
          <w:b w:val="0"/>
        </w:rPr>
        <w:t xml:space="preserve">，而 </w:t>
      </w:r>
      <m:oMath>
        <m:sSub>
          <m:e>
            <m:r>
              <m:t>A</m:t>
            </m:r>
          </m:e>
          <m:sub>
            <m:r>
              <m:t>i</m:t>
            </m:r>
          </m:sub>
        </m:sSub>
        <m:r>
          <m:t>⊆</m:t>
        </m:r>
        <m:sSub>
          <m:e>
            <m:r>
              <m:t>A</m:t>
            </m:r>
          </m:e>
          <m:sub>
            <m:r>
              <m:t>0</m:t>
            </m:r>
          </m:sub>
        </m:sSub>
      </m:oMath>
      <w:r>
        <w:rPr>
          <w:b w:val="0"/>
        </w:rPr>
        <w:t>，故属于根授权。这个结论只证明权限不越界，不证明任务能够完成。</w:t>
      </w:r>
    </w:p>
    <w:p>
      <w:r>
        <w:rPr>
          <w:b w:val="0"/>
        </w:rPr>
        <w:t>权限需求应取并集，委托限制应取交集，这是两个不同层次。把所有子任务的权限取交集可能误判一个合法任务无法完成；把不同根的委托条件无约束取并集又可能放大权限。多根任务需逐动作提供一条完整有效的授权路径，并处理明确要求共同批准的策略；“存在一个授权者”不能覆盖要求多方同意的规则。</w:t>
      </w:r>
    </w:p>
    <w:p>
      <w:pPr>
        <w:pStyle w:val="Heading1"/>
      </w:pPr>
      <w:r>
        <w:rPr>
          <w:b w:val="0"/>
        </w:rPr>
        <w:t>4 行为契约的替换与组合</w:t>
      </w:r>
    </w:p>
    <w:p>
      <w:pPr>
        <w:pStyle w:val="Heading2"/>
      </w:pPr>
      <w:r>
        <w:rPr>
          <w:b w:val="0"/>
        </w:rPr>
        <w:t>4.1 替换关系必须约束行为</w:t>
      </w:r>
    </w:p>
    <w:p>
      <w:pPr>
        <w:keepNext/>
      </w:pPr>
      <w:r>
        <w:rPr>
          <w:b w:val="0"/>
        </w:rPr>
        <w:t xml:space="preserve">令旧能力为 </w:t>
      </w:r>
      <m:oMath>
        <m:r>
          <m:t>o</m:t>
        </m:r>
      </m:oMath>
      <w:r>
        <w:rPr>
          <w:b w:val="0"/>
        </w:rPr>
        <w:t xml:space="preserve">，替代能力为 </w:t>
      </w:r>
      <m:oMath>
        <m:r>
          <m:t>n</m:t>
        </m:r>
      </m:oMath>
      <w:r>
        <w:rPr>
          <w:b w:val="0"/>
        </w:rPr>
        <w:t>。为了使依赖旧规格的调用方保留其安全性质，充分条件是</w:t>
      </w:r>
    </w:p>
    <w:p>
      <w:pPr>
        <w:keepNext/>
        <w:spacing w:before="100" w:after="140"/>
        <w:jc w:val="center"/>
      </w:pPr>
      <m:oMathPara>
        <m:oMath>
          <m:sSub>
            <m:e>
              <m:r>
                <m:t>P</m:t>
              </m:r>
            </m:e>
            <m:sub>
              <m:r>
                <m:t>o</m:t>
              </m:r>
            </m:sub>
          </m:sSub>
          <m:r>
            <m:t>⊆</m:t>
          </m:r>
          <m:sSub>
            <m:e>
              <m:r>
                <m:t>P</m:t>
              </m:r>
            </m:e>
            <m:sub>
              <m:r>
                <m:t>n</m:t>
              </m:r>
            </m:sub>
          </m:sSub>
          <m:r>
            <m:t>,</m:t>
          </m:r>
          <m:sSub>
            <m:e>
              <m:r>
                <m:t>R</m:t>
              </m:r>
            </m:e>
            <m:sub>
              <m:r>
                <m:t>n</m:t>
              </m:r>
            </m:sub>
          </m:sSub>
          <m:r>
            <m:t>(s)⊆</m:t>
          </m:r>
          <m:sSub>
            <m:e>
              <m:r>
                <m:t>R</m:t>
              </m:r>
            </m:e>
            <m:sub>
              <m:r>
                <m:t>o</m:t>
              </m:r>
            </m:sub>
          </m:sSub>
          <m:r>
            <m:t>(s)</m:t>
          </m:r>
          <m:r>
            <m:t>(s∈</m:t>
          </m:r>
          <m:sSub>
            <m:e>
              <m:r>
                <m:t>P</m:t>
              </m:r>
            </m:e>
            <m:sub>
              <m:r>
                <m:t>o</m:t>
              </m:r>
            </m:sub>
          </m:sSub>
          <m:r>
            <m:t>),</m:t>
          </m:r>
          <m:sSub>
            <m:e>
              <m:r>
                <m:t>E</m:t>
              </m:r>
            </m:e>
            <m:sub>
              <m:r>
                <m:t>n</m:t>
              </m:r>
            </m:sub>
          </m:sSub>
          <m:r>
            <m:t>⊆</m:t>
          </m:r>
          <m:sSub>
            <m:e>
              <m:r>
                <m:t>E</m:t>
              </m:r>
            </m:e>
            <m:sub>
              <m:r>
                <m:t>o</m:t>
              </m:r>
            </m:sub>
          </m:sSub>
          <m:r>
            <m:t>.</m:t>
          </m:r>
        </m:oMath>
      </m:oMathPara>
      <w:r>
        <w:t xml:space="preserve">   (C5)</w:t>
      </w:r>
    </w:p>
    <w:p>
      <w:r>
        <w:rPr>
          <w:b/>
        </w:rPr>
        <w:t>命题 T3。</w:t>
      </w:r>
      <w:r>
        <w:rPr>
          <w:b w:val="0"/>
        </w:rPr>
        <w:t xml:space="preserve"> 若真实执行遵守规格且 C5 成立，则替换能力在旧合法前置状态上，不产生旧规格禁止的后继状态或额外作用。</w:t>
      </w:r>
    </w:p>
    <w:p>
      <w:r>
        <w:rPr>
          <w:b/>
        </w:rPr>
        <w:t>证明。</w:t>
      </w:r>
      <w:r>
        <w:rPr>
          <w:b w:val="0"/>
        </w:rPr>
        <w:t xml:space="preserve"> 任取 </w:t>
      </w:r>
      <m:oMath>
        <m:r>
          <m:t>s∈</m:t>
        </m:r>
        <m:sSub>
          <m:e>
            <m:r>
              <m:t>P</m:t>
            </m:r>
          </m:e>
          <m:sub>
            <m:r>
              <m:t>o</m:t>
            </m:r>
          </m:sub>
        </m:sSub>
      </m:oMath>
      <w:r>
        <w:rPr>
          <w:b w:val="0"/>
        </w:rPr>
        <w:t xml:space="preserve">，第一条件保证新能力接受其前置状态。任取新能力产生的后继 </w:t>
      </w:r>
      <m:oMath>
        <m:r>
          <m:t>s'</m:t>
        </m:r>
      </m:oMath>
      <w:r>
        <w:rPr>
          <w:b w:val="0"/>
        </w:rPr>
        <w:t xml:space="preserve">，由第二条件有 </w:t>
      </w:r>
      <m:oMath>
        <m:r>
          <m:t>s'∈</m:t>
        </m:r>
        <m:sSub>
          <m:e>
            <m:r>
              <m:t>R</m:t>
            </m:r>
          </m:e>
          <m:sub>
            <m:r>
              <m:t>o</m:t>
            </m:r>
          </m:sub>
        </m:sSub>
        <m:r>
          <m:t>(s)</m:t>
        </m:r>
      </m:oMath>
      <w:r>
        <w:rPr>
          <w:b w:val="0"/>
        </w:rPr>
        <w:t>。第三条件约束其作用。因此任何对旧关系全部允许后继成立的安全断言，也对新能力的后继成立。</w:t>
      </w:r>
    </w:p>
    <w:p>
      <w:r>
        <w:rPr>
          <w:b w:val="0"/>
        </w:rPr>
        <w:t>这采用行为精化与子类型的既有思想 [4]。仅比较输出类型不足以证明 C5：两个能力都返回“成功”，其中一个额外开启门锁，就可能满足相同输出结构却违反作用约束。C5 仍不保证新能力终止，不保证概率分布、耗时或资源消耗相同；这些属性必须进入规格后才能讨论保留。</w:t>
      </w:r>
    </w:p>
    <w:p>
      <w:pPr>
        <w:pStyle w:val="Heading2"/>
      </w:pPr>
      <w:r>
        <w:rPr>
          <w:b w:val="0"/>
        </w:rPr>
        <w:t>4.2 顺序组合</w:t>
      </w:r>
    </w:p>
    <w:p>
      <w:pPr>
        <w:keepNext/>
      </w:pPr>
      <w:r>
        <w:rPr>
          <w:b w:val="0"/>
        </w:rPr>
        <w:t xml:space="preserve">考虑能力 </w:t>
      </w:r>
      <m:oMath>
        <m:sSub>
          <m:e>
            <m:r>
              <m:t>c</m:t>
            </m:r>
          </m:e>
          <m:sub>
            <m:r>
              <m:t>1</m:t>
            </m:r>
          </m:sub>
        </m:sSub>
        <m:r>
          <m:t>,</m:t>
        </m:r>
        <m:sSub>
          <m:e>
            <m:r>
              <m:t>c</m:t>
            </m:r>
          </m:e>
          <m:sub>
            <m:r>
              <m:t>2</m:t>
            </m:r>
          </m:sub>
        </m:sSub>
      </m:oMath>
      <w:r>
        <w:rPr>
          <w:b w:val="0"/>
        </w:rPr>
        <w:t xml:space="preserve">。若它们满足部分正确性，且 </w:t>
      </w:r>
      <m:oMath>
        <m:sSub>
          <m:e>
            <m:r>
              <m:t>Q</m:t>
            </m:r>
          </m:e>
          <m:sub>
            <m:r>
              <m:t>1</m:t>
            </m:r>
          </m:sub>
        </m:sSub>
        <m:r>
          <m:t>⊆</m:t>
        </m:r>
        <m:sSub>
          <m:e>
            <m:r>
              <m:t>P</m:t>
            </m:r>
          </m:e>
          <m:sub>
            <m:r>
              <m:t>2</m:t>
            </m:r>
          </m:sub>
        </m:sSub>
      </m:oMath>
      <w:r>
        <w:rPr>
          <w:b w:val="0"/>
        </w:rPr>
        <w:t>，则</w:t>
      </w:r>
    </w:p>
    <w:p>
      <w:pPr>
        <w:keepNext/>
        <w:spacing w:before="100" w:after="140"/>
        <w:jc w:val="center"/>
      </w:pPr>
      <m:oMathPara>
        <m:oMath>
          <m:sSub>
            <m:e>
              <m:r>
                <m:t>R</m:t>
              </m:r>
            </m:e>
            <m:sub>
              <m:r>
                <m:t>1</m:t>
              </m:r>
            </m:sub>
          </m:sSub>
          <m:r>
            <m:t>(</m:t>
          </m:r>
          <m:sSub>
            <m:e>
              <m:r>
                <m:t>P</m:t>
              </m:r>
            </m:e>
            <m:sub>
              <m:r>
                <m:t>1</m:t>
              </m:r>
            </m:sub>
          </m:sSub>
          <m:r>
            <m:t>)⊆</m:t>
          </m:r>
          <m:sSub>
            <m:e>
              <m:r>
                <m:t>Q</m:t>
              </m:r>
            </m:e>
            <m:sub>
              <m:r>
                <m:t>1</m:t>
              </m:r>
            </m:sub>
          </m:sSub>
          <m:r>
            <m:t>⊆</m:t>
          </m:r>
          <m:sSub>
            <m:e>
              <m:r>
                <m:t>P</m:t>
              </m:r>
            </m:e>
            <m:sub>
              <m:r>
                <m:t>2</m:t>
              </m:r>
            </m:sub>
          </m:sSub>
          <m:r>
            <m:t>,</m:t>
          </m:r>
          <m:r>
            <m:t>(</m:t>
          </m:r>
          <m:sSub>
            <m:e>
              <m:r>
                <m:t>R</m:t>
              </m:r>
            </m:e>
            <m:sub>
              <m:r>
                <m:t>2</m:t>
              </m:r>
            </m:sub>
          </m:sSub>
          <m:r>
            <m:t>∘</m:t>
          </m:r>
          <m:sSub>
            <m:e>
              <m:r>
                <m:t>R</m:t>
              </m:r>
            </m:e>
            <m:sub>
              <m:r>
                <m:t>1</m:t>
              </m:r>
            </m:sub>
          </m:sSub>
          <m:r>
            <m:t>)(</m:t>
          </m:r>
          <m:sSub>
            <m:e>
              <m:r>
                <m:t>P</m:t>
              </m:r>
            </m:e>
            <m:sub>
              <m:r>
                <m:t>1</m:t>
              </m:r>
            </m:sub>
          </m:sSub>
          <m:r>
            <m:t>)⊆</m:t>
          </m:r>
          <m:sSub>
            <m:e>
              <m:r>
                <m:t>Q</m:t>
              </m:r>
            </m:e>
            <m:sub>
              <m:r>
                <m:t>2.</m:t>
              </m:r>
            </m:sub>
          </m:sSub>
        </m:oMath>
      </m:oMathPara>
      <w:r>
        <w:t xml:space="preserve">   (C6)</w:t>
      </w:r>
    </w:p>
    <w:p>
      <w:r>
        <w:rPr>
          <w:b/>
        </w:rPr>
        <w:t>证明。</w:t>
      </w:r>
      <w:r>
        <w:rPr>
          <w:b w:val="0"/>
        </w:rPr>
        <w:t xml:space="preserve"> 从任意 </w:t>
      </w:r>
      <m:oMath>
        <m:sSub>
          <m:e>
            <m:r>
              <m:t>P</m:t>
            </m:r>
          </m:e>
          <m:sub>
            <m:r>
              <m:t>1</m:t>
            </m:r>
          </m:sub>
        </m:sSub>
      </m:oMath>
      <w:r>
        <w:rPr>
          <w:b w:val="0"/>
        </w:rPr>
        <w:t xml:space="preserve"> 状态执行第一能力，若终止，其后继在 </w:t>
      </w:r>
      <m:oMath>
        <m:sSub>
          <m:e>
            <m:r>
              <m:t>Q</m:t>
            </m:r>
          </m:e>
          <m:sub>
            <m:r>
              <m:t>1</m:t>
            </m:r>
          </m:sub>
        </m:sSub>
      </m:oMath>
      <w:r>
        <w:rPr>
          <w:b w:val="0"/>
        </w:rPr>
        <w:t xml:space="preserve"> 内，因而满足第二能力的前置条件。第二能力若终止，其后继在 </w:t>
      </w:r>
      <m:oMath>
        <m:sSub>
          <m:e>
            <m:r>
              <m:t>Q</m:t>
            </m:r>
          </m:e>
          <m:sub>
            <m:r>
              <m:t>2</m:t>
            </m:r>
          </m:sub>
        </m:sSub>
      </m:oMath>
      <w:r>
        <w:rPr>
          <w:b w:val="0"/>
        </w:rPr>
        <w:t xml:space="preserve"> 内。这里使用的是 Hoare 风格的顺序组合规则 [5]。若两能力之间有环境转换 </w:t>
      </w:r>
      <m:oMath>
        <m:sSub>
          <m:e>
            <m:r>
              <m:t>R</m:t>
            </m:r>
          </m:e>
          <m:sub>
            <m:r>
              <m:t>e</m:t>
            </m:r>
          </m:sub>
        </m:sSub>
      </m:oMath>
      <w:r>
        <w:rPr>
          <w:b w:val="0"/>
        </w:rPr>
        <w:t xml:space="preserve">，连接条件必须改为 </w:t>
      </w:r>
      <m:oMath>
        <m:sSub>
          <m:e>
            <m:r>
              <m:t>R</m:t>
            </m:r>
          </m:e>
          <m:sub>
            <m:r>
              <m:t>e</m:t>
            </m:r>
          </m:sub>
        </m:sSub>
        <m:r>
          <m:t>(</m:t>
        </m:r>
        <m:sSub>
          <m:e>
            <m:r>
              <m:t>Q</m:t>
            </m:r>
          </m:e>
          <m:sub>
            <m:r>
              <m:t>1</m:t>
            </m:r>
          </m:sub>
        </m:sSub>
        <m:r>
          <m:t>)⊆</m:t>
        </m:r>
        <m:sSub>
          <m:e>
            <m:r>
              <m:t>P</m:t>
            </m:r>
          </m:e>
          <m:sub>
            <m:r>
              <m:t>2</m:t>
            </m:r>
          </m:sub>
        </m:sSub>
      </m:oMath>
      <w:r>
        <w:rPr>
          <w:b w:val="0"/>
        </w:rPr>
        <w:t>，不能忽略间隔中的状态变化。</w:t>
      </w:r>
    </w:p>
    <w:p>
      <w:r>
        <w:rPr>
          <w:b w:val="0"/>
        </w:rPr>
        <w:t xml:space="preserve">依赖图无环只给出一个执行偏序，不证明任何 </w:t>
      </w:r>
      <m:oMath>
        <m:sSub>
          <m:e>
            <m:r>
              <m:t>Q</m:t>
            </m:r>
          </m:e>
          <m:sub>
            <m:r>
              <m:t>i</m:t>
            </m:r>
          </m:sub>
        </m:sSub>
        <m:r>
          <m:t>⊆</m:t>
        </m:r>
        <m:sSub>
          <m:e>
            <m:r>
              <m:t>P</m:t>
            </m:r>
          </m:e>
          <m:sub>
            <m:r>
              <m:t>j</m:t>
            </m:r>
          </m:sub>
        </m:sSub>
      </m:oMath>
      <w:r>
        <w:rPr>
          <w:b w:val="0"/>
        </w:rPr>
        <w:t>。例如“已经取得温度读数”不能推出“读数仍在控制精度和有效时间范围内”。需要显式的误差及有效期条件，才能把观测接到控制动作。</w:t>
      </w:r>
    </w:p>
    <w:p>
      <w:pPr>
        <w:pStyle w:val="Heading2"/>
      </w:pPr>
      <w:r>
        <w:rPr>
          <w:b w:val="0"/>
        </w:rPr>
        <w:t>4.3 并发的非干扰条件</w:t>
      </w:r>
    </w:p>
    <w:p>
      <w:pPr>
        <w:keepNext/>
      </w:pPr>
      <w:r>
        <w:rPr>
          <w:b w:val="0"/>
        </w:rPr>
        <w:t xml:space="preserve">设能力 </w:t>
      </w:r>
      <m:oMath>
        <m:r>
          <m:t>i</m:t>
        </m:r>
      </m:oMath>
      <w:r>
        <w:rPr>
          <w:b w:val="0"/>
        </w:rPr>
        <w:t xml:space="preserve"> 的读状态分量集合为 </w:t>
      </w:r>
      <m:oMath>
        <m:sSub>
          <m:e>
            <m:r>
              <m:rPr>
                <m:scr m:val="script"/>
              </m:rPr>
              <m:t>R</m:t>
            </m:r>
          </m:e>
          <m:sub>
            <m:r>
              <m:t>i</m:t>
            </m:r>
          </m:sub>
        </m:sSub>
      </m:oMath>
      <w:r>
        <w:rPr>
          <w:b w:val="0"/>
        </w:rPr>
        <w:t xml:space="preserve">，写状态分量集合为 </w:t>
      </w:r>
      <m:oMath>
        <m:sSub>
          <m:e>
            <m:r>
              <m:rPr>
                <m:scr m:val="script"/>
              </m:rPr>
              <m:t>W</m:t>
            </m:r>
          </m:e>
          <m:sub>
            <m:r>
              <m:t>i</m:t>
            </m:r>
          </m:sub>
        </m:sSub>
      </m:oMath>
      <w:r>
        <w:rPr>
          <w:b w:val="0"/>
        </w:rPr>
        <w:t>。在状态为这些分量的积空间、转换只依赖所声明读分量且只修改所声明写分量、没有隐含共享资源或外部干扰的模型中，以下条件足以支持两个动作交换次序：</w:t>
      </w:r>
    </w:p>
    <w:p>
      <w:pPr>
        <w:keepNext/>
        <w:spacing w:before="100" w:after="140"/>
        <w:jc w:val="center"/>
      </w:pPr>
      <m:oMathPara>
        <m:oMath>
          <m:sSub>
            <m:e>
              <m:r>
                <m:rPr>
                  <m:scr m:val="script"/>
                </m:rPr>
                <m:t>W</m:t>
              </m:r>
            </m:e>
            <m:sub>
              <m:r>
                <m:t>i</m:t>
              </m:r>
            </m:sub>
          </m:sSub>
          <m:r>
            <m:t>∩(</m:t>
          </m:r>
          <m:sSub>
            <m:e>
              <m:r>
                <m:rPr>
                  <m:scr m:val="script"/>
                </m:rPr>
                <m:t>R</m:t>
              </m:r>
            </m:e>
            <m:sub>
              <m:r>
                <m:t>j</m:t>
              </m:r>
            </m:sub>
          </m:sSub>
          <m:r>
            <m:t>∪</m:t>
          </m:r>
          <m:sSub>
            <m:e>
              <m:r>
                <m:rPr>
                  <m:scr m:val="script"/>
                </m:rPr>
                <m:t>W</m:t>
              </m:r>
            </m:e>
            <m:sub>
              <m:r>
                <m:t>j</m:t>
              </m:r>
            </m:sub>
          </m:sSub>
          <m:r>
            <m:t>)=∅,</m:t>
          </m:r>
          <m:sSub>
            <m:e>
              <m:r>
                <m:rPr>
                  <m:scr m:val="script"/>
                </m:rPr>
                <m:t>W</m:t>
              </m:r>
            </m:e>
            <m:sub>
              <m:r>
                <m:t>j</m:t>
              </m:r>
            </m:sub>
          </m:sSub>
          <m:r>
            <m:t>∩(</m:t>
          </m:r>
          <m:sSub>
            <m:e>
              <m:r>
                <m:rPr>
                  <m:scr m:val="script"/>
                </m:rPr>
                <m:t>R</m:t>
              </m:r>
            </m:e>
            <m:sub>
              <m:r>
                <m:t>i</m:t>
              </m:r>
            </m:sub>
          </m:sSub>
          <m:r>
            <m:t>∪</m:t>
          </m:r>
          <m:sSub>
            <m:e>
              <m:r>
                <m:rPr>
                  <m:scr m:val="script"/>
                </m:rPr>
                <m:t>W</m:t>
              </m:r>
            </m:e>
            <m:sub>
              <m:r>
                <m:t>i</m:t>
              </m:r>
            </m:sub>
          </m:sSub>
          <m:r>
            <m:t>)=∅.</m:t>
          </m:r>
        </m:oMath>
      </m:oMathPara>
      <w:r>
        <w:t xml:space="preserve">   (C7)</w:t>
      </w:r>
    </w:p>
    <w:p>
      <w:r>
        <w:rPr>
          <w:b/>
        </w:rPr>
        <w:t>证明要点。</w:t>
      </w:r>
      <w:r>
        <w:rPr>
          <w:b w:val="0"/>
        </w:rPr>
        <w:t xml:space="preserve"> 任一动作不改变另一动作所读取或写入的分量，因此第二个动作看到的相关输入不变，两个动作产生的写入也互不覆盖；可达后继关系在该积状态模型中交换。若偏序中所有无依赖动作对均满足这一条件，任意两个拓扑序可通过交换相邻无依赖动作互相转换，从而保持相同的关系语义。</w:t>
      </w:r>
    </w:p>
    <w:p>
      <w:r>
        <w:rPr>
          <w:b w:val="0"/>
        </w:rPr>
        <w:t>这不是说现实设备只要名称不同就无干扰。加热器和空调共享室温这一状态变量，两个机器人可能共享通道；遗漏这些分量会使 C7 的表面检查失去意义。单纯的任务图结构也不提供原子性或补偿能力，已经发生的物理作用一般不能由一个“撤回”声明逆转。</w:t>
      </w:r>
    </w:p>
    <w:p>
      <w:pPr>
        <w:pStyle w:val="Heading1"/>
      </w:pPr>
      <w:r>
        <w:rPr>
          <w:b w:val="0"/>
        </w:rPr>
        <w:t>5 撤销与时间有效性</w:t>
      </w:r>
    </w:p>
    <w:p>
      <w:pPr>
        <w:pStyle w:val="Heading2"/>
      </w:pPr>
      <w:r>
        <w:rPr>
          <w:b w:val="0"/>
        </w:rPr>
        <w:t>5.1 授权检查与动作提交之间的间隔</w:t>
      </w:r>
    </w:p>
    <w:p>
      <w:r>
        <w:rPr>
          <w:b w:val="0"/>
        </w:rPr>
        <w:t xml:space="preserve">设权威方在真实时间 </w:t>
      </w:r>
      <m:oMath>
        <m:sSub>
          <m:e>
            <m:r>
              <m:t>t</m:t>
            </m:r>
          </m:e>
          <m:sub>
            <m:r>
              <m:t>r</m:t>
            </m:r>
          </m:sub>
        </m:sSub>
      </m:oMath>
      <w:r>
        <w:rPr>
          <w:b w:val="0"/>
        </w:rPr>
        <w:t xml:space="preserve"> 撤销授权。撤销信息在至多 </w:t>
      </w:r>
      <m:oMath>
        <m:r>
          <m:t>d</m:t>
        </m:r>
      </m:oMath>
      <w:r>
        <w:rPr>
          <w:b w:val="0"/>
        </w:rPr>
        <w:t xml:space="preserve"> 时间内到达相关判定者；凭据最长寿命为 </w:t>
      </w:r>
      <m:oMath>
        <m:r>
          <m:t>L</m:t>
        </m:r>
      </m:oMath>
      <w:r>
        <w:rPr>
          <w:b w:val="0"/>
        </w:rPr>
        <w:t xml:space="preserve">；签发者和判定者时钟与真实时间的误差绝对值均不超过 </w:t>
      </w:r>
      <m:oMath>
        <m:r>
          <m:t>ϵ</m:t>
        </m:r>
      </m:oMath>
      <w:r>
        <w:rPr>
          <w:b w:val="0"/>
        </w:rPr>
        <w:t xml:space="preserve">。已经通过授权接受的动作至多在 </w:t>
      </w:r>
      <m:oMath>
        <m:r>
          <m:t>Δ</m:t>
        </m:r>
      </m:oMath>
      <w:r>
        <w:rPr>
          <w:b w:val="0"/>
        </w:rPr>
        <w:t xml:space="preserve"> 后提交副作用。假定撤销后不再签发该授权的新凭据，凭据不能延长寿命，并且失效或已获知撤销的凭据不再被接受。</w:t>
      </w:r>
    </w:p>
    <w:p>
      <w:pPr>
        <w:keepNext/>
      </w:pPr>
      <w:r>
        <w:rPr>
          <w:b/>
        </w:rPr>
        <w:t>命题 T4。</w:t>
      </w:r>
      <w:r>
        <w:rPr>
          <w:b w:val="0"/>
        </w:rPr>
        <w:t xml:space="preserve"> 在这些条件下，撤销后仍可能发生的旧授权提交，其时间窗口满足</w:t>
      </w:r>
    </w:p>
    <w:p>
      <w:pPr>
        <w:keepNext/>
        <w:spacing w:before="100" w:after="140"/>
        <w:jc w:val="center"/>
      </w:pPr>
      <m:oMathPara>
        <m:oMath>
          <m:r>
            <m:t>W≤</m:t>
          </m:r>
          <m:r>
            <m:rPr>
              <m:sty m:val="p"/>
            </m:rPr>
            <m:t>min</m:t>
          </m:r>
          <m:r>
            <m:t>{d,L+2ϵ}+Δ.</m:t>
          </m:r>
        </m:oMath>
      </m:oMathPara>
      <w:r>
        <w:t xml:space="preserve">   (C8)</w:t>
      </w:r>
    </w:p>
    <w:p>
      <w:r>
        <w:rPr>
          <w:b/>
        </w:rPr>
        <w:t>证明。</w:t>
      </w:r>
      <w:r>
        <w:rPr>
          <w:b w:val="0"/>
        </w:rPr>
        <w:t xml:space="preserve"> 撤销传播使最后一次接受旧授权不晚于 </w:t>
      </w:r>
      <m:oMath>
        <m:sSub>
          <m:e>
            <m:r>
              <m:t>t</m:t>
            </m:r>
          </m:e>
          <m:sub>
            <m:r>
              <m:t>r</m:t>
            </m:r>
          </m:sub>
        </m:sSub>
        <m:r>
          <m:t>+d</m:t>
        </m:r>
      </m:oMath>
      <w:r>
        <w:rPr>
          <w:b w:val="0"/>
        </w:rPr>
        <w:t xml:space="preserve">。任何撤销前签发的凭据在真实时间上的最晚可接受期限不晚于 </w:t>
      </w:r>
      <m:oMath>
        <m:sSub>
          <m:e>
            <m:r>
              <m:t>t</m:t>
            </m:r>
          </m:e>
          <m:sub>
            <m:r>
              <m:t>r</m:t>
            </m:r>
          </m:sub>
        </m:sSub>
        <m:r>
          <m:t>+L+2ϵ</m:t>
        </m:r>
      </m:oMath>
      <w:r>
        <w:rPr>
          <w:b w:val="0"/>
        </w:rPr>
        <w:t xml:space="preserve">，其中两倍时钟误差来自签发时钟偏快和判定时钟偏慢的组合。两个停止接受条件任一生效即可，因此最后接受时间受较小者限制。已经接受的动作仍可能延迟 </w:t>
      </w:r>
      <m:oMath>
        <m:r>
          <m:t>Δ</m:t>
        </m:r>
      </m:oMath>
      <w:r>
        <w:rPr>
          <w:b w:val="0"/>
        </w:rPr>
        <w:t xml:space="preserve"> 提交，得到 C8。</w:t>
      </w:r>
    </w:p>
    <w:p>
      <w:r>
        <w:rPr>
          <w:b w:val="0"/>
        </w:rPr>
        <w:t xml:space="preserve">若提交时重新检查有效期，界可以进一步收紧；若动作接受后无有限提交延迟，则 C8 无有限上界。分区使 </w:t>
      </w:r>
      <m:oMath>
        <m:r>
          <m:t>d</m:t>
        </m:r>
      </m:oMath>
      <w:r>
        <w:rPr>
          <w:b w:val="0"/>
        </w:rPr>
        <w:t xml:space="preserve"> 无界时，凭据寿命仍可限制新接受，但依赖可信时钟和不续发的前提。若只撤销目录记录而不撤销动作权限，C8 的授权前提根本没有建立。</w:t>
      </w:r>
    </w:p>
    <w:p>
      <w:r>
        <w:rPr>
          <w:b w:val="0"/>
        </w:rPr>
        <w:t xml:space="preserve">例如 </w:t>
      </w:r>
      <m:oMath>
        <m:r>
          <m:t>d=5</m:t>
        </m:r>
      </m:oMath>
      <w:r>
        <w:rPr>
          <w:b w:val="0"/>
        </w:rPr>
        <w:t xml:space="preserve"> 秒、</w:t>
      </w:r>
      <m:oMath>
        <m:r>
          <m:t>L=30</m:t>
        </m:r>
      </m:oMath>
      <w:r>
        <w:rPr>
          <w:b w:val="0"/>
        </w:rPr>
        <w:t xml:space="preserve"> 秒、</w:t>
      </w:r>
      <m:oMath>
        <m:r>
          <m:t>ϵ=0.1</m:t>
        </m:r>
      </m:oMath>
      <w:r>
        <w:rPr>
          <w:b w:val="0"/>
        </w:rPr>
        <w:t xml:space="preserve"> 秒、</w:t>
      </w:r>
      <m:oMath>
        <m:r>
          <m:t>Δ=0.5</m:t>
        </m:r>
      </m:oMath>
      <w:r>
        <w:rPr>
          <w:b w:val="0"/>
        </w:rPr>
        <w:t xml:space="preserve"> 秒，则界为 5.5 秒；分区时以寿命约束计算为 30.7 秒。这是给定参数的上界算例，不是测得的撤销延迟。</w:t>
      </w:r>
    </w:p>
    <w:p>
      <w:pPr>
        <w:pStyle w:val="Heading2"/>
      </w:pPr>
      <w:r>
        <w:rPr>
          <w:b w:val="0"/>
        </w:rPr>
        <w:t>5.2 即时撤销与分区可用性的冲突</w:t>
      </w:r>
    </w:p>
    <w:p>
      <w:r>
        <w:rPr>
          <w:b/>
        </w:rPr>
        <w:t>命题 T5。</w:t>
      </w:r>
      <w:r>
        <w:rPr>
          <w:b w:val="0"/>
        </w:rPr>
        <w:t xml:space="preserve"> 在权威方与执行者可以无限期失联的模型中，若执行者没有能区分远端是否撤销的新信息，就不能同时保证“撤销后不再提交任何新动作”和“未撤销时每个合法请求在分区期间仍能成功执行”。</w:t>
      </w:r>
    </w:p>
    <w:p>
      <w:r>
        <w:rPr>
          <w:b/>
        </w:rPr>
        <w:t>证明。</w:t>
      </w:r>
      <w:r>
        <w:rPr>
          <w:b w:val="0"/>
        </w:rPr>
        <w:t xml:space="preserve"> 构造两个在执行者处具有相同历史的世界。世界一在分区后远端撤销授权，世界二不撤销。令同一个动作请求在撤销时刻之后到达执行者。因为执行者观察不到远端事件，两世界具有相同的决定或相同的随机决定分布。若它保证在世界二执行，则也会在世界一执行，违反即时撤销；若为世界一的安全而拒绝或永久等待，则世界二不能满足完全授权可用性。证毕。</w:t>
      </w:r>
    </w:p>
    <w:p>
      <w:r>
        <w:rPr>
          <w:b w:val="0"/>
        </w:rPr>
        <w:t>这个局部不可区分证明与经典分区一致性论证相关 [7]，但本文的“可用性”特指合法动作成功执行，不是仅返回错误响应。即时撤销若要成立，需要将撤销与动作提交纳入同一可比较、不可绕过的权威顺序，或在无法取证时停止接受。版本号递增只证明已知历史不回退，不能证明执行者已经知道最新撤销。</w:t>
      </w:r>
    </w:p>
    <w:p>
      <w:pPr>
        <w:pStyle w:val="Heading1"/>
      </w:pPr>
      <w:r>
        <w:rPr>
          <w:b w:val="0"/>
        </w:rPr>
        <w:t>6 从观测证据到目标声明</w:t>
      </w:r>
    </w:p>
    <w:p>
      <w:pPr>
        <w:pStyle w:val="Heading2"/>
      </w:pPr>
      <w:r>
        <w:rPr>
          <w:b w:val="0"/>
        </w:rPr>
        <w:t>6.1 签名与真实性的层次</w:t>
      </w:r>
    </w:p>
    <w:p>
      <w:r>
        <w:rPr>
          <w:b w:val="0"/>
        </w:rPr>
        <w:t>消息签名能够支持特定消息成分的来源和完整性判定 [8]。若提供者签名声明“任务完成”，验证签名只说明该声明的来源与内容受到保护；提供者误判、传感器偏差或目标定义错误都仍可能存在。因此必须分开：消息由谁产生、记录是否被修改、测量是否可靠、目标是否真正实现。</w:t>
      </w:r>
    </w:p>
    <w:p>
      <w:pPr>
        <w:keepNext/>
      </w:pPr>
      <w:r>
        <w:rPr>
          <w:b w:val="0"/>
        </w:rPr>
        <w:t xml:space="preserve">设 </w:t>
      </w:r>
      <m:oMath>
        <m:r>
          <m:t>G</m:t>
        </m:r>
      </m:oMath>
      <w:r>
        <w:rPr>
          <w:b w:val="0"/>
        </w:rPr>
        <w:t xml:space="preserve"> 为目标实际上成立，</w:t>
      </w:r>
      <m:oMath>
        <m:r>
          <m:t>V</m:t>
        </m:r>
      </m:oMath>
      <w:r>
        <w:rPr>
          <w:b w:val="0"/>
        </w:rPr>
        <w:t xml:space="preserve"> 为验证器给出通过。令先验 </w:t>
      </w:r>
      <m:oMath>
        <m:r>
          <m:t>π=</m:t>
        </m:r>
        <m:r>
          <m:rPr>
            <m:sty m:val="p"/>
          </m:rPr>
          <m:t>Pr</m:t>
        </m:r>
        <m:r>
          <m:t>(G)</m:t>
        </m:r>
      </m:oMath>
      <w:r>
        <w:rPr>
          <w:b w:val="0"/>
        </w:rPr>
        <w:t xml:space="preserve">、检出率 </w:t>
      </w:r>
      <m:oMath>
        <m:r>
          <m:t>s=</m:t>
        </m:r>
        <m:r>
          <m:rPr>
            <m:sty m:val="p"/>
          </m:rPr>
          <m:t>Pr</m:t>
        </m:r>
        <m:r>
          <m:t>(V∣G)</m:t>
        </m:r>
      </m:oMath>
      <w:r>
        <w:rPr>
          <w:b w:val="0"/>
        </w:rPr>
        <w:t xml:space="preserve">、误通过率 </w:t>
      </w:r>
      <m:oMath>
        <m:r>
          <m:t>f=</m:t>
        </m:r>
        <m:r>
          <m:rPr>
            <m:sty m:val="p"/>
          </m:rPr>
          <m:t>Pr</m:t>
        </m:r>
        <m:r>
          <m:t>(V∣¬G)</m:t>
        </m:r>
      </m:oMath>
      <w:r>
        <w:rPr>
          <w:b w:val="0"/>
        </w:rPr>
        <w:t>。在分母为正时，贝叶斯公式给出</w:t>
      </w:r>
    </w:p>
    <w:p>
      <w:pPr>
        <w:keepNext/>
        <w:spacing w:before="100" w:after="140"/>
        <w:jc w:val="center"/>
      </w:pPr>
      <m:oMathPara>
        <m:oMath>
          <m:r>
            <m:rPr>
              <m:sty m:val="p"/>
            </m:rPr>
            <m:t>Pr</m:t>
          </m:r>
          <m:r>
            <m:t>(G∣V)=</m:t>
          </m:r>
          <m:f>
            <m:fPr>
              <m:type m:val="bar"/>
            </m:fPr>
            <m:num>
              <m:r>
                <m:t>sπ</m:t>
              </m:r>
            </m:num>
            <m:den>
              <m:r>
                <m:t>sπ+f(1−π)</m:t>
              </m:r>
            </m:den>
          </m:f>
          <m:r>
            <m:t>.</m:t>
          </m:r>
        </m:oMath>
      </m:oMathPara>
      <w:r>
        <w:t xml:space="preserve">   (C9)</w:t>
      </w:r>
    </w:p>
    <w:p>
      <w:r>
        <w:rPr>
          <w:b w:val="0"/>
        </w:rPr>
        <w:t xml:space="preserve">例如 </w:t>
      </w:r>
      <m:oMath>
        <m:r>
          <m:t>π=0.1,s=0.95,f=0.05</m:t>
        </m:r>
      </m:oMath>
      <w:r>
        <w:rPr>
          <w:b w:val="0"/>
        </w:rPr>
        <w:t>，通过后的目标真实概率约为 0.679，而非 0.95。公式是经典概率恒等式；这里的作用是指出验证器准确性、任务基准概率与“通过后可信度”不能互相替代。没有这些参数的可靠估计时，应报告未校准的证据，不能编造一个信任概率。</w:t>
      </w:r>
    </w:p>
    <w:p>
      <w:pPr>
        <w:pStyle w:val="Heading2"/>
      </w:pPr>
      <w:r>
        <w:rPr>
          <w:b w:val="0"/>
        </w:rPr>
        <w:t>6.2 多验证器之间的相关性</w:t>
      </w:r>
    </w:p>
    <w:p>
      <w:pPr>
        <w:keepNext/>
      </w:pPr>
      <w:r>
        <w:rPr>
          <w:b w:val="0"/>
        </w:rPr>
        <w:t xml:space="preserve">设目标为假时两个验证器的误通过率分别至多 </w:t>
      </w:r>
      <m:oMath>
        <m:sSub>
          <m:e>
            <m:r>
              <m:t>α</m:t>
            </m:r>
          </m:e>
          <m:sub>
            <m:r>
              <m:t>1</m:t>
            </m:r>
          </m:sub>
        </m:sSub>
        <m:r>
          <m:t>,</m:t>
        </m:r>
        <m:sSub>
          <m:e>
            <m:r>
              <m:t>α</m:t>
            </m:r>
          </m:e>
          <m:sub>
            <m:r>
              <m:t>2</m:t>
            </m:r>
          </m:sub>
        </m:sSub>
      </m:oMath>
      <w:r>
        <w:rPr>
          <w:b w:val="0"/>
        </w:rPr>
        <w:t>。无需独立假设即可得到</w:t>
      </w:r>
    </w:p>
    <w:p>
      <w:pPr>
        <w:keepNext/>
        <w:spacing w:before="100" w:after="140"/>
        <w:jc w:val="center"/>
      </w:pPr>
      <m:oMathPara>
        <m:oMath>
          <m:r>
            <m:rPr>
              <m:sty m:val="p"/>
            </m:rPr>
            <m:t>Pr</m:t>
          </m:r>
          <m:r>
            <m:t>(</m:t>
          </m:r>
          <m:sSub>
            <m:e>
              <m:r>
                <m:t>V</m:t>
              </m:r>
            </m:e>
            <m:sub>
              <m:r>
                <m:t>1</m:t>
              </m:r>
            </m:sub>
          </m:sSub>
          <m:r>
            <m:t>∩</m:t>
          </m:r>
          <m:sSub>
            <m:e>
              <m:r>
                <m:t>V</m:t>
              </m:r>
            </m:e>
            <m:sub>
              <m:r>
                <m:t>2</m:t>
              </m:r>
            </m:sub>
          </m:sSub>
          <m:r>
            <m:t>∣¬G)≤</m:t>
          </m:r>
          <m:r>
            <m:rPr>
              <m:sty m:val="p"/>
            </m:rPr>
            <m:t>min</m:t>
          </m:r>
          <m:r>
            <m:t>{</m:t>
          </m:r>
          <m:sSub>
            <m:e>
              <m:r>
                <m:t>α</m:t>
              </m:r>
            </m:e>
            <m:sub>
              <m:r>
                <m:t>1</m:t>
              </m:r>
            </m:sub>
          </m:sSub>
          <m:r>
            <m:t>,</m:t>
          </m:r>
          <m:sSub>
            <m:e>
              <m:r>
                <m:t>α</m:t>
              </m:r>
            </m:e>
            <m:sub>
              <m:r>
                <m:t>2</m:t>
              </m:r>
            </m:sub>
          </m:sSub>
          <m:r>
            <m:t>}.</m:t>
          </m:r>
        </m:oMath>
      </m:oMathPara>
      <w:r>
        <w:t xml:space="preserve">   (C10)</w:t>
      </w:r>
    </w:p>
    <w:p>
      <w:r>
        <w:rPr>
          <w:b w:val="0"/>
        </w:rPr>
        <w:t>只有在给定目标为假及相关上下文后仍条件独立，才可用概率乘积。两个验证器复制同一个错误传感器的读数时，误判可以完全相关：各为 0.05，联合仍为 0.05，而非 0.0025。增加验证器数量不等于增加独立证据；需要追踪共同数据源、模型来源和失效原因。</w:t>
      </w:r>
    </w:p>
    <w:p>
      <w:pPr>
        <w:pStyle w:val="Heading2"/>
      </w:pPr>
      <w:r>
        <w:rPr>
          <w:b w:val="0"/>
        </w:rPr>
        <w:t>6.3 多目标任务的保守声明</w:t>
      </w:r>
    </w:p>
    <w:p>
      <w:pPr>
        <w:keepNext/>
      </w:pPr>
      <w:r>
        <w:rPr>
          <w:b w:val="0"/>
        </w:rPr>
        <w:t xml:space="preserve">设复合目标为 </w:t>
      </w:r>
      <m:oMath>
        <m:r>
          <m:t>G=</m:t>
        </m:r>
        <m:nary>
          <m:naryPr>
            <m:chr m:val="⋂"/>
            <m:limLoc m:val="subSup"/>
            <m:grow m:val="1"/>
            <m:subHide m:val="off"/>
            <m:supHide m:val="on"/>
          </m:naryPr>
          <m:sub>
            <m:r>
              <m:t>i</m:t>
            </m:r>
          </m:sub>
          <m:sup/>
          <m:e>
            <m:sSub>
              <m:e>
                <m:r>
                  <m:t>G</m:t>
                </m:r>
              </m:e>
              <m:sub>
                <m:r>
                  <m:t>i</m:t>
                </m:r>
              </m:sub>
            </m:sSub>
          </m:e>
        </m:nary>
      </m:oMath>
      <w:r>
        <w:rPr>
          <w:b w:val="0"/>
        </w:rPr>
        <w:t xml:space="preserve">，全体已接受证据为 </w:t>
      </w:r>
      <m:oMath>
        <m:r>
          <m:rPr>
            <m:scr m:val="script"/>
          </m:rPr>
          <m:t>E</m:t>
        </m:r>
      </m:oMath>
      <w:r>
        <w:rPr>
          <w:b w:val="0"/>
        </w:rPr>
        <w:t xml:space="preserve">。若对每个子目标已有在同一完整证据条件下校准的失效上界 </w:t>
      </w:r>
      <m:oMath>
        <m:r>
          <m:rPr>
            <m:sty m:val="p"/>
          </m:rPr>
          <m:t>Pr</m:t>
        </m:r>
        <m:r>
          <m:t>(¬</m:t>
        </m:r>
        <m:sSub>
          <m:e>
            <m:r>
              <m:t>G</m:t>
            </m:r>
          </m:e>
          <m:sub>
            <m:r>
              <m:t>i</m:t>
            </m:r>
          </m:sub>
        </m:sSub>
        <m:r>
          <m:t>∣</m:t>
        </m:r>
        <m:r>
          <m:rPr>
            <m:scr m:val="script"/>
          </m:rPr>
          <m:t>E</m:t>
        </m:r>
        <m:r>
          <m:t>)≤</m:t>
        </m:r>
        <m:sSub>
          <m:e>
            <m:r>
              <m:t>δ</m:t>
            </m:r>
          </m:e>
          <m:sub>
            <m:r>
              <m:t>i</m:t>
            </m:r>
          </m:sub>
        </m:sSub>
      </m:oMath>
      <w:r>
        <w:rPr>
          <w:b w:val="0"/>
        </w:rPr>
        <w:t>，则</w:t>
      </w:r>
    </w:p>
    <w:p>
      <w:pPr>
        <w:keepNext/>
        <w:spacing w:before="100" w:after="140"/>
        <w:jc w:val="center"/>
      </w:pPr>
      <m:oMathPara>
        <m:oMath>
          <m:r>
            <m:rPr>
              <m:sty m:val="p"/>
            </m:rPr>
            <m:t>Pr</m:t>
          </m:r>
          <m:r>
            <m:t>(G∣</m:t>
          </m:r>
          <m:r>
            <m:rPr>
              <m:scr m:val="script"/>
            </m:rPr>
            <m:t>E</m:t>
          </m:r>
          <m:r>
            <m:t>)≥</m:t>
          </m:r>
          <m:r>
            <m:rPr>
              <m:sty m:val="p"/>
            </m:rPr>
            <m:t>max</m:t>
          </m:r>
          <m:r>
            <m:t>{0,1−</m:t>
          </m:r>
          <m:nary>
            <m:naryPr>
              <m:chr m:val="∑"/>
              <m:limLoc m:val="subSup"/>
              <m:grow m:val="1"/>
              <m:subHide m:val="off"/>
              <m:supHide m:val="on"/>
            </m:naryPr>
            <m:sub>
              <m:r>
                <m:t>i</m:t>
              </m:r>
            </m:sub>
            <m:sup/>
            <m:e>
              <m:sSub>
                <m:e>
                  <m:r>
                    <m:t>δ</m:t>
                  </m:r>
                </m:e>
                <m:sub>
                  <m:r>
                    <m:t>i</m:t>
                  </m:r>
                </m:sub>
              </m:sSub>
            </m:e>
          </m:nary>
          <m:r>
            <m:t>}.</m:t>
          </m:r>
        </m:oMath>
      </m:oMathPara>
      <w:r>
        <w:t xml:space="preserve">   (C11)</w:t>
      </w:r>
    </w:p>
    <w:p>
      <w:r>
        <w:rPr>
          <w:b/>
        </w:rPr>
        <w:t>证明。</w:t>
      </w:r>
      <w:r>
        <w:rPr>
          <w:b w:val="0"/>
        </w:rPr>
        <w:t xml:space="preserve"> </w:t>
      </w:r>
      <m:oMath>
        <m:r>
          <m:t>¬G</m:t>
        </m:r>
      </m:oMath>
      <w:r>
        <w:rPr>
          <w:b w:val="0"/>
        </w:rPr>
        <w:t xml:space="preserve"> 是子目标失效事件的并集，对同一条件概率空间应用并集界即可。该界不需要子目标独立，但通常较保守。仅有各自局部证据下的失效率，不能直接作为完整联合证据条件下的 </w:t>
      </w:r>
      <m:oMath>
        <m:sSub>
          <m:e>
            <m:r>
              <m:t>δ</m:t>
            </m:r>
          </m:e>
          <m:sub>
            <m:r>
              <m:t>i</m:t>
            </m:r>
          </m:sub>
        </m:sSub>
      </m:oMath>
      <w:r>
        <w:rPr>
          <w:b w:val="0"/>
        </w:rPr>
        <w:t>；额外证据可能改变相关性和后验分布。</w:t>
      </w:r>
    </w:p>
    <w:p>
      <w:r>
        <w:rPr>
          <w:b w:val="0"/>
        </w:rPr>
        <w:t>若某子目标缺乏上界，只能以 1 作为其最坏失效上界，整个合取目标的概率保证可能退化为 0。此时应保留已经得到支持的子目标声明，同时将整体目标标为未决，而不是对各子目标可信度取平均后宣告成功。</w:t>
      </w:r>
    </w:p>
    <w:p>
      <w:pPr>
        <w:pStyle w:val="Heading1"/>
      </w:pPr>
      <w:r>
        <w:rPr>
          <w:b w:val="0"/>
        </w:rPr>
        <w:t>7 证据依赖与未决义务</w:t>
      </w:r>
    </w:p>
    <w:p>
      <w:pPr>
        <w:pStyle w:val="Heading2"/>
      </w:pPr>
      <w:r>
        <w:rPr>
          <w:b w:val="0"/>
        </w:rPr>
        <w:t>7.1 依赖图与结论失效</w:t>
      </w:r>
    </w:p>
    <w:p>
      <w:r>
        <w:rPr>
          <w:b w:val="0"/>
        </w:rPr>
        <w:t xml:space="preserve">将证据与结论组织为有向无环图 </w:t>
      </w:r>
      <m:oMath>
        <m:sSub>
          <m:e>
            <m:r>
              <m:t>G</m:t>
            </m:r>
          </m:e>
          <m:sub>
            <m:r>
              <m:t>E</m:t>
            </m:r>
          </m:sub>
        </m:sSub>
        <m:r>
          <m:t>=(</m:t>
        </m:r>
        <m:sSub>
          <m:e>
            <m:r>
              <m:t>N</m:t>
            </m:r>
          </m:e>
          <m:sub>
            <m:r>
              <m:t>E</m:t>
            </m:r>
          </m:sub>
        </m:sSub>
        <m:r>
          <m:t>,</m:t>
        </m:r>
        <m:sSub>
          <m:e>
            <m:r>
              <m:t>E</m:t>
            </m:r>
          </m:e>
          <m:sub>
            <m:r>
              <m:t>E</m:t>
            </m:r>
          </m:sub>
        </m:sSub>
        <m:r>
          <m:t>)</m:t>
        </m:r>
      </m:oMath>
      <w:r>
        <w:rPr>
          <w:b w:val="0"/>
        </w:rPr>
        <w:t>，边从前提指向依赖它的结论。叶证据必须有明确来源、时间、作用域和接受条件。一个推导节点要求其列出的全部前提及推导规则都有效；替代证明路径应分别表示，不能混成一个含义不清的前提列表。</w:t>
      </w:r>
    </w:p>
    <w:p>
      <w:pPr>
        <w:keepNext/>
      </w:pPr>
      <w:r>
        <w:rPr>
          <w:b w:val="0"/>
        </w:rPr>
        <w:t xml:space="preserve">若节点 </w:t>
      </w:r>
      <m:oMath>
        <m:r>
          <m:t>z</m:t>
        </m:r>
      </m:oMath>
      <w:r>
        <w:rPr>
          <w:b w:val="0"/>
        </w:rPr>
        <w:t xml:space="preserve"> 的证据失效，令 </w:t>
      </w:r>
      <m:oMath>
        <m:r>
          <m:rPr>
            <m:sty m:val="p"/>
          </m:rPr>
          <m:t>Desc</m:t>
        </m:r>
        <m:r>
          <m:t>(z)</m:t>
        </m:r>
      </m:oMath>
      <w:r>
        <w:rPr>
          <w:b w:val="0"/>
        </w:rPr>
        <w:t xml:space="preserve"> 为沿依赖边可达的结论集合。其支持状态至少需要重新评估的范围为</w:t>
      </w:r>
    </w:p>
    <w:p>
      <w:pPr>
        <w:keepNext/>
        <w:spacing w:before="100" w:after="140"/>
        <w:jc w:val="center"/>
      </w:pPr>
      <m:oMathPara>
        <m:oMath>
          <m:r>
            <m:rPr>
              <m:scr m:val="script"/>
            </m:rPr>
            <m:t>I</m:t>
          </m:r>
          <m:r>
            <m:t>(z)={z}∪</m:t>
          </m:r>
          <m:r>
            <m:rPr>
              <m:sty m:val="p"/>
            </m:rPr>
            <m:t>Desc</m:t>
          </m:r>
          <m:r>
            <m:t>(z).</m:t>
          </m:r>
        </m:oMath>
      </m:oMathPara>
      <w:r>
        <w:t xml:space="preserve">   (C12)</w:t>
      </w:r>
    </w:p>
    <w:p>
      <w:r>
        <w:rPr>
          <w:b/>
        </w:rPr>
        <w:t>命题 T6。</w:t>
      </w:r>
      <w:r>
        <w:rPr>
          <w:b w:val="0"/>
        </w:rPr>
        <w:t xml:space="preserve"> 在每个结论仅依赖图中列明前提、且所有前提是合取支持的条件下，失效只需沿后继传播即可找到全部失去该证明支持的结论；不在可达集合中的结论不因这项前提变化而失去其图内支持。</w:t>
      </w:r>
    </w:p>
    <w:p>
      <w:r>
        <w:rPr>
          <w:b/>
        </w:rPr>
        <w:t>证明。</w:t>
      </w:r>
      <w:r>
        <w:rPr>
          <w:b w:val="0"/>
        </w:rPr>
        <w:t xml:space="preserve"> 依拓扑序归纳。直接依赖 </w:t>
      </w:r>
      <m:oMath>
        <m:r>
          <m:t>z</m:t>
        </m:r>
      </m:oMath>
      <w:r>
        <w:rPr>
          <w:b w:val="0"/>
        </w:rPr>
        <w:t xml:space="preserve"> 的结论首先失去一个必要前提；其后继继而失去必要支持。所有沿路径可达节点都如此传播。不可达节点的前提传递闭包不含 </w:t>
      </w:r>
      <m:oMath>
        <m:r>
          <m:t>z</m:t>
        </m:r>
      </m:oMath>
      <w:r>
        <w:rPr>
          <w:b w:val="0"/>
        </w:rPr>
        <w:t>，其支持检查不涉及该节点。存在其他独立证明时，结论可以重新取得支持。失去证明不等于实际命题变假，因而应退回未决而非自动判为失败。</w:t>
      </w:r>
    </w:p>
    <w:p>
      <w:r>
        <w:rPr>
          <w:b w:val="0"/>
        </w:rPr>
        <w:t>该规则的前提是依赖记录完整。隐藏的共享传感器、同源模型错误或遗漏的授权依赖，会让图低估传播范围。循环自我背书也不能形成独立证据；无外部可信基础的环不能通过重复引用使结论成立。</w:t>
      </w:r>
    </w:p>
    <w:p>
      <w:pPr>
        <w:pStyle w:val="Heading2"/>
      </w:pPr>
      <w:r>
        <w:rPr>
          <w:b w:val="0"/>
        </w:rPr>
        <w:t>7.2 从发现覆盖到任务义务前沿</w:t>
      </w:r>
    </w:p>
    <w:p>
      <w:r>
        <w:rPr>
          <w:b w:val="0"/>
        </w:rPr>
        <w:t>配套 RCAP 论文将尚未搜索的区域表示为未决前沿。本文提出相应的任务义务前沿：在任务依赖图上，记录尚无有效支持的必要条件。前沿可能包含未验证的能力契约、已过期的许可、未完成动作和尚未确认的目标状态。一个任务的结果声明应由已支持子图导出，不应覆盖仍依赖未决前沿的目标。</w:t>
      </w:r>
    </w:p>
    <w:p>
      <w:r>
        <w:rPr>
          <w:b w:val="0"/>
        </w:rPr>
        <w:t>两类前沿不能直接等同。发现论文的计数上界可给出候选召回下界；任务中的一个关键安全条件未决，可能阻止整个任务，即使其余 99 个条件已经满足。因此“99% 义务完成”一般不等于“99% 成功概率”。只有给定概率模型和 C11 的校准条件后，才能作概率化陈述。</w:t>
      </w:r>
    </w:p>
    <w:p>
      <w:pPr>
        <w:pStyle w:val="Heading2"/>
      </w:pPr>
      <w:r>
        <w:rPr>
          <w:b w:val="0"/>
        </w:rPr>
        <w:t>7.3 一个贯穿的协作例子</w:t>
      </w:r>
    </w:p>
    <w:p>
      <w:pPr>
        <w:keepNext/>
      </w:pPr>
      <w:r>
        <w:rPr>
          <w:b w:val="0"/>
        </w:rPr>
        <w:t xml:space="preserve">考虑目标“确认房间无人后，将温度调到指定区间并确认结果”。发现阶段找到占用检测、温度测量和温控三个候选。检测记录必须满足有效期；温控权限必须覆盖该房间、动作范围和使用时段；温度观测应包含误差界。若读数为 </w:t>
      </w:r>
      <m:oMath>
        <m:r>
          <m:t>y</m:t>
        </m:r>
      </m:oMath>
      <w:r>
        <w:rPr>
          <w:b w:val="0"/>
        </w:rPr>
        <w:t xml:space="preserve">、绝对误差至多 </w:t>
      </w:r>
      <m:oMath>
        <m:r>
          <m:t>η</m:t>
        </m:r>
      </m:oMath>
      <w:r>
        <w:rPr>
          <w:b w:val="0"/>
        </w:rPr>
        <w:t xml:space="preserve">，要保证真实温度在 </w:t>
      </w:r>
      <m:oMath>
        <m:d>
          <m:dPr>
            <m:begChr m:val="["/>
            <m:sepChr m:val=","/>
            <m:endChr m:val="]"/>
          </m:dPr>
          <m:e>
            <m:r>
              <m:t>l</m:t>
            </m:r>
          </m:e>
          <m:e>
            <m:r>
              <m:t>u</m:t>
            </m:r>
          </m:e>
        </m:d>
      </m:oMath>
      <w:r>
        <w:rPr>
          <w:b w:val="0"/>
        </w:rPr>
        <w:t xml:space="preserve"> 内，充分条件为</w:t>
      </w:r>
    </w:p>
    <w:p>
      <w:pPr>
        <w:keepNext/>
        <w:spacing w:before="100" w:after="140"/>
        <w:jc w:val="center"/>
      </w:pPr>
      <m:oMathPara>
        <m:oMath>
          <m:r>
            <m:t>[y−η,y+η]⊆[l,u].</m:t>
          </m:r>
        </m:oMath>
      </m:oMathPara>
      <w:r>
        <w:t xml:space="preserve">   (C13)</w:t>
      </w:r>
    </w:p>
    <w:p>
      <w:r>
        <w:rPr>
          <w:b w:val="0"/>
        </w:rPr>
        <w:t>例如目标区间为 20 至 24 度，读数 23.8 度、误差界 0.5 度时，不能据此确认目标成立；读数 22 度、相同误差界则满足该测量时刻的条件。若还要保证之后十分钟持续满足目标，必须加入环境变化界与后续控制条件，单次测量无法完成证明。</w:t>
      </w:r>
    </w:p>
    <w:p>
      <w:r>
        <w:rPr>
          <w:b w:val="0"/>
        </w:rPr>
        <w:t xml:space="preserve">检测无人之后可能有人进入，因而顺序组合必须处理环境关系 </w:t>
      </w:r>
      <m:oMath>
        <m:sSub>
          <m:e>
            <m:r>
              <m:t>R</m:t>
            </m:r>
          </m:e>
          <m:sub>
            <m:r>
              <m:t>e</m:t>
            </m:r>
          </m:sub>
        </m:sSub>
      </m:oMath>
      <w:r>
        <w:rPr>
          <w:b w:val="0"/>
        </w:rPr>
        <w:t>；“检测完成”本身不保持温控动作的前置条件。若占用检测后来被发现失效，依赖它的安全许可应重新评估，但已完成的温度测量并不因此成为假数据。这个例子把授权、时效、行为与结果证据放在同一因果结构中，也显示了它们不能互相替代。</w:t>
      </w:r>
    </w:p>
    <w:p>
      <w:pPr>
        <w:pStyle w:val="Heading1"/>
      </w:pPr>
      <w:r>
        <w:rPr>
          <w:b w:val="0"/>
        </w:rPr>
        <w:t>8 研究贡献与可反驳条件</w:t>
      </w:r>
    </w:p>
    <w:p>
      <w:r>
        <w:rPr>
          <w:b w:val="0"/>
        </w:rPr>
        <w:t>本文的拟议贡献是将权限路径、关系契约和证据依赖共同绑定到具体任务义务，形成可局部支持、可局部失效、可以保留未决状态的结果语义。它不是一种通用信任评分，也不是对所有智能体的自动正确性证明。已有工作分别提供了主要逻辑工具 [3–8]；框架是否带来额外研究价值，取决于以下问题。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cantSplit/>
        </w:trPr>
        <w:tc>
          <w:tcPr>
            <w:tcW w:type="dxa" w:w="3024"/>
            <w:shd w:fill="E8EDF1"/>
            <w:tcMar>
              <w:top w:w="85" w:type="dxa"/>
              <w:left w:w="85" w:type="dxa"/>
              <w:bottom w:w="85" w:type="dxa"/>
              <w:right w:w="85" w:type="dxa"/>
            </w:tcMar>
          </w:tcPr>
          <w:p>
            <w:pPr>
              <w:spacing w:after="40" w:line="252" w:lineRule="auto"/>
            </w:pPr>
            <w:r>
              <w:rPr>
                <w:b/>
                <w:sz w:val="20"/>
              </w:rPr>
              <w:t>候选主张</w:t>
            </w:r>
          </w:p>
        </w:tc>
        <w:tc>
          <w:tcPr>
            <w:tcW w:type="dxa" w:w="3096"/>
            <w:shd w:fill="E8EDF1"/>
            <w:tcMar>
              <w:top w:w="85" w:type="dxa"/>
              <w:left w:w="85" w:type="dxa"/>
              <w:bottom w:w="85" w:type="dxa"/>
              <w:right w:w="85" w:type="dxa"/>
            </w:tcMar>
          </w:tcPr>
          <w:p>
            <w:pPr>
              <w:spacing w:after="40" w:line="252" w:lineRule="auto"/>
            </w:pPr>
            <w:r>
              <w:rPr>
                <w:b/>
                <w:sz w:val="20"/>
              </w:rPr>
              <w:t>可检验内容</w:t>
            </w:r>
          </w:p>
        </w:tc>
        <w:tc>
          <w:tcPr>
            <w:tcW w:type="dxa" w:w="3816"/>
            <w:shd w:fill="E8EDF1"/>
            <w:tcMar>
              <w:top w:w="85" w:type="dxa"/>
              <w:left w:w="85" w:type="dxa"/>
              <w:bottom w:w="85" w:type="dxa"/>
              <w:right w:w="85" w:type="dxa"/>
            </w:tcMar>
          </w:tcPr>
          <w:p>
            <w:pPr>
              <w:spacing w:after="40" w:line="252" w:lineRule="auto"/>
            </w:pPr>
            <w:r>
              <w:rPr>
                <w:b/>
                <w:sz w:val="20"/>
              </w:rPr>
              <w:t>明确的失败情况</w:t>
            </w:r>
          </w:p>
        </w:tc>
      </w:tr>
      <w:tr>
        <w:trPr>
          <w:cantSplit/>
        </w:trPr>
        <w:tc>
          <w:tcPr>
            <w:tcW w:type="dxa" w:w="3024"/>
            <w:shd w:fill="FFFFFF"/>
            <w:tcMar>
              <w:top w:w="85" w:type="dxa"/>
              <w:left w:w="85" w:type="dxa"/>
              <w:bottom w:w="85" w:type="dxa"/>
              <w:right w:w="85" w:type="dxa"/>
            </w:tcMar>
          </w:tcPr>
          <w:p>
            <w:pPr>
              <w:spacing w:after="40" w:line="252" w:lineRule="auto"/>
            </w:pPr>
            <w:r>
              <w:rPr>
                <w:b w:val="0"/>
                <w:sz w:val="20"/>
              </w:rPr>
              <w:t>权限路径约束能够阻止协作放大授权</w:t>
            </w:r>
          </w:p>
        </w:tc>
        <w:tc>
          <w:tcPr>
            <w:tcW w:type="dxa" w:w="3096"/>
            <w:shd w:fill="FFFFFF"/>
            <w:tcMar>
              <w:top w:w="85" w:type="dxa"/>
              <w:left w:w="85" w:type="dxa"/>
              <w:bottom w:w="85" w:type="dxa"/>
              <w:right w:w="85" w:type="dxa"/>
            </w:tcMar>
          </w:tcPr>
          <w:p>
            <w:pPr>
              <w:spacing w:after="40" w:line="252" w:lineRule="auto"/>
            </w:pPr>
            <w:r>
              <w:rPr>
                <w:b w:val="0"/>
                <w:sz w:val="20"/>
              </w:rPr>
              <w:t>对每个实际动作追溯完整授权元组</w:t>
            </w:r>
          </w:p>
        </w:tc>
        <w:tc>
          <w:tcPr>
            <w:tcW w:type="dxa" w:w="3816"/>
            <w:shd w:fill="FFFFFF"/>
            <w:tcMar>
              <w:top w:w="85" w:type="dxa"/>
              <w:left w:w="85" w:type="dxa"/>
              <w:bottom w:w="85" w:type="dxa"/>
              <w:right w:w="85" w:type="dxa"/>
            </w:tcMar>
          </w:tcPr>
          <w:p>
            <w:pPr>
              <w:spacing w:after="40" w:line="252" w:lineRule="auto"/>
            </w:pPr>
            <w:r>
              <w:rPr>
                <w:b w:val="0"/>
                <w:sz w:val="20"/>
              </w:rPr>
              <w:t>任一动作仅靠跨凭据拼接字段获得许可</w:t>
            </w:r>
          </w:p>
        </w:tc>
      </w:tr>
      <w:tr>
        <w:trPr>
          <w:cantSplit/>
        </w:trPr>
        <w:tc>
          <w:tcPr>
            <w:tcW w:type="dxa" w:w="3024"/>
            <w:shd w:fill="F6F7F8"/>
            <w:tcMar>
              <w:top w:w="85" w:type="dxa"/>
              <w:left w:w="85" w:type="dxa"/>
              <w:bottom w:w="85" w:type="dxa"/>
              <w:right w:w="85" w:type="dxa"/>
            </w:tcMar>
          </w:tcPr>
          <w:p>
            <w:pPr>
              <w:spacing w:after="40" w:line="252" w:lineRule="auto"/>
            </w:pPr>
            <w:r>
              <w:rPr>
                <w:b w:val="0"/>
                <w:sz w:val="20"/>
              </w:rPr>
              <w:t>关系契约比输出类型更能约束替换</w:t>
            </w:r>
          </w:p>
        </w:tc>
        <w:tc>
          <w:tcPr>
            <w:tcW w:type="dxa" w:w="3096"/>
            <w:shd w:fill="F6F7F8"/>
            <w:tcMar>
              <w:top w:w="85" w:type="dxa"/>
              <w:left w:w="85" w:type="dxa"/>
              <w:bottom w:w="85" w:type="dxa"/>
              <w:right w:w="85" w:type="dxa"/>
            </w:tcMar>
          </w:tcPr>
          <w:p>
            <w:pPr>
              <w:spacing w:after="40" w:line="252" w:lineRule="auto"/>
            </w:pPr>
            <w:r>
              <w:rPr>
                <w:b w:val="0"/>
                <w:sz w:val="20"/>
              </w:rPr>
              <w:t>检查后继状态与作用包含关系</w:t>
            </w:r>
          </w:p>
        </w:tc>
        <w:tc>
          <w:tcPr>
            <w:tcW w:type="dxa" w:w="3816"/>
            <w:shd w:fill="F6F7F8"/>
            <w:tcMar>
              <w:top w:w="85" w:type="dxa"/>
              <w:left w:w="85" w:type="dxa"/>
              <w:bottom w:w="85" w:type="dxa"/>
              <w:right w:w="85" w:type="dxa"/>
            </w:tcMar>
          </w:tcPr>
          <w:p>
            <w:pPr>
              <w:spacing w:after="40" w:line="252" w:lineRule="auto"/>
            </w:pPr>
            <w:r>
              <w:rPr>
                <w:b w:val="0"/>
                <w:sz w:val="20"/>
              </w:rPr>
              <w:t>输出合格但出现旧契约禁止的作用</w:t>
            </w:r>
          </w:p>
        </w:tc>
      </w:tr>
      <w:tr>
        <w:trPr>
          <w:cantSplit/>
        </w:trPr>
        <w:tc>
          <w:tcPr>
            <w:tcW w:type="dxa" w:w="3024"/>
            <w:shd w:fill="FFFFFF"/>
            <w:tcMar>
              <w:top w:w="85" w:type="dxa"/>
              <w:left w:w="85" w:type="dxa"/>
              <w:bottom w:w="85" w:type="dxa"/>
              <w:right w:w="85" w:type="dxa"/>
            </w:tcMar>
          </w:tcPr>
          <w:p>
            <w:pPr>
              <w:spacing w:after="40" w:line="252" w:lineRule="auto"/>
            </w:pPr>
            <w:r>
              <w:rPr>
                <w:b w:val="0"/>
                <w:sz w:val="20"/>
              </w:rPr>
              <w:t>撤销窗口可由时效参数约束</w:t>
            </w:r>
          </w:p>
        </w:tc>
        <w:tc>
          <w:tcPr>
            <w:tcW w:type="dxa" w:w="3096"/>
            <w:shd w:fill="FFFFFF"/>
            <w:tcMar>
              <w:top w:w="85" w:type="dxa"/>
              <w:left w:w="85" w:type="dxa"/>
              <w:bottom w:w="85" w:type="dxa"/>
              <w:right w:w="85" w:type="dxa"/>
            </w:tcMar>
          </w:tcPr>
          <w:p>
            <w:pPr>
              <w:spacing w:after="40" w:line="252" w:lineRule="auto"/>
            </w:pPr>
            <w:r>
              <w:rPr>
                <w:b w:val="0"/>
                <w:sz w:val="20"/>
              </w:rPr>
              <w:t>在 C8 全部前提内比较最晚提交时刻</w:t>
            </w:r>
          </w:p>
        </w:tc>
        <w:tc>
          <w:tcPr>
            <w:tcW w:type="dxa" w:w="3816"/>
            <w:shd w:fill="FFFFFF"/>
            <w:tcMar>
              <w:top w:w="85" w:type="dxa"/>
              <w:left w:w="85" w:type="dxa"/>
              <w:bottom w:w="85" w:type="dxa"/>
              <w:right w:w="85" w:type="dxa"/>
            </w:tcMar>
          </w:tcPr>
          <w:p>
            <w:pPr>
              <w:spacing w:after="40" w:line="252" w:lineRule="auto"/>
            </w:pPr>
            <w:r>
              <w:rPr>
                <w:b w:val="0"/>
                <w:sz w:val="20"/>
              </w:rPr>
              <w:t>提交越界却无法指出被破坏的假设</w:t>
            </w:r>
          </w:p>
        </w:tc>
      </w:tr>
      <w:tr>
        <w:trPr>
          <w:cantSplit/>
        </w:trPr>
        <w:tc>
          <w:tcPr>
            <w:tcW w:type="dxa" w:w="3024"/>
            <w:shd w:fill="F6F7F8"/>
            <w:tcMar>
              <w:top w:w="85" w:type="dxa"/>
              <w:left w:w="85" w:type="dxa"/>
              <w:bottom w:w="85" w:type="dxa"/>
              <w:right w:w="85" w:type="dxa"/>
            </w:tcMar>
          </w:tcPr>
          <w:p>
            <w:pPr>
              <w:spacing w:after="40" w:line="252" w:lineRule="auto"/>
            </w:pPr>
            <w:r>
              <w:rPr>
                <w:b w:val="0"/>
                <w:sz w:val="20"/>
              </w:rPr>
              <w:t>依赖图支持局部结论更新</w:t>
            </w:r>
          </w:p>
        </w:tc>
        <w:tc>
          <w:tcPr>
            <w:tcW w:type="dxa" w:w="3096"/>
            <w:shd w:fill="F6F7F8"/>
            <w:tcMar>
              <w:top w:w="85" w:type="dxa"/>
              <w:left w:w="85" w:type="dxa"/>
              <w:bottom w:w="85" w:type="dxa"/>
              <w:right w:w="85" w:type="dxa"/>
            </w:tcMar>
          </w:tcPr>
          <w:p>
            <w:pPr>
              <w:spacing w:after="40" w:line="252" w:lineRule="auto"/>
            </w:pPr>
            <w:r>
              <w:rPr>
                <w:b w:val="0"/>
                <w:sz w:val="20"/>
              </w:rPr>
              <w:t>比较完整依赖闭包与受影响声明</w:t>
            </w:r>
          </w:p>
        </w:tc>
        <w:tc>
          <w:tcPr>
            <w:tcW w:type="dxa" w:w="3816"/>
            <w:shd w:fill="F6F7F8"/>
            <w:tcMar>
              <w:top w:w="85" w:type="dxa"/>
              <w:left w:w="85" w:type="dxa"/>
              <w:bottom w:w="85" w:type="dxa"/>
              <w:right w:w="85" w:type="dxa"/>
            </w:tcMar>
          </w:tcPr>
          <w:p>
            <w:pPr>
              <w:spacing w:after="40" w:line="252" w:lineRule="auto"/>
            </w:pPr>
            <w:r>
              <w:rPr>
                <w:b w:val="0"/>
                <w:sz w:val="20"/>
              </w:rPr>
              <w:t>存在隐藏前提导致必要更新遗漏</w:t>
            </w:r>
          </w:p>
        </w:tc>
      </w:tr>
      <w:tr>
        <w:trPr>
          <w:cantSplit/>
        </w:trPr>
        <w:tc>
          <w:tcPr>
            <w:tcW w:type="dxa" w:w="3024"/>
            <w:shd w:fill="FFFFFF"/>
            <w:tcMar>
              <w:top w:w="85" w:type="dxa"/>
              <w:left w:w="85" w:type="dxa"/>
              <w:bottom w:w="85" w:type="dxa"/>
              <w:right w:w="85" w:type="dxa"/>
            </w:tcMar>
          </w:tcPr>
          <w:p>
            <w:pPr>
              <w:spacing w:after="40" w:line="252" w:lineRule="auto"/>
            </w:pPr>
            <w:r>
              <w:rPr>
                <w:b w:val="0"/>
                <w:sz w:val="20"/>
              </w:rPr>
              <w:t>未决义务减少无依据的整体成功声明</w:t>
            </w:r>
          </w:p>
        </w:tc>
        <w:tc>
          <w:tcPr>
            <w:tcW w:type="dxa" w:w="3096"/>
            <w:shd w:fill="FFFFFF"/>
            <w:tcMar>
              <w:top w:w="85" w:type="dxa"/>
              <w:left w:w="85" w:type="dxa"/>
              <w:bottom w:w="85" w:type="dxa"/>
              <w:right w:w="85" w:type="dxa"/>
            </w:tcMar>
          </w:tcPr>
          <w:p>
            <w:pPr>
              <w:spacing w:after="40" w:line="252" w:lineRule="auto"/>
            </w:pPr>
            <w:r>
              <w:rPr>
                <w:b w:val="0"/>
                <w:sz w:val="20"/>
              </w:rPr>
              <w:t>对照只使用统一成功状态的语义</w:t>
            </w:r>
          </w:p>
        </w:tc>
        <w:tc>
          <w:tcPr>
            <w:tcW w:type="dxa" w:w="3816"/>
            <w:shd w:fill="FFFFFF"/>
            <w:tcMar>
              <w:top w:w="85" w:type="dxa"/>
              <w:left w:w="85" w:type="dxa"/>
              <w:bottom w:w="85" w:type="dxa"/>
              <w:right w:w="85" w:type="dxa"/>
            </w:tcMar>
          </w:tcPr>
          <w:p>
            <w:pPr>
              <w:spacing w:after="40" w:line="252" w:lineRule="auto"/>
            </w:pPr>
            <w:r>
              <w:rPr>
                <w:b w:val="0"/>
                <w:sz w:val="20"/>
              </w:rPr>
              <w:t>仍有必要目标未决却输出整体已验证</w:t>
            </w:r>
          </w:p>
        </w:tc>
      </w:tr>
    </w:tbl>
    <w:p/>
    <w:p>
      <w:r>
        <w:rPr>
          <w:b w:val="0"/>
        </w:rPr>
        <w:t>后续研究需要处理谓词表达能力与可判定性的冲突、跨域证据最小披露、物理状态抽象的误差、可信根被攻破以及概率校准随任务分布变化而失效等问题。本文没有完成模型检查、经验比较或普遍的新颖性证明。上述命题已经给出条件化论证；更强的能力需要更强的前提或新的证据，而非进一步扩大措辞。</w:t>
      </w:r>
    </w:p>
    <w:p>
      <w:pPr>
        <w:pStyle w:val="Heading1"/>
      </w:pPr>
      <w:r>
        <w:rPr>
          <w:b w:val="0"/>
        </w:rPr>
        <w:t>9 结论</w:t>
      </w:r>
    </w:p>
    <w:p>
      <w:r>
        <w:rPr>
          <w:b w:val="0"/>
        </w:rPr>
        <w:t>智能能力协作的可信性来自可追溯的权限、可组合的行为规格、明确的时间条件和与目标对应的证据。委托路径上的交集约束限制权限增长，任务动作需求的并集表达真实授权需求，关系契约解释替换和组合，证据依赖则决定哪些结论在前提变化后仍可保留。将未决义务显式留在结果中，使局部成功和整体未完成能够同时被准确表达。</w:t>
      </w:r>
    </w:p>
    <w:p>
      <w:pPr>
        <w:pStyle w:val="Heading1"/>
      </w:pPr>
      <w:r>
        <w:rPr>
          <w:b w:val="0"/>
        </w:rPr>
        <w:t>参考文献与核验说明</w:t>
      </w:r>
    </w:p>
    <w:p>
      <w:r>
        <w:rPr>
          <w:b w:val="0"/>
        </w:rPr>
        <w:t>核验日期为 2026 年 10 月 28 日。以下来源均通过官方发布页、作者机构页面或论文原文确认存在；各条后的用途说明限定其支持范围。持续更新的规范记录访问日期，经典文献不被用作本文联合框架的原创性证明。</w:t>
      </w:r>
    </w:p>
    <w:p>
      <w:r>
        <w:rPr>
          <w:b w:val="0"/>
        </w:rPr>
        <w:t xml:space="preserve">[1] Model Context Protocol. Specification, 2026-07-28. </w:t>
      </w:r>
      <w:hyperlink r:id="rId13">
        <w:r>
          <w:rPr>
            <w:color w:val="245A81"/>
          </w:rPr>
          <w:t>官方版本</w:t>
        </w:r>
      </w:hyperlink>
      <w:r>
        <w:rPr>
          <w:b w:val="0"/>
        </w:rPr>
        <w:t>. 工具交互背景。</w:t>
      </w:r>
    </w:p>
    <w:p>
      <w:r>
        <w:rPr>
          <w:b w:val="0"/>
        </w:rPr>
        <w:t xml:space="preserve">[2] A2A Project. Agent2Agent Protocol Specification. </w:t>
      </w:r>
      <w:hyperlink r:id="rId14">
        <w:r>
          <w:rPr>
            <w:color w:val="245A81"/>
          </w:rPr>
          <w:t>官方规范</w:t>
        </w:r>
      </w:hyperlink>
      <w:r>
        <w:rPr>
          <w:b w:val="0"/>
        </w:rPr>
        <w:t>. 持续更新页面，访问日期 2026-10-28；替换原稿依赖仓库内部路径的链接。</w:t>
      </w:r>
    </w:p>
    <w:p>
      <w:r>
        <w:rPr>
          <w:b w:val="0"/>
        </w:rPr>
        <w:t xml:space="preserve">[3] Rose, S.; Borchert, O.; Mitchell, S.; Connelly, S. Zero Trust Architecture. NIST SP 800-207, 2020. </w:t>
      </w:r>
      <w:hyperlink r:id="rId15">
        <w:r>
          <w:rPr>
            <w:color w:val="245A81"/>
          </w:rPr>
          <w:t>NIST 官方页面</w:t>
        </w:r>
      </w:hyperlink>
      <w:r>
        <w:rPr>
          <w:b w:val="0"/>
        </w:rPr>
        <w:t>. 访问控制原则背景，不是物理目标正确性的证明。</w:t>
      </w:r>
    </w:p>
    <w:p>
      <w:r>
        <w:rPr>
          <w:b w:val="0"/>
        </w:rPr>
        <w:t xml:space="preserve">[4] Liskov, B. H.; Wing, J. M. A Behavioral Notion of Subtyping. ACM Transactions on Programming Languages and Systems, 16(6), 1994, 1811–1841. DOI: 10.1145/197320.197383. </w:t>
      </w:r>
      <w:hyperlink r:id="rId16">
        <w:r>
          <w:rPr>
            <w:color w:val="245A81"/>
          </w:rPr>
          <w:t>作者机构论文</w:t>
        </w:r>
      </w:hyperlink>
      <w:r>
        <w:rPr>
          <w:b w:val="0"/>
        </w:rPr>
        <w:t>. 行为替换的理论基础。</w:t>
      </w:r>
    </w:p>
    <w:p>
      <w:r>
        <w:rPr>
          <w:b w:val="0"/>
        </w:rPr>
        <w:t xml:space="preserve">[5] Hoare, C. A. R. An Axiomatic Basis for Computer Programming. Communications of the ACM, 12(10), 1969, 576–580, 583. </w:t>
      </w:r>
      <w:hyperlink r:id="rId17">
        <w:r>
          <w:rPr>
            <w:color w:val="245A81"/>
          </w:rPr>
          <w:t>牛津大学作者文献目录</w:t>
        </w:r>
      </w:hyperlink>
      <w:r>
        <w:rPr>
          <w:b w:val="0"/>
        </w:rPr>
        <w:t>. 顺序组合与部分正确性的理论基础；题名、年份和页码由作者机构目录核验。</w:t>
      </w:r>
    </w:p>
    <w:p>
      <w:r>
        <w:rPr>
          <w:b w:val="0"/>
        </w:rPr>
        <w:t xml:space="preserve">[6] Birgisson, A.; Politz, J. G.; Erlingsson, Ú.; Taly, A.; Vrable, M.; Lentczner, M. Macaroons: Cookies with Contextual Caveats for Decentralized Authorization in the Cloud. NDSS, 2014. </w:t>
      </w:r>
      <w:hyperlink r:id="rId18">
        <w:r>
          <w:rPr>
            <w:color w:val="245A81"/>
          </w:rPr>
          <w:t>会议官方页面</w:t>
        </w:r>
      </w:hyperlink>
      <w:r>
        <w:rPr>
          <w:b w:val="0"/>
        </w:rPr>
        <w:t>. 约束式委托背景。</w:t>
      </w:r>
    </w:p>
    <w:p>
      <w:r>
        <w:rPr>
          <w:b w:val="0"/>
        </w:rPr>
        <w:t xml:space="preserve">[7] Gilbert, S.; Lynch, N. Brewer's Conjecture and the Feasibility of Consistent, Available, Partition-Tolerant Web Services. SIGACT News, 33(2), 2002. DOI: 10.1145/564585.564601. </w:t>
      </w:r>
      <w:hyperlink r:id="rId19">
        <w:r>
          <w:rPr>
            <w:color w:val="245A81"/>
          </w:rPr>
          <w:t>作者机构论文</w:t>
        </w:r>
      </w:hyperlink>
      <w:r>
        <w:rPr>
          <w:b w:val="0"/>
        </w:rPr>
        <w:t>. 分区与不可区分执行的相关理论。</w:t>
      </w:r>
    </w:p>
    <w:p>
      <w:r>
        <w:rPr>
          <w:b w:val="0"/>
        </w:rPr>
        <w:t xml:space="preserve">[8] Backman, A.; Richer, J.; Sporny, M. HTTP Message Signatures. RFC 9421, 2024. </w:t>
      </w:r>
      <w:hyperlink r:id="rId20">
        <w:r>
          <w:rPr>
            <w:color w:val="245A81"/>
          </w:rPr>
          <w:t>RFC Editor</w:t>
        </w:r>
      </w:hyperlink>
      <w:r>
        <w:rPr>
          <w:b w:val="0"/>
        </w:rPr>
        <w:t>. 消息来源和完整性机制的规范基础，不支持把签名当作现实效果证明。</w:t>
      </w:r>
    </w:p>
    <w:p>
      <w:r>
        <w:rPr>
          <w:b w:val="0"/>
        </w:rPr>
        <w:t>原稿中的 OpenTelemetry 与通用传输说明不再用于支撑信任论证；相关引用已移除。服务发现的规范背景集中在配套 RCAP 论文中，本篇不再重复罗列。</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20"/>
    </w:pPr>
    <w:rPr>
      <w:rFonts w:ascii="Cambria" w:hAnsi="Cambria"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cstheme="majorBidi" w:ascii="Cambria" w:hAnsi="Cambria"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cstheme="majorBidi" w:ascii="Cambria" w:hAnsi="Cambria" w:eastAsia="黑体"/>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cstheme="majorBidi" w:ascii="Cambria" w:hAnsi="Cambria"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cstheme="majorBidi" w:ascii="Cambria" w:hAnsi="Cambria" w:eastAsia="黑体"/>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cstheme="majorBidi" w:ascii="Cambria" w:hAnsi="Cambria" w:eastAsia="黑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English/ICN/Theory/ICN_Capability_Coordination_and_Trust.docx" TargetMode="External"/><Relationship Id="rId11" Type="http://schemas.openxmlformats.org/officeDocument/2006/relationships/hyperlink" Target="../../README.md" TargetMode="External"/><Relationship Id="rId12" Type="http://schemas.openxmlformats.org/officeDocument/2006/relationships/hyperlink" Target="../../RCAP/Theory/%E7%AD%96%E7%95%A5%E7%BA%A6%E6%9D%9F%E4%B8%8B%E7%9A%84%E9%80%92%E5%BD%92%E8%83%BD%E5%8A%9B%E5%8F%91%E7%8E%B0_%E8%A6%86%E7%9B%96%E8%AF%81%E6%8D%AE%E4%B8%8E%E4%B8%80%E8%87%B4%E6%80%A7%E8%BE%B9%E7%95%8C.docx" TargetMode="External"/><Relationship Id="rId13" Type="http://schemas.openxmlformats.org/officeDocument/2006/relationships/hyperlink" Target="https://modelcontextprotocol.io/specification/2026-07-28" TargetMode="External"/><Relationship Id="rId14" Type="http://schemas.openxmlformats.org/officeDocument/2006/relationships/hyperlink" Target="https://a2a-protocol.org/latest/specification/" TargetMode="External"/><Relationship Id="rId15" Type="http://schemas.openxmlformats.org/officeDocument/2006/relationships/hyperlink" Target="https://csrc.nist.gov/pubs/sp/800/207/final" TargetMode="External"/><Relationship Id="rId16" Type="http://schemas.openxmlformats.org/officeDocument/2006/relationships/hyperlink" Target="https://www.cs.cmu.edu/~wing/publications/LiskovWing94.pdf" TargetMode="External"/><Relationship Id="rId17" Type="http://schemas.openxmlformats.org/officeDocument/2006/relationships/hyperlink" Target="https://www.cs.ox.ac.uk/people/publications/date/Tony.Hoare.html" TargetMode="External"/><Relationship Id="rId18" Type="http://schemas.openxmlformats.org/officeDocument/2006/relationships/hyperlink" Target="https://www.ndss-symposium.org/ndss2014/ndss-2014-programme/macaroons-cookies-contextual-caveats-decentralized-authorization-cloud/" TargetMode="External"/><Relationship Id="rId19" Type="http://schemas.openxmlformats.org/officeDocument/2006/relationships/hyperlink" Target="https://groups.csail.mit.edu/tds/papers/Gilbert/Brewer6.pdf" TargetMode="External"/><Relationship Id="rId20" Type="http://schemas.openxmlformats.org/officeDocument/2006/relationships/hyperlink" Target="https://www.rfc-editor.org/rfc/rfc94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智能能力网络的能力协作与信任机制</dc:title>
  <dc:subject>Theoretical research paper</dc:subject>
  <dc:creator/>
  <cp:keywords/>
  <dc:description>generated by python-docx</dc:description>
  <cp:lastModifiedBy/>
  <cp:revision>1</cp:revision>
  <dcterms:created xsi:type="dcterms:W3CDTF">2013-12-23T23:15:00Z</dcterms:created>
  <dcterms:modified xsi:type="dcterms:W3CDTF">2013-12-23T23:15:00Z</dcterms:modified>
  <cp:category/>
  <dc:language>zh-CN</dc:language>
</cp:coreProperties>
</file>