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策略约束下的递归能力发现</w:t>
      </w:r>
    </w:p>
    <w:p>
      <w:pPr>
        <w:pStyle w:val="Subtitle"/>
      </w:pPr>
      <w:r>
        <w:rPr>
          <w:b w:val="0"/>
        </w:rPr>
        <w:t>ICN RCAP 的覆盖证据 预算分配与一致性边界</w:t>
      </w:r>
    </w:p>
    <w:p>
      <w:hyperlink r:id="rId10">
        <w:r>
          <w:rPr>
            <w:color w:val="245A81"/>
          </w:rPr>
          <w:t>English</w:t>
        </w:r>
      </w:hyperlink>
      <w:r>
        <w:rPr>
          <w:b w:val="0"/>
        </w:rPr>
        <w:t xml:space="preserve"> · </w:t>
      </w:r>
      <w:hyperlink r:id="rId11">
        <w:r>
          <w:rPr>
            <w:color w:val="245A81"/>
          </w:rPr>
          <w:t>中文入口</w:t>
        </w:r>
      </w:hyperlink>
    </w:p>
    <w:p>
      <w:pPr>
        <w:pStyle w:val="Heading1"/>
      </w:pPr>
      <w:r>
        <w:rPr>
          <w:b w:val="0"/>
        </w:rPr>
        <w:t>摘要</w:t>
      </w:r>
    </w:p>
    <w:p>
      <w:r>
        <w:rPr>
          <w:b w:val="0"/>
        </w:rPr>
        <w:t>异构智能节点能够声明能力，但一个递归目录返回“未找到”，并不能直接说明能力不存在。摘要遗漏、策略不可见、搜索预算不足和注册状态变化都会产生相同的表面结果。本文将 ICN 中的递归能力注册与寻址研究框架 RCAP 形式化为一个关于可见集合、覆盖证据和状态版本的发现问题。核心设想是让发现结果同时携带候选集合和可检查的未决范围，使完备性成为有明确参照集合的结论。</w:t>
      </w:r>
    </w:p>
    <w:p>
      <w:r>
        <w:rPr>
          <w:b w:val="0"/>
        </w:rPr>
        <w:t>本文给出保守摘要下的条件完备性证明，构造有损摘要无法同时保证精确否定与免于展开的反例，并推导有限预算下由剩余容量得到的召回下界。进一步给出多归属域的去重条件、概率漏报预算的凸分配模型，以及周期刷新成本的精确极值条件。贡献定位于这些条件的联合组织与推导；集合论、抽象解释、Bloom 过滤和概率链式法则本身均为既有方法。本文不报告实测性能，也不将目录证据等同于执行授权。</w:t>
      </w:r>
    </w:p>
    <w:p>
      <w:r>
        <w:rPr>
          <w:b/>
        </w:rPr>
        <w:t>关键词</w:t>
      </w:r>
      <w:r>
        <w:rPr>
          <w:b w:val="0"/>
        </w:rPr>
        <w:t>：智能能力网络；递归能力发现；保守摘要；覆盖证据；召回下界；策略快照</w:t>
      </w:r>
    </w:p>
    <w:p>
      <w:pPr>
        <w:pStyle w:val="Heading1"/>
      </w:pPr>
      <w:r>
        <w:rPr>
          <w:b w:val="0"/>
        </w:rPr>
        <w:t>1 研究问题与贡献边界</w:t>
      </w:r>
    </w:p>
    <w:p>
      <w:r>
        <w:rPr>
          <w:b w:val="0"/>
        </w:rPr>
        <w:t>本文将智能能力网络称为 Intelligent Capability Network，简称 ICN；这里的 ICN 不指以内容命名为核心的 Information Centric Networking。网络中的能力是带有输入条件、输出保证、作用范围和权属的行为契约。RCAP 保留 Recursive Capability Registration and Addressing Protocol 的研究名称，但本文讨论其数学语义，不规定报文、接口、代码或部署方式。</w:t>
      </w:r>
    </w:p>
    <w:p>
      <w:r>
        <w:rPr>
          <w:b w:val="0"/>
        </w:rPr>
        <w:t>设一个研究任务需要寻找“允许该主体访问、满足地域约束、能够提供指定测量精度”的能力。语义相似度可以排列候选，却不能证明这些硬约束成立。另一方面，拒绝向主体披露某个域的资源，也不能被解释为该域没有资源。因此，发现结论必须回答三个不同问题：针对哪个可见集合，已经排除了什么，还有什么没有得到判定。</w:t>
      </w:r>
    </w:p>
    <w:p>
      <w:r>
        <w:rPr>
          <w:b w:val="0"/>
        </w:rPr>
        <w:t>DNS 服务发现和服务绑定分别提供服务枚举与连接参数的规范基础 [1–2]。MCP 与 A2A 给出工具或智能体交互的接口语义 [3–4]。DAWN 的已有框架草案也讨论域内发现、跨域发布和策略边界 [5]。这些工作意味着“分层发现”“跨域协作”和“能力描述”不能单独构成本文的创新主张。</w:t>
      </w:r>
    </w:p>
    <w:p>
      <w:r>
        <w:rPr>
          <w:b w:val="0"/>
        </w:rPr>
        <w:t>本文拟研究的增量是：把策略快照、摘要可排除性、未决区域和剩余候选容量纳入同一发现语义；使有限预算查询能够给出可验证的召回下界；把摘要误差与状态陈旧拆开分析。后文的命题是这些定义下的推论，尚不足以证明该组织方式在全部既有文献中首次出现。其研究价值需要通过与不携带覆盖信息的递归发现进行比较来检验。</w:t>
      </w:r>
    </w:p>
    <w:p>
      <w:pPr>
        <w:pStyle w:val="Heading1"/>
      </w:pPr>
      <w:r>
        <w:rPr>
          <w:b w:val="0"/>
        </w:rPr>
        <w:t>2 对象域与统一假设</w:t>
      </w:r>
    </w:p>
    <w:p>
      <w:pPr>
        <w:pStyle w:val="Heading2"/>
      </w:pPr>
      <w:r>
        <w:rPr>
          <w:b w:val="0"/>
        </w:rPr>
        <w:t>2.1 声明集合与真实能力</w:t>
      </w:r>
    </w:p>
    <w:p>
      <w:r>
        <w:rPr>
          <w:b w:val="0"/>
        </w:rPr>
        <w:t xml:space="preserve">令 </w:t>
      </w:r>
      <m:oMath>
        <m:r>
          <m:t>D</m:t>
        </m:r>
      </m:oMath>
      <w:r>
        <w:rPr>
          <w:b w:val="0"/>
        </w:rPr>
        <w:t xml:space="preserve"> 为管理域集合，</w:t>
      </w:r>
      <m:oMath>
        <m:r>
          <m:t>I</m:t>
        </m:r>
      </m:oMath>
      <w:r>
        <w:rPr>
          <w:b w:val="0"/>
        </w:rPr>
        <w:t xml:space="preserve"> 为能力实例标识集合。实例标识在其权威拥有者内唯一，多归属的同一实例仍使用相同的规范身份。一个能力契约记为 </w:t>
      </w:r>
      <m:oMath>
        <m:r>
          <m:t>c=(i,g,</m:t>
        </m:r>
        <m:r>
          <m:rPr>
            <m:scr m:val="script"/>
          </m:rPr>
          <m:t>I</m:t>
        </m:r>
        <m:r>
          <m:t>,</m:t>
        </m:r>
        <m:r>
          <m:rPr>
            <m:scr m:val="script"/>
          </m:rPr>
          <m:t>O</m:t>
        </m:r>
        <m:r>
          <m:t>,P,E)</m:t>
        </m:r>
      </m:oMath>
      <w:r>
        <w:rPr>
          <w:b w:val="0"/>
        </w:rPr>
        <w:t>，分别表示实例、代次、输入集合、输出保证、前置条件和允许的作用。目录保存的是声明；提供者是否满足契约，是独立的证据问题。</w:t>
      </w:r>
    </w:p>
    <w:p>
      <w:pPr>
        <w:keepNext/>
      </w:pPr>
      <w:r>
        <w:rPr>
          <w:b w:val="0"/>
        </w:rPr>
        <w:t xml:space="preserve">令 </w:t>
      </w:r>
      <m:oMath>
        <m:r>
          <m:t>σ</m:t>
        </m:r>
      </m:oMath>
      <w:r>
        <w:rPr>
          <w:b w:val="0"/>
        </w:rPr>
        <w:t xml:space="preserve"> 为参与本次查询的注册快照与策略版本组成的参考切面，</w:t>
      </w:r>
      <m:oMath>
        <m:sSubSup>
          <m:e>
            <m:r>
              <m:t>C</m:t>
            </m:r>
          </m:e>
          <m:sub>
            <m:r>
              <m:t>d</m:t>
            </m:r>
          </m:sub>
          <m:sup>
            <m:r>
              <m:t>σ</m:t>
            </m:r>
          </m:sup>
        </m:sSubSup>
      </m:oMath>
      <w:r>
        <w:rPr>
          <w:b w:val="0"/>
        </w:rPr>
        <w:t xml:space="preserve"> 为域 </w:t>
      </w:r>
      <m:oMath>
        <m:r>
          <m:t>d</m:t>
        </m:r>
      </m:oMath>
      <w:r>
        <w:rPr>
          <w:b w:val="0"/>
        </w:rPr>
        <w:t xml:space="preserve"> 所负责区域在该切面上的声明集合，包含其子域的声明。内部域自身持有的声明可视为一个附属叶域，以统一递归证明。</w:t>
      </w:r>
      <m:oMath>
        <m:sSub>
          <m:e>
            <m:r>
              <m:t>V</m:t>
            </m:r>
          </m:e>
          <m:sub>
            <m:r>
              <m:t>σ</m:t>
            </m:r>
          </m:sub>
        </m:sSub>
        <m:r>
          <m:t>(u,c)</m:t>
        </m:r>
      </m:oMath>
      <w:r>
        <w:rPr>
          <w:b w:val="0"/>
        </w:rPr>
        <w:t xml:space="preserve"> 表示主体 </w:t>
      </w:r>
      <m:oMath>
        <m:r>
          <m:t>u</m:t>
        </m:r>
      </m:oMath>
      <w:r>
        <w:rPr>
          <w:b w:val="0"/>
        </w:rPr>
        <w:t xml:space="preserve"> 在至少一个有效发现上下文中可以发现该声明，</w:t>
      </w:r>
      <m:oMath>
        <m:r>
          <m:t>H(q,c)</m:t>
        </m:r>
      </m:oMath>
      <w:r>
        <w:rPr>
          <w:b w:val="0"/>
        </w:rPr>
        <w:t xml:space="preserve"> 表示声明满足查询 </w:t>
      </w:r>
      <m:oMath>
        <m:r>
          <m:t>q</m:t>
        </m:r>
      </m:oMath>
      <w:r>
        <w:rPr>
          <w:b w:val="0"/>
        </w:rPr>
        <w:t xml:space="preserve"> 的硬约束。参考答案集合定义为</w:t>
      </w:r>
    </w:p>
    <w:p>
      <w:pPr>
        <w:keepNext/>
        <w:spacing w:before="100" w:after="140"/>
        <w:jc w:val="center"/>
      </w:pPr>
      <m:oMathPara>
        <m:oMath>
          <m:sSub>
            <m:e>
              <m:r>
                <m:t>F</m:t>
              </m:r>
            </m:e>
            <m:sub>
              <m:r>
                <m:t>σ</m:t>
              </m:r>
            </m:sub>
          </m:sSub>
          <m:r>
            <m:t>(q,u)={c∈</m:t>
          </m:r>
          <m:nary>
            <m:naryPr>
              <m:chr m:val="⋃"/>
              <m:limLoc m:val="subSup"/>
              <m:grow m:val="1"/>
              <m:subHide m:val="off"/>
              <m:supHide m:val="on"/>
            </m:naryPr>
            <m:sub>
              <m:r>
                <m:t>d∈D</m:t>
              </m:r>
            </m:sub>
            <m:sup/>
            <m:e>
              <m:sSubSup>
                <m:e>
                  <m:r>
                    <m:t>C</m:t>
                  </m:r>
                </m:e>
                <m:sub>
                  <m:r>
                    <m:t>d</m:t>
                  </m:r>
                </m:sub>
                <m:sup>
                  <m:r>
                    <m:t>σ</m:t>
                  </m:r>
                </m:sup>
              </m:sSubSup>
            </m:e>
          </m:nary>
          <m:r>
            <m:t>:</m:t>
          </m:r>
          <m:sSub>
            <m:e>
              <m:r>
                <m:t>V</m:t>
              </m:r>
            </m:e>
            <m:sub>
              <m:r>
                <m:t>σ</m:t>
              </m:r>
            </m:sub>
          </m:sSub>
          <m:r>
            <m:t>(u,c)∧H(q,c)}.</m:t>
          </m:r>
        </m:oMath>
      </m:oMathPara>
      <w:r>
        <w:t xml:space="preserve">   (R1)</w:t>
      </w:r>
    </w:p>
    <w:p>
      <w:r>
        <w:rPr>
          <w:b w:val="0"/>
        </w:rPr>
        <w:t xml:space="preserve">真实可履行能力集合另记为 </w:t>
      </w:r>
      <m:oMath>
        <m:sSubSup>
          <m:e>
            <m:r>
              <m:t>F</m:t>
            </m:r>
          </m:e>
          <m:sub>
            <m:r>
              <m:t>t</m:t>
            </m:r>
          </m:sub>
          <m:sup>
            <m:r>
              <m:rPr>
                <m:sty m:val="p"/>
              </m:rPr>
              <m:t>real</m:t>
            </m:r>
          </m:sup>
        </m:sSubSup>
      </m:oMath>
      <w:r>
        <w:rPr>
          <w:b w:val="0"/>
        </w:rPr>
        <w:t xml:space="preserve">。即使返回集合等于 </w:t>
      </w:r>
      <m:oMath>
        <m:sSub>
          <m:e>
            <m:r>
              <m:t>F</m:t>
            </m:r>
          </m:e>
          <m:sub>
            <m:r>
              <m:t>σ</m:t>
            </m:r>
          </m:sub>
        </m:sSub>
      </m:oMath>
      <w:r>
        <w:rPr>
          <w:b w:val="0"/>
        </w:rPr>
        <w:t xml:space="preserve">，也不推出等于 </w:t>
      </w:r>
      <m:oMath>
        <m:sSubSup>
          <m:e>
            <m:r>
              <m:t>F</m:t>
            </m:r>
          </m:e>
          <m:sub>
            <m:r>
              <m:t>t</m:t>
            </m:r>
          </m:sub>
          <m:sup>
            <m:r>
              <m:rPr>
                <m:sty m:val="p"/>
              </m:rPr>
              <m:t>real</m:t>
            </m:r>
          </m:sup>
        </m:sSubSup>
      </m:oMath>
      <w:r>
        <w:rPr>
          <w:b w:val="0"/>
        </w:rPr>
        <w:t>。声明失真、环境变化和即时授权撤销均可破坏后一等式。这样定义避免用“目录完备”偷换“现实可用”。</w:t>
      </w:r>
    </w:p>
    <w:p>
      <w:pPr>
        <w:pStyle w:val="Heading2"/>
      </w:pPr>
      <w:r>
        <w:rPr>
          <w:b w:val="0"/>
        </w:rPr>
        <w:t>2.2 假设与适用范围</w:t>
      </w:r>
    </w:p>
    <w:p>
      <w:r>
        <w:rPr>
          <w:b/>
        </w:rPr>
        <w:t>A1 有限范围。</w:t>
      </w:r>
      <w:r>
        <w:rPr>
          <w:b w:val="0"/>
        </w:rPr>
        <w:t xml:space="preserve"> 本次查询覆盖有限个域与有限个声明。域的逻辑归属形成树，或能够通过规范身份将重叠归属归约为不重复的责任分区。</w:t>
      </w:r>
    </w:p>
    <w:p>
      <w:r>
        <w:rPr>
          <w:b/>
        </w:rPr>
        <w:t>A2 可比较的参考切面。</w:t>
      </w:r>
      <w:r>
        <w:rPr>
          <w:b w:val="0"/>
        </w:rPr>
        <w:t xml:space="preserve"> 每个声明、策略判定和摘要都绑定到同一个已指定的参考切面。切面可以是各域版本组成的向量，不自动意味着同一物理时刻的全局快照。若跨域不变量需要一致切面而无法建立，结果必须标明该限制。</w:t>
      </w:r>
    </w:p>
    <w:p>
      <w:r>
        <w:rPr>
          <w:b/>
        </w:rPr>
        <w:t>A3 可判定的匹配。</w:t>
      </w:r>
      <w:r>
        <w:rPr>
          <w:b w:val="0"/>
        </w:rPr>
        <w:t xml:space="preserve"> 硬约束在本文采用的受限谓词语言中可判定。任意自然语言意图和任意程序行为不在此假设内；无法判定的条件保留为未知。</w:t>
      </w:r>
    </w:p>
    <w:p>
      <w:r>
        <w:rPr>
          <w:b/>
        </w:rPr>
        <w:t>A4 声明与覆盖可信。</w:t>
      </w:r>
      <w:r>
        <w:rPr>
          <w:b w:val="0"/>
        </w:rPr>
        <w:t xml:space="preserve"> 域对所声明范围的成员关系、摘要上界和数量上界负责，或者存在独立可检查的完整性依据。签名仅绑定声明者，不能自动证明其没有漏报成员。</w:t>
      </w:r>
    </w:p>
    <w:p>
      <w:r>
        <w:rPr>
          <w:b/>
        </w:rPr>
        <w:t>A5 发现不授予权限。</w:t>
      </w:r>
      <w:r>
        <w:rPr>
          <w:b w:val="0"/>
        </w:rPr>
        <w:t xml:space="preserve"> 返回候选不会使主体获得执行权。能力协作中的授权、状态变化和结果证据由配套论文</w:t>
      </w:r>
      <w:hyperlink r:id="rId12">
        <w:r>
          <w:rPr>
            <w:color w:val="245A81"/>
          </w:rPr>
          <w:t>《智能能力网络的能力协作与信任机制》</w:t>
        </w:r>
      </w:hyperlink>
      <w:r>
        <w:rPr>
          <w:b w:val="0"/>
        </w:rPr>
        <w:t>处理。</w:t>
      </w:r>
    </w:p>
    <w:p>
      <w:pPr>
        <w:pStyle w:val="Heading1"/>
      </w:pPr>
      <w:r>
        <w:rPr>
          <w:b w:val="0"/>
        </w:rPr>
        <w:t>3 保守摘要与三值判定</w:t>
      </w:r>
    </w:p>
    <w:p>
      <w:pPr>
        <w:pStyle w:val="Heading2"/>
      </w:pPr>
      <w:r>
        <w:rPr>
          <w:b w:val="0"/>
        </w:rPr>
        <w:t>3.1 摘要应当保留什么</w:t>
      </w:r>
    </w:p>
    <w:p>
      <w:pPr>
        <w:keepNext/>
      </w:pPr>
      <w:r>
        <w:rPr>
          <w:b w:val="0"/>
        </w:rPr>
        <w:t xml:space="preserve">对于域 </w:t>
      </w:r>
      <m:oMath>
        <m:r>
          <m:t>d</m:t>
        </m:r>
      </m:oMath>
      <w:r>
        <w:rPr>
          <w:b w:val="0"/>
        </w:rPr>
        <w:t xml:space="preserve">，摘要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rPr>
          <w:b w:val="0"/>
        </w:rPr>
        <w:t xml:space="preserve"> 的解释集合记为 </w:t>
      </w:r>
      <m:oMath>
        <m:r>
          <m:t>γ(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t>)</m:t>
        </m:r>
      </m:oMath>
      <w:r>
        <w:rPr>
          <w:b w:val="0"/>
        </w:rPr>
        <w:t>。它可以含有并不存在的候选，但为了安全排除，需要包含该参考切面、该主体可见的全部声明：</w:t>
      </w:r>
    </w:p>
    <w:p>
      <w:pPr>
        <w:keepNext/>
        <w:spacing w:before="100" w:after="140"/>
        <w:jc w:val="center"/>
      </w:pPr>
      <m:oMathPara>
        <m:oMath>
          <m:sSubSup>
            <m:e>
              <m:r>
                <m:t>C</m:t>
              </m:r>
            </m:e>
            <m:sub>
              <m:r>
                <m:t>d</m:t>
              </m:r>
            </m:sub>
            <m:sup>
              <m:r>
                <m:t>σ,u</m:t>
              </m:r>
            </m:sup>
          </m:sSubSup>
          <m:r>
            <m:t>⊆γ(</m:t>
          </m:r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t>),</m:t>
          </m:r>
          <m:sSubSup>
            <m:e>
              <m:r>
                <m:t>C</m:t>
              </m:r>
            </m:e>
            <m:sub>
              <m:r>
                <m:t>d</m:t>
              </m:r>
            </m:sub>
            <m:sup>
              <m:r>
                <m:t>σ,u</m:t>
              </m:r>
            </m:sup>
          </m:sSubSup>
          <m:r>
            <m:t>={c∈</m:t>
          </m:r>
          <m:sSubSup>
            <m:e>
              <m:r>
                <m:t>C</m:t>
              </m:r>
            </m:e>
            <m:sub>
              <m:r>
                <m:t>d</m:t>
              </m:r>
            </m:sub>
            <m:sup>
              <m:r>
                <m:t>σ</m:t>
              </m:r>
            </m:sup>
          </m:sSubSup>
          <m:r>
            <m:t>:</m:t>
          </m:r>
          <m:sSub>
            <m:e>
              <m:r>
                <m:t>V</m:t>
              </m:r>
            </m:e>
            <m:sub>
              <m:r>
                <m:t>σ</m:t>
              </m:r>
            </m:sub>
          </m:sSub>
          <m:r>
            <m:t>(u,c)}.</m:t>
          </m:r>
        </m:oMath>
      </m:oMathPara>
      <w:r>
        <w:t xml:space="preserve">   (R2)</w:t>
      </w:r>
    </w:p>
    <w:p>
      <w:r>
        <w:rPr>
          <w:b w:val="0"/>
        </w:rPr>
        <w:t>这采用抽象解释中保守过近似的思路 [6]。本文不把任意向量嵌入视为满足式 R2 的摘要；语义嵌入通常只有经验召回，缺少逐查询的集合包含保证。</w:t>
      </w:r>
    </w:p>
    <w:p>
      <w:pPr>
        <w:keepNext/>
      </w:pPr>
      <w:r>
        <w:rPr>
          <w:b w:val="0"/>
        </w:rPr>
        <w:t xml:space="preserve">令 </w:t>
      </w:r>
      <m:oMath>
        <m:sSub>
          <m:e>
            <m:r>
              <m:t>Q</m:t>
            </m:r>
          </m:e>
          <m:sub>
            <m:r>
              <m:t>q</m:t>
            </m:r>
          </m:sub>
        </m:sSub>
        <m:r>
          <m:t>={c:H(q,c)}</m:t>
        </m:r>
      </m:oMath>
      <w:r>
        <w:rPr>
          <w:b w:val="0"/>
        </w:rPr>
        <w:t>。只有在覆盖、版本与策略作用域均有效，且下式成立时，才能据摘要排除一个域：</w:t>
      </w:r>
    </w:p>
    <w:p>
      <w:pPr>
        <w:keepNext/>
        <w:spacing w:before="100" w:after="140"/>
        <w:jc w:val="center"/>
      </w:pPr>
      <m:oMathPara>
        <m:oMath>
          <m:r>
            <m:t>γ(</m:t>
          </m:r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t>)∩</m:t>
          </m:r>
          <m:sSub>
            <m:e>
              <m:r>
                <m:t>Q</m:t>
              </m:r>
            </m:e>
            <m:sub>
              <m:r>
                <m:t>q</m:t>
              </m:r>
            </m:sub>
          </m:sSub>
          <m:r>
            <m:t>=∅.</m:t>
          </m:r>
        </m:oMath>
      </m:oMathPara>
      <w:r>
        <w:t xml:space="preserve">   (R3)</w:t>
      </w:r>
    </w:p>
    <w:p>
      <w:r>
        <w:rPr>
          <w:b w:val="0"/>
        </w:rPr>
        <w:t>由 R2 可立即推出该域实际可见声明也不满足查询。结果使用三种语义：已验证的匹配见证、已验证的空集、未决。摘要可能匹配但尚未取得具体声明时属于未决；过期摘要、无法比较的策略版本和拒绝披露也属于未决，而非空集。</w:t>
      </w:r>
    </w:p>
    <w:p>
      <w:pPr>
        <w:pStyle w:val="Heading2"/>
      </w:pPr>
      <w:r>
        <w:rPr>
          <w:b w:val="0"/>
        </w:rPr>
        <w:t>3.2 条件完备性</w:t>
      </w:r>
    </w:p>
    <w:p>
      <w:r>
        <w:rPr>
          <w:b/>
        </w:rPr>
        <w:t>命题 D1。</w:t>
      </w:r>
      <w:r>
        <w:rPr>
          <w:b w:val="0"/>
        </w:rPr>
        <w:t xml:space="preserve"> 在 A1–A4 下，若每个叶域进行精确匹配，所有满足 R3 的域才被排除，所有其他分支最终被展开且响应到达，则返回集合恰为 </w:t>
      </w:r>
      <m:oMath>
        <m:sSub>
          <m:e>
            <m:r>
              <m:t>F</m:t>
            </m:r>
          </m:e>
          <m:sub>
            <m:r>
              <m:t>σ</m:t>
            </m:r>
          </m:sub>
        </m:sSub>
      </m:oMath>
      <w:r>
        <w:rPr>
          <w:b w:val="0"/>
        </w:rPr>
        <w:t>。</w:t>
      </w:r>
    </w:p>
    <w:p>
      <w:r>
        <w:rPr>
          <w:b/>
        </w:rPr>
        <w:t>证明。</w:t>
      </w:r>
      <w:r>
        <w:rPr>
          <w:b w:val="0"/>
        </w:rPr>
        <w:t xml:space="preserve"> 先证不产生额外答案：每个返回见证都经过叶域的可见性和硬约束判定，因此属于 </w:t>
      </w:r>
      <m:oMath>
        <m:sSub>
          <m:e>
            <m:r>
              <m:t>F</m:t>
            </m:r>
          </m:e>
          <m:sub>
            <m:r>
              <m:t>σ</m:t>
            </m:r>
          </m:sub>
        </m:sSub>
      </m:oMath>
      <w:r>
        <w:rPr>
          <w:b w:val="0"/>
        </w:rPr>
        <w:t xml:space="preserve">。再任取 </w:t>
      </w:r>
      <m:oMath>
        <m:r>
          <m:t>c∈</m:t>
        </m:r>
        <m:sSub>
          <m:e>
            <m:r>
              <m:t>F</m:t>
            </m:r>
          </m:e>
          <m:sub>
            <m:r>
              <m:t>σ</m:t>
            </m:r>
          </m:sub>
        </m:sSub>
      </m:oMath>
      <w:r>
        <w:rPr>
          <w:b w:val="0"/>
        </w:rPr>
        <w:t xml:space="preserve">。沿根到其责任叶域的路径，式 R2 保证每个祖先摘要的解释集合都包含 </w:t>
      </w:r>
      <m:oMath>
        <m:r>
          <m:t>c</m:t>
        </m:r>
      </m:oMath>
      <w:r>
        <w:rPr>
          <w:b w:val="0"/>
        </w:rPr>
        <w:t xml:space="preserve">；又因 </w:t>
      </w:r>
      <m:oMath>
        <m:r>
          <m:t>c∈</m:t>
        </m:r>
        <m:sSub>
          <m:e>
            <m:r>
              <m:t>Q</m:t>
            </m:r>
          </m:e>
          <m:sub>
            <m:r>
              <m:t>q</m:t>
            </m:r>
          </m:sub>
        </m:sSub>
      </m:oMath>
      <w:r>
        <w:rPr>
          <w:b w:val="0"/>
        </w:rPr>
        <w:t xml:space="preserve">，这些祖先都不能满足 R3。因此该路径不被排除，并最终到达叶域，叶域返回 </w:t>
      </w:r>
      <m:oMath>
        <m:r>
          <m:t>c</m:t>
        </m:r>
      </m:oMath>
      <w:r>
        <w:rPr>
          <w:b w:val="0"/>
        </w:rPr>
        <w:t>。两方向包含关系共同证明相等。多归属时先按责任分区归约，再采用同样的论证。</w:t>
      </w:r>
    </w:p>
    <w:p>
      <w:pPr>
        <w:keepNext/>
      </w:pPr>
      <w:r>
        <w:rPr>
          <w:b w:val="0"/>
        </w:rPr>
        <w:t xml:space="preserve">证明中的“最终被展开”是必要条件。如果查询停止于预算耗尽或响应丢失，结论下降为部分结果。有限深度只限制单条路径长度，不能自动保证总访问量小；分支数为 </w:t>
      </w:r>
      <m:oMath>
        <m:r>
          <m:t>b&gt;1</m:t>
        </m:r>
      </m:oMath>
      <w:r>
        <w:rPr>
          <w:b w:val="0"/>
        </w:rPr>
        <w:t xml:space="preserve">、高度为 </w:t>
      </w:r>
      <m:oMath>
        <m:r>
          <m:t>h</m:t>
        </m:r>
      </m:oMath>
      <w:r>
        <w:rPr>
          <w:b w:val="0"/>
        </w:rPr>
        <w:t xml:space="preserve"> 的完整树具有</w:t>
      </w:r>
    </w:p>
    <w:p>
      <w:pPr>
        <w:keepNext/>
        <w:spacing w:before="100" w:after="140"/>
        <w:jc w:val="center"/>
      </w:pPr>
      <m:oMathPara>
        <m:oMath>
          <m:r>
            <m:t>N=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j=0</m:t>
              </m:r>
            </m:sub>
            <m:sup>
              <m:r>
                <m:t>h</m:t>
              </m:r>
            </m:sup>
            <m:e>
              <m:sSup>
                <m:e>
                  <m:r>
                    <m:t>b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h+1</m:t>
                  </m:r>
                </m:sup>
              </m:sSup>
              <m:r>
                <m:t>−1</m:t>
              </m:r>
            </m:num>
            <m:den>
              <m:r>
                <m:t>b−1</m:t>
              </m:r>
            </m:den>
          </m:f>
          <m:r>
            <m:t>.</m:t>
          </m:r>
        </m:oMath>
      </m:oMathPara>
      <w:r>
        <w:t xml:space="preserve">   (R4)</w:t>
      </w:r>
    </w:p>
    <w:p>
      <w:r>
        <w:rPr>
          <w:b w:val="0"/>
        </w:rPr>
        <w:t xml:space="preserve">当 </w:t>
      </w:r>
      <m:oMath>
        <m:r>
          <m:t>b=1</m:t>
        </m:r>
      </m:oMath>
      <w:r>
        <w:rPr>
          <w:b w:val="0"/>
        </w:rPr>
        <w:t xml:space="preserve"> 时节点数为 </w:t>
      </w:r>
      <m:oMath>
        <m:r>
          <m:t>h+1</m:t>
        </m:r>
      </m:oMath>
      <w:r>
        <w:rPr>
          <w:b w:val="0"/>
        </w:rPr>
        <w:t>。因此不能把层数对数增长误写成任意查询的对数总成本。</w:t>
      </w:r>
    </w:p>
    <w:p>
      <w:pPr>
        <w:pStyle w:val="Heading2"/>
      </w:pPr>
      <w:r>
        <w:rPr>
          <w:b w:val="0"/>
        </w:rPr>
        <w:t>3.3 摘要信息损失的下界</w:t>
      </w:r>
    </w:p>
    <w:p>
      <w:r>
        <w:rPr>
          <w:b/>
        </w:rPr>
        <w:t>命题 D2。</w:t>
      </w:r>
      <w:r>
        <w:rPr>
          <w:b w:val="0"/>
        </w:rPr>
        <w:t xml:space="preserve"> 若摘要映射 </w:t>
      </w:r>
      <m:oMath>
        <m:r>
          <m:t>α</m:t>
        </m:r>
      </m:oMath>
      <w:r>
        <w:rPr>
          <w:b w:val="0"/>
        </w:rPr>
        <w:t xml:space="preserve"> 将两个状态 </w:t>
      </w:r>
      <m:oMath>
        <m:r>
          <m:t>C</m:t>
        </m:r>
      </m:oMath>
      <w:r>
        <w:rPr>
          <w:b w:val="0"/>
        </w:rPr>
        <w:t xml:space="preserve"> 和 </w:t>
      </w:r>
      <m:oMath>
        <m:r>
          <m:t>C'</m:t>
        </m:r>
      </m:oMath>
      <w:r>
        <w:rPr>
          <w:b w:val="0"/>
        </w:rPr>
        <w:t xml:space="preserve"> 映射为相同摘要，但某查询在 </w:t>
      </w:r>
      <m:oMath>
        <m:r>
          <m:t>C</m:t>
        </m:r>
      </m:oMath>
      <w:r>
        <w:rPr>
          <w:b w:val="0"/>
        </w:rPr>
        <w:t xml:space="preserve"> 中无答案、在 </w:t>
      </w:r>
      <m:oMath>
        <m:r>
          <m:t>C'</m:t>
        </m:r>
      </m:oMath>
      <w:r>
        <w:rPr>
          <w:b w:val="0"/>
        </w:rPr>
        <w:t xml:space="preserve"> 中有答案，则仅观察该摘要的确定性判定器，无法同时对两状态给出正确的精确存在性答案。</w:t>
      </w:r>
    </w:p>
    <w:p>
      <w:r>
        <w:rPr>
          <w:b/>
        </w:rPr>
        <w:t>证明。</w:t>
      </w:r>
      <w:r>
        <w:rPr>
          <w:b w:val="0"/>
        </w:rPr>
        <w:t xml:space="preserve"> 判定器输入完全相同，输出必相同；两个正确答案不同，故至少一个输出错误。若要求不漏报，只能对这对状态保留可能性，并在至少一个本来为空的状态上继续取证或展开。随机化也不能保证两状态都以概率 1 正确，因为相同输入产生相同输出分布。</w:t>
      </w:r>
    </w:p>
    <w:p>
      <w:r>
        <w:rPr>
          <w:b w:val="0"/>
        </w:rPr>
        <w:t>该命题并非声称所有压缩都丢失所需信息。对有限查询族，摘要可以精确保留该查询族的充分统计量。真正的边界是摘要区分不了、但查询必须区分的状态对。</w:t>
      </w:r>
    </w:p>
    <w:p>
      <w:pPr>
        <w:pStyle w:val="Heading2"/>
      </w:pPr>
      <w:r>
        <w:rPr>
          <w:b w:val="0"/>
        </w:rPr>
        <w:t>3.4 Bloom 摘要的准确定位</w:t>
      </w:r>
    </w:p>
    <w:p>
      <w:pPr>
        <w:keepNext/>
      </w:pPr>
      <w:r>
        <w:rPr>
          <w:b w:val="0"/>
        </w:rPr>
        <w:t>对于仅插入、规范化一致的静态标签集合，Bloom 过滤器不会否定已插入标签；在理想均匀散列和常用独立近似下，其误报率为 [7]</w:t>
      </w:r>
    </w:p>
    <w:p>
      <w:pPr>
        <w:keepNext/>
        <w:spacing w:before="100" w:after="140"/>
        <w:jc w:val="center"/>
      </w:pPr>
      <m:oMathPara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fp</m:t>
              </m:r>
            </m:sub>
          </m:sSub>
          <m:r>
            <m:t>≈(1−</m:t>
          </m:r>
          <m:sSup>
            <m:e>
              <m:r>
                <m:t>e</m:t>
              </m:r>
            </m:e>
            <m:sup>
              <m:r>
                <m:t>−kn/m</m:t>
              </m:r>
            </m:sup>
          </m:sSup>
          <m:sSup>
            <m:e>
              <m:r>
                <m:t>)</m:t>
              </m:r>
            </m:e>
            <m:sup>
              <m:r>
                <m:t>k</m:t>
              </m:r>
            </m:sup>
          </m:sSup>
          <m:r>
            <m:t>,</m:t>
          </m:r>
          <m:sSup>
            <m:e>
              <m:r>
                <m:t>k</m:t>
              </m:r>
            </m:e>
            <m:sup>
              <m:r>
                <m:t>∗</m:t>
              </m:r>
            </m:sup>
          </m:sSup>
          <m:r>
            <m:t>≈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2.</m:t>
          </m:r>
        </m:oMath>
      </m:oMathPara>
      <w:r>
        <w:t xml:space="preserve">   (R5)</w:t>
      </w:r>
    </w:p>
    <w:p>
      <m:oMath>
        <m:r>
          <m:t>m</m:t>
        </m:r>
      </m:oMath>
      <w:r>
        <w:rPr>
          <w:b w:val="0"/>
        </w:rPr>
        <w:t xml:space="preserve"> 为位数，</w:t>
      </w:r>
      <m:oMath>
        <m:r>
          <m:t>n</m:t>
        </m:r>
      </m:oMath>
      <w:r>
        <w:rPr>
          <w:b w:val="0"/>
        </w:rPr>
        <w:t xml:space="preserve"> 为不同标签数，</w:t>
      </w:r>
      <m:oMath>
        <m:r>
          <m:t>k</m:t>
        </m:r>
      </m:oMath>
      <w:r>
        <w:rPr>
          <w:b w:val="0"/>
        </w:rPr>
        <w:t xml:space="preserve"> 为散列函数数；最优 </w:t>
      </w:r>
      <m:oMath>
        <m:r>
          <m:t>k</m:t>
        </m:r>
      </m:oMath>
      <w:r>
        <w:rPr>
          <w:b w:val="0"/>
        </w:rPr>
        <w:t xml:space="preserve"> 还需取整数。这个经典结论不是本文贡献。新增声明尚未进入摘要时，对新标签的否定可能漏报；直接清除共享位也可漏报。Bloom 的同一快照无漏报性质，因而不能替代 R2 的覆盖前提，更不能证明数值约束、复合谓词或执行能力。</w:t>
      </w:r>
    </w:p>
    <w:p>
      <w:pPr>
        <w:pStyle w:val="Heading1"/>
      </w:pPr>
      <w:r>
        <w:rPr>
          <w:b w:val="0"/>
        </w:rPr>
        <w:t>4 覆盖证据与有限预算的召回下界</w:t>
      </w:r>
    </w:p>
    <w:p>
      <w:pPr>
        <w:pStyle w:val="Heading2"/>
      </w:pPr>
      <w:r>
        <w:rPr>
          <w:b w:val="0"/>
        </w:rPr>
        <w:t>4.1 结果应携带未决范围</w:t>
      </w:r>
    </w:p>
    <w:p>
      <w:r>
        <w:rPr>
          <w:b w:val="0"/>
        </w:rPr>
        <w:t xml:space="preserve">本文提出把一次发现结果表示为 </w:t>
      </w:r>
      <m:oMath>
        <m:r>
          <m:rPr>
            <m:scr m:val="script"/>
          </m:rPr>
          <m:t>R</m:t>
        </m:r>
        <m:r>
          <m:t>=(R,</m:t>
        </m:r>
        <m:r>
          <m:rPr>
            <m:scr m:val="script"/>
          </m:rPr>
          <m:t>Z</m:t>
        </m:r>
        <m:r>
          <m:t>,</m:t>
        </m:r>
        <m:r>
          <m:rPr>
            <m:scr m:val="script"/>
          </m:rPr>
          <m:t>U</m:t>
        </m:r>
        <m:r>
          <m:t>,σ)</m:t>
        </m:r>
      </m:oMath>
      <w:r>
        <w:rPr>
          <w:b w:val="0"/>
        </w:rPr>
        <w:t>。</w:t>
      </w:r>
      <m:oMath>
        <m:r>
          <m:t>R</m:t>
        </m:r>
      </m:oMath>
      <w:r>
        <w:rPr>
          <w:b w:val="0"/>
        </w:rPr>
        <w:t xml:space="preserve"> 是已验证的匹配声明；</w:t>
      </w:r>
      <m:oMath>
        <m:r>
          <m:rPr>
            <m:scr m:val="script"/>
          </m:rPr>
          <m:t>Z</m:t>
        </m:r>
      </m:oMath>
      <w:r>
        <w:rPr>
          <w:b w:val="0"/>
        </w:rPr>
        <w:t xml:space="preserve"> 是已证明无匹配的区域；</w:t>
      </w:r>
      <m:oMath>
        <m:r>
          <m:rPr>
            <m:scr m:val="script"/>
          </m:rPr>
          <m:t>U</m:t>
        </m:r>
      </m:oMath>
      <w:r>
        <w:rPr>
          <w:b w:val="0"/>
        </w:rPr>
        <w:t xml:space="preserve"> 是尚未完成判定的前沿区域；三者所指的责任范围须合起来覆盖本次查询的授权范围。每个区域证据绑定查询谓词、主体策略作用域、参考版本及覆盖关系。证据的内容是可检查的逻辑义务，并不预设一种新的密码学证明系统。</w:t>
      </w:r>
    </w:p>
    <w:p>
      <w:r>
        <w:rPr>
          <w:b w:val="0"/>
        </w:rPr>
        <w:t>这一区分改变空结果的含义：</w:t>
      </w:r>
      <m:oMath>
        <m:r>
          <m:t>R=∅</m:t>
        </m:r>
      </m:oMath>
      <w:r>
        <w:rPr>
          <w:b w:val="0"/>
        </w:rPr>
        <w:t xml:space="preserve"> 且 </w:t>
      </w:r>
      <m:oMath>
        <m:r>
          <m:rPr>
            <m:scr m:val="script"/>
          </m:rPr>
          <m:t>U</m:t>
        </m:r>
        <m:r>
          <m:t>=∅</m:t>
        </m:r>
      </m:oMath>
      <w:r>
        <w:rPr>
          <w:b w:val="0"/>
        </w:rPr>
        <w:t xml:space="preserve"> 才能宣告参考范围内无答案；</w:t>
      </w:r>
      <m:oMath>
        <m:r>
          <m:t>R=∅</m:t>
        </m:r>
      </m:oMath>
      <w:r>
        <w:rPr>
          <w:b w:val="0"/>
        </w:rPr>
        <w:t xml:space="preserve"> 但仍有未决区域时，只能宣告本次查询尚未发现答案。为保护隐私，未决区域可以只暴露授权范围内的粗粒度代号；不能为了计算覆盖率而披露主体无权知道的域或实例数。</w:t>
      </w:r>
    </w:p>
    <w:p>
      <w:pPr>
        <w:pStyle w:val="Heading2"/>
      </w:pPr>
      <w:r>
        <w:rPr>
          <w:b w:val="0"/>
        </w:rPr>
        <w:t>4.2 计数上界导出的证书</w:t>
      </w:r>
    </w:p>
    <w:p>
      <w:r>
        <w:rPr>
          <w:b w:val="0"/>
        </w:rPr>
        <w:t xml:space="preserve">假定 </w:t>
      </w:r>
      <m:oMath>
        <m:r>
          <m:t>R</m:t>
        </m:r>
      </m:oMath>
      <w:r>
        <w:rPr>
          <w:b w:val="0"/>
        </w:rPr>
        <w:t xml:space="preserve"> 已按规范身份去重，</w:t>
      </w:r>
      <m:oMath>
        <m:r>
          <m:t>r=|R|</m:t>
        </m:r>
      </m:oMath>
      <w:r>
        <w:rPr>
          <w:b w:val="0"/>
        </w:rPr>
        <w:t xml:space="preserve">。每个未决区域 </w:t>
      </w:r>
      <m:oMath>
        <m:r>
          <m:t>j</m:t>
        </m:r>
      </m:oMath>
      <w:r>
        <w:rPr>
          <w:b w:val="0"/>
        </w:rPr>
        <w:t xml:space="preserve"> 提供一个有效上界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rPr>
          <w:b w:val="0"/>
        </w:rPr>
        <w:t xml:space="preserve">，限制该区域尚未返回的匹配实例数量。上界可以来自完整的可见声明数，允许高估，不能用经验均值替代。令 </w:t>
      </w:r>
      <m:oMath>
        <m:r>
          <m:t>U=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</m:oMath>
      <w:r>
        <w:rPr>
          <w:b w:val="0"/>
        </w:rPr>
        <w:t>；若区域重叠，求和仍是保守上界，只会降低紧致程度。</w:t>
      </w:r>
    </w:p>
    <w:p>
      <w:pPr>
        <w:keepNext/>
      </w:pPr>
      <w:r>
        <w:rPr>
          <w:b/>
        </w:rPr>
        <w:t>命题 D3。</w:t>
      </w:r>
      <w:r>
        <w:rPr>
          <w:b w:val="0"/>
        </w:rPr>
        <w:t xml:space="preserve"> 对非空参考答案集合，在 A1–A4 及上述上界成立时，真实召回率满足</w:t>
      </w:r>
    </w:p>
    <w:p>
      <w:pPr>
        <w:keepNext/>
        <w:spacing w:before="100" w:after="140"/>
        <w:jc w:val="center"/>
      </w:pPr>
      <m:oMathPara>
        <m:oMath>
          <m:r>
            <m:rPr>
              <m:sty m:val="p"/>
            </m:rPr>
            <m:t>Recall</m:t>
          </m:r>
          <m: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d>
            </m:den>
          </m:f>
          <m:r>
            <m:t>≥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r+U</m:t>
              </m:r>
            </m:den>
          </m:f>
          <m:r>
            <m:t>=L.</m:t>
          </m:r>
        </m:oMath>
      </m:oMathPara>
      <w:r>
        <w:t xml:space="preserve">   (R6)</w:t>
      </w:r>
    </w:p>
    <w:p>
      <w:r>
        <w:rPr>
          <w:b/>
        </w:rPr>
        <w:t>证明。</w:t>
      </w:r>
      <w:r>
        <w:rPr>
          <w:b w:val="0"/>
        </w:rPr>
        <w:t xml:space="preserve"> 每个未返回的正确答案都位于至少一个未决区域，否则覆盖划分不完整。由各区域上界及并集的计数次可加性，未返回答案总数不大于 </w:t>
      </w:r>
      <m:oMath>
        <m:r>
          <m:t>U</m:t>
        </m:r>
      </m:oMath>
      <w:r>
        <w:rPr>
          <w:b w:val="0"/>
        </w:rPr>
        <w:t xml:space="preserve">。因此 </w:t>
      </w:r>
      <m:oMath>
        <m:r>
          <m:t>|</m:t>
        </m:r>
        <m:sSub>
          <m:e>
            <m:r>
              <m:t>F</m:t>
            </m:r>
          </m:e>
          <m:sub>
            <m:r>
              <m:t>σ</m:t>
            </m:r>
          </m:sub>
        </m:sSub>
        <m:r>
          <m:t>|≤r+U</m:t>
        </m:r>
      </m:oMath>
      <w:r>
        <w:rPr>
          <w:b w:val="0"/>
        </w:rPr>
        <w:t xml:space="preserve">，除以正分母即得结论。若 </w:t>
      </w:r>
      <m:oMath>
        <m:r>
          <m:t>r=0</m:t>
        </m:r>
      </m:oMath>
      <w:r>
        <w:rPr>
          <w:b w:val="0"/>
        </w:rPr>
        <w:t xml:space="preserve"> 且 </w:t>
      </w:r>
      <m:oMath>
        <m:r>
          <m:t>U&gt;0</m:t>
        </m:r>
      </m:oMath>
      <w:r>
        <w:rPr>
          <w:b w:val="0"/>
        </w:rPr>
        <w:t xml:space="preserve">，下界为 0；若两者均为 0，证据证明参考集合为空，召回率不按 </w:t>
      </w:r>
      <m:oMath>
        <m:f>
          <m:fPr>
            <m:type m:val="lin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b w:val="0"/>
        </w:rPr>
        <w:t xml:space="preserve"> 定义，而报告空集完备。</w:t>
      </w:r>
    </w:p>
    <w:p>
      <w:r>
        <w:rPr>
          <w:b w:val="0"/>
        </w:rPr>
        <w:t>若某未决区域没有有限上界，只能给出平凡下界 0，不能用零代替未知上界。若新发现的区域原先没有被覆盖，旧证书无效。若策略或版本发生变化，应重新绑定证书，而不能沿用较早的下界。</w:t>
      </w:r>
    </w:p>
    <w:p>
      <w:pPr>
        <w:pStyle w:val="Heading2"/>
      </w:pPr>
      <w:r>
        <w:rPr>
          <w:b w:val="0"/>
        </w:rPr>
        <w:t>4.3 精化单调性与停止条件</w:t>
      </w:r>
    </w:p>
    <w:p>
      <w:r>
        <w:rPr>
          <w:b/>
        </w:rPr>
        <w:t>命题 D4。</w:t>
      </w:r>
      <w:r>
        <w:rPr>
          <w:b w:val="0"/>
        </w:rPr>
        <w:t xml:space="preserve"> 在同一参考切面上，展开一个上界为 </w:t>
      </w:r>
      <m:oMath>
        <m:r>
          <m:t>u</m:t>
        </m:r>
      </m:oMath>
      <w:r>
        <w:rPr>
          <w:b w:val="0"/>
        </w:rPr>
        <w:t xml:space="preserve"> 的未决区域，得到 </w:t>
      </w:r>
      <m:oMath>
        <m:r>
          <m:t>k</m:t>
        </m:r>
      </m:oMath>
      <w:r>
        <w:rPr>
          <w:b w:val="0"/>
        </w:rPr>
        <w:t xml:space="preserve"> 个新的去重匹配见证和剩余上界 </w:t>
      </w:r>
      <m:oMath>
        <m:r>
          <m:t>u'</m:t>
        </m:r>
      </m:oMath>
      <w:r>
        <w:rPr>
          <w:b w:val="0"/>
        </w:rPr>
        <w:t xml:space="preserve">。若精化证据保证 </w:t>
      </w:r>
      <m:oMath>
        <m:r>
          <m:t>k+u'≤u</m:t>
        </m:r>
      </m:oMath>
      <w:r>
        <w:rPr>
          <w:b w:val="0"/>
        </w:rPr>
        <w:t>，则式 R6 的下界不下降。</w:t>
      </w:r>
    </w:p>
    <w:p>
      <w:r>
        <w:rPr>
          <w:b/>
        </w:rPr>
        <w:t>证明。</w:t>
      </w:r>
      <w:r>
        <w:rPr>
          <w:b w:val="0"/>
        </w:rPr>
        <w:t xml:space="preserve"> 精化后 </w:t>
      </w:r>
      <m:oMath>
        <m:r>
          <m:t>r'=r+k</m:t>
        </m:r>
      </m:oMath>
      <w:r>
        <w:rPr>
          <w:b w:val="0"/>
        </w:rPr>
        <w:t>，</w:t>
      </w:r>
      <m:oMath>
        <m:r>
          <m:t>U'=U−u+u'</m:t>
        </m:r>
      </m:oMath>
      <w:r>
        <w:rPr>
          <w:b w:val="0"/>
        </w:rPr>
        <w:t>。由假设，</w:t>
      </w:r>
      <m:oMath>
        <m:r>
          <m:t>r'+U'≤r+U</m:t>
        </m:r>
      </m:oMath>
      <w:r>
        <w:rPr>
          <w:b w:val="0"/>
        </w:rPr>
        <w:t xml:space="preserve">，同时分子不减。因此在正分母情形 </w:t>
      </w:r>
      <m:oMath>
        <m:r>
          <m:t>r'/(r'+U')≥r/(r+U)</m:t>
        </m:r>
      </m:oMath>
      <w:r>
        <w:rPr>
          <w:b w:val="0"/>
        </w:rPr>
        <w:t>。空集合情形按前述约定处理。重叠区域若不能证明这一关系，可以取旧的有效下界与新有效下界的较大值；不能假定每次数量更新天然单调。</w:t>
      </w:r>
    </w:p>
    <w:p>
      <w:pPr>
        <w:keepNext/>
      </w:pPr>
      <w:r>
        <w:rPr>
          <w:b w:val="0"/>
        </w:rPr>
        <w:t xml:space="preserve">对要求召回至少 </w:t>
      </w:r>
      <m:oMath>
        <m:r>
          <m:t>ρ∈(0,1)</m:t>
        </m:r>
      </m:oMath>
      <w:r>
        <w:rPr>
          <w:b w:val="0"/>
        </w:rPr>
        <w:t xml:space="preserve"> 的查询，充分停止条件为</w:t>
      </w:r>
    </w:p>
    <w:p>
      <w:pPr>
        <w:keepNext/>
        <w:spacing w:before="100" w:after="140"/>
        <w:jc w:val="center"/>
      </w:pPr>
      <m:oMathPara>
        <m:oMath>
          <m:r>
            <m:t>U≤</m:t>
          </m:r>
          <m:f>
            <m:fPr>
              <m:type m:val="bar"/>
            </m:fPr>
            <m:num>
              <m:r>
                <m:t>1−ρ</m:t>
              </m:r>
            </m:num>
            <m:den>
              <m:r>
                <m:t>ρ</m:t>
              </m:r>
            </m:den>
          </m:f>
          <m:r>
            <m:t>r.</m:t>
          </m:r>
        </m:oMath>
      </m:oMathPara>
      <w:r>
        <w:t xml:space="preserve">   (R7)</w:t>
      </w:r>
    </w:p>
    <w:p>
      <w:r>
        <w:rPr>
          <w:b w:val="0"/>
        </w:rPr>
        <w:t>这是一种确定性的证书条件，不需要误差独立假设。它保证相对于声明参考集的召回，不保证候选质量排序、任务成功或现实世界能力的召回。</w:t>
      </w:r>
    </w:p>
    <w:p>
      <w:pPr>
        <w:pStyle w:val="Heading2"/>
      </w:pPr>
      <w:r>
        <w:rPr>
          <w:b w:val="0"/>
        </w:rPr>
        <w:t>4.4 解析示例</w:t>
      </w:r>
    </w:p>
    <w:p>
      <w:r>
        <w:rPr>
          <w:b w:val="0"/>
        </w:rPr>
        <w:t xml:space="preserve">假定三个互不重叠的授权域有匹配数量上界 4、3、5。已经穷尽第一个域并得到 3 个匹配，则 </w:t>
      </w:r>
      <m:oMath>
        <m:r>
          <m:t>r=3,U=8</m:t>
        </m:r>
      </m:oMath>
      <w:r>
        <w:rPr>
          <w:b w:val="0"/>
        </w:rPr>
        <w:t xml:space="preserve">，召回下界为 </w:t>
      </w:r>
      <m:oMath>
        <m:f>
          <m:fPr>
            <m:type m:val="lin"/>
          </m:fPr>
          <m:num>
            <m:r>
              <m:t>3</m:t>
            </m:r>
          </m:num>
          <m:den>
            <m:r>
              <m:t>11</m:t>
            </m:r>
          </m:den>
        </m:f>
      </m:oMath>
      <w:r>
        <w:rPr>
          <w:b w:val="0"/>
        </w:rPr>
        <w:t>。穷尽第二个域且没有匹配后，</w:t>
      </w:r>
      <m:oMath>
        <m:r>
          <m:t>U=5</m:t>
        </m:r>
      </m:oMath>
      <w:r>
        <w:rPr>
          <w:b w:val="0"/>
        </w:rPr>
        <w:t xml:space="preserve">，下界升至 </w:t>
      </w:r>
      <m:oMath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>
          <w:b w:val="0"/>
        </w:rPr>
        <w:t xml:space="preserve">。对第三个域的额外证据将其上界从 5 收紧为 1 后，下界升至 </w:t>
      </w:r>
      <m:oMath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b w:val="0"/>
        </w:rPr>
        <w:t>。此时可以满足 75% 的召回要求，却仍不能声称完备。数字是人为构造的算例，不是实测表现。</w:t>
      </w:r>
    </w:p>
    <w:p>
      <w:pPr>
        <w:pStyle w:val="Heading1"/>
      </w:pPr>
      <w:r>
        <w:rPr>
          <w:b w:val="0"/>
        </w:rPr>
        <w:t>5 预算守恒与多归属查询</w:t>
      </w:r>
    </w:p>
    <w:p>
      <w:pPr>
        <w:pStyle w:val="Heading2"/>
      </w:pPr>
      <w:r>
        <w:rPr>
          <w:b w:val="0"/>
        </w:rPr>
        <w:t>5.1 严格成本界</w:t>
      </w:r>
    </w:p>
    <w:p>
      <w:pPr>
        <w:keepNext/>
      </w:pPr>
      <w:r>
        <w:rPr>
          <w:b w:val="0"/>
        </w:rPr>
        <w:t xml:space="preserve">以一次分支扩展为一单位成本，初始预算 </w:t>
      </w:r>
      <m:oMath>
        <m:r>
          <m:t>B</m:t>
        </m:r>
      </m:oMath>
      <w:r>
        <w:rPr>
          <w:b w:val="0"/>
        </w:rPr>
        <w:t xml:space="preserve"> 是不可复制的有限资源。并行分支得到互不重叠的预算份额；每次扩展消耗一个份额。令 </w:t>
      </w:r>
      <m:oMath>
        <m:r>
          <m:t>M</m:t>
        </m:r>
      </m:oMath>
      <w:r>
        <w:rPr>
          <w:b w:val="0"/>
        </w:rPr>
        <w:t xml:space="preserve"> 为扩展总数，则</w:t>
      </w:r>
    </w:p>
    <w:p>
      <w:pPr>
        <w:keepNext/>
        <w:spacing w:before="100" w:after="140"/>
        <w:jc w:val="center"/>
      </w:pPr>
      <m:oMathPara>
        <m:oMath>
          <m:r>
            <m:t>M≤B.</m:t>
          </m:r>
        </m:oMath>
      </m:oMathPara>
      <w:r>
        <w:t xml:space="preserve">   (R8)</w:t>
      </w:r>
    </w:p>
    <w:p>
      <w:r>
        <w:rPr>
          <w:b/>
        </w:rPr>
        <w:t>证明。</w:t>
      </w:r>
      <w:r>
        <w:rPr>
          <w:b w:val="0"/>
        </w:rPr>
        <w:t xml:space="preserve"> 将每次扩展映射到它独占消耗的预算单位，形成扩展集合到预算单位集合的单射。若各分支都复制完整剩余预算，单射不存在，式 R8 不成立。该界只针对定义中的扩展，不包括回复字节、重试、验证成本或时间；要覆盖它们，必须重新定义收费单位。</w:t>
      </w:r>
    </w:p>
    <w:p>
      <w:r>
        <w:rPr>
          <w:b/>
        </w:rPr>
        <w:t>命题 D5。</w:t>
      </w:r>
      <w:r>
        <w:rPr>
          <w:b w:val="0"/>
        </w:rPr>
        <w:t xml:space="preserve"> 对任意固定预算 </w:t>
      </w:r>
      <m:oMath>
        <m:r>
          <m:t>B</m:t>
        </m:r>
      </m:oMath>
      <w:r>
        <w:rPr>
          <w:b w:val="0"/>
        </w:rPr>
        <w:t xml:space="preserve">，若存在 </w:t>
      </w:r>
      <m:oMath>
        <m:r>
          <m:t>B+1</m:t>
        </m:r>
      </m:oMath>
      <w:r>
        <w:rPr>
          <w:b w:val="0"/>
        </w:rPr>
        <w:t xml:space="preserve"> 个必须分别展开、摘要完全相同的候选域，则在无额外先验的最坏情况下，不能保证找到唯一匹配。</w:t>
      </w:r>
    </w:p>
    <w:p>
      <w:r>
        <w:rPr>
          <w:b/>
        </w:rPr>
        <w:t>证明。</w:t>
      </w:r>
      <w:r>
        <w:rPr>
          <w:b w:val="0"/>
        </w:rPr>
        <w:t xml:space="preserve"> 对任意确定性查询顺序，将唯一匹配放在未展开域即可。对随机策略，令唯一匹配均匀分布于 </w:t>
      </w:r>
      <m:oMath>
        <m:r>
          <m:t>B+1</m:t>
        </m:r>
      </m:oMath>
      <w:r>
        <w:rPr>
          <w:b w:val="0"/>
        </w:rPr>
        <w:t xml:space="preserve"> 个域；平均成功概率至多 </w:t>
      </w:r>
      <m:oMath>
        <m:r>
          <m:t>B/(B+1)</m:t>
        </m:r>
      </m:oMath>
      <w:r>
        <w:rPr>
          <w:b w:val="0"/>
        </w:rPr>
        <w:t>，故至少有一个放置位置的成功概率不超过该值。有限预算与无条件完备不能同时承诺。</w:t>
      </w:r>
    </w:p>
    <w:p>
      <w:pPr>
        <w:pStyle w:val="Heading2"/>
      </w:pPr>
      <w:r>
        <w:rPr>
          <w:b w:val="0"/>
        </w:rPr>
        <w:t>5.2 多归属并不允许任意去重</w:t>
      </w:r>
    </w:p>
    <w:p>
      <w:r>
        <w:rPr>
          <w:b w:val="0"/>
        </w:rPr>
        <w:t>同一能力经多个域发布时，去重键至少需要保留规范身份、能力代次和等价的策略作用域。主体在域甲的访问上下文可能不适用于域乙；仅按端点或域标识去重，可能剪掉唯一可见路径。命题 D1 所需的去重，实质上是对“后续匹配与可见性结果完全等价”的查询状态取商，而不是对网络地址取商。</w:t>
      </w:r>
    </w:p>
    <w:p>
      <w:r>
        <w:rPr>
          <w:b w:val="0"/>
        </w:rPr>
        <w:t>若无法证明状态等价，应保留多个发现路径，最终对相同实例的匹配见证去重。R6 中的未决上界可以重复计数而保持保守；但分子绝不能重复计数。这个不对称性使多归属场景仍能产生有效但可能较弱的证书。</w:t>
      </w:r>
    </w:p>
    <w:p>
      <w:pPr>
        <w:pStyle w:val="Heading1"/>
      </w:pPr>
      <w:r>
        <w:rPr>
          <w:b w:val="0"/>
        </w:rPr>
        <w:t>6 概率漏报预算与资源分配</w:t>
      </w:r>
    </w:p>
    <w:p>
      <w:pPr>
        <w:keepNext/>
      </w:pPr>
      <w:r>
        <w:rPr>
          <w:b w:val="0"/>
        </w:rPr>
        <w:t xml:space="preserve">确定性覆盖上界不可得时，可以使用经校准的概率模型，但必须降低结论等级。固定一个目标实例及其规范路径，令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rPr>
          <w:b w:val="0"/>
        </w:rPr>
        <w:t xml:space="preserve"> 表示第 </w:t>
      </w:r>
      <m:oMath>
        <m:r>
          <m:t>j</m:t>
        </m:r>
      </m:oMath>
      <w:r>
        <w:rPr>
          <w:b w:val="0"/>
        </w:rPr>
        <w:t xml:space="preserve"> 层保留该目标分支，定义 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t>=</m:t>
        </m:r>
        <m:r>
          <m:rPr>
            <m:sty m:val="p"/>
          </m:rPr>
          <m:t>Pr</m:t>
        </m:r>
        <m:r>
          <m:t>(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t>∩⋯∩</m:t>
        </m:r>
        <m:sSub>
          <m:e>
            <m:r>
              <m:t>E</m:t>
            </m:r>
          </m:e>
          <m:sub>
            <m:r>
              <m:t>j−1</m:t>
            </m:r>
          </m:sub>
        </m:sSub>
        <m:r>
          <m:t>)</m:t>
        </m:r>
      </m:oMath>
      <w:r>
        <w:rPr>
          <w:b w:val="0"/>
        </w:rPr>
        <w:t>。对概率为正的条件事件，链式法则给出</w:t>
      </w:r>
    </w:p>
    <w:p>
      <w:pPr>
        <w:keepNext/>
        <w:spacing w:before="100" w:after="140"/>
        <w:jc w:val="center"/>
      </w:pPr>
      <m:oMathPara>
        <m:oMath>
          <m:r>
            <m:rPr>
              <m:sty m:val="p"/>
            </m:rPr>
            <m:t>Pr</m:t>
          </m:r>
          <m:r>
            <m:t>(</m:t>
          </m:r>
          <m:nary>
            <m:naryPr>
              <m:chr m:val="⋂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h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)=</m:t>
          </m:r>
          <m:nary>
            <m:naryPr>
              <m:chr m:val="∏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h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.</m:t>
          </m:r>
        </m:oMath>
      </m:oMathPara>
      <w:r>
        <w:t xml:space="preserve">   (R9)</w:t>
      </w:r>
    </w:p>
    <w:p>
      <w:pPr>
        <w:keepNext/>
      </w:pPr>
      <w:r>
        <w:rPr>
          <w:b w:val="0"/>
        </w:rPr>
        <w:t xml:space="preserve">若某前缀保留概率为零，则端到端保留率直接为零，无需为其后的条件概率赋值。若每层条件误剪枝率不大于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rPr>
          <w:b w:val="0"/>
        </w:rPr>
        <w:t>，由递推或乘积不等式得到</w:t>
      </w:r>
    </w:p>
    <w:p>
      <w:pPr>
        <w:keepNext/>
        <w:spacing w:before="100" w:after="140"/>
        <w:jc w:val="center"/>
      </w:pPr>
      <m:oMathPara>
        <m:oMath>
          <m:r>
            <m:rPr>
              <m:sty m:val="p"/>
            </m:rPr>
            <m:t>Pr</m:t>
          </m:r>
          <m:r>
            <m:t>(</m:t>
          </m:r>
          <m:r>
            <m:rPr>
              <m:nor/>
            </m:rPr>
            <m:t>目标路径丢失</m:t>
          </m:r>
          <m:r>
            <m:t>)≤1−</m:t>
          </m:r>
          <m:nary>
            <m:naryPr>
              <m:chr m:val="∏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h</m:t>
              </m:r>
            </m:sup>
            <m:e>
              <m:r>
                <m:t>(1−</m:t>
              </m:r>
            </m:e>
          </m:nary>
          <m:sSub>
            <m:e>
              <m:r>
                <m:t>ε</m:t>
              </m:r>
            </m:e>
            <m:sub>
              <m:r>
                <m:t>j</m:t>
              </m:r>
            </m:sub>
          </m:sSub>
          <m:r>
            <m:t>)≤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h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.</m:t>
          </m:r>
        </m:oMath>
      </m:oMathPara>
      <w:r>
        <w:t xml:space="preserve">   (R10)</w:t>
      </w:r>
    </w:p>
    <w:p>
      <w:r>
        <w:rPr>
          <w:b w:val="0"/>
        </w:rPr>
        <w:t>这不要求层间独立，但要求上界对相应条件分布成立。把未经条件化的单层召回率相乘是错误的。两层失误完全重合且各自概率为 0.1 时，路径保留率为 0.9，而非 0.81。对每个目标均有同样的路径界时，才可通过线性期望推得平均召回界；一次目标路径概率不是“全体目标同时被发现”的概率。</w:t>
      </w:r>
    </w:p>
    <w:p>
      <w:pPr>
        <w:keepNext/>
      </w:pPr>
      <w:r>
        <w:rPr>
          <w:b/>
        </w:rPr>
        <w:t>研究模型。</w:t>
      </w:r>
      <w:r>
        <w:rPr>
          <w:b w:val="0"/>
        </w:rPr>
        <w:t xml:space="preserve"> 假定向第 </w:t>
      </w:r>
      <m:oMath>
        <m:r>
          <m:t>j</m:t>
        </m:r>
      </m:oMath>
      <w:r>
        <w:rPr>
          <w:b w:val="0"/>
        </w:rPr>
        <w:t xml:space="preserve"> 层投入资源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t>≥0</m:t>
        </m:r>
      </m:oMath>
      <w:r>
        <w:rPr>
          <w:b w:val="0"/>
        </w:rPr>
        <w:t xml:space="preserve"> 后，其条件误剪枝上界为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t>−</m:t>
            </m:r>
            <m:sSub>
              <m:e>
                <m:r>
                  <m:t>κ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b w:val="0"/>
        </w:rPr>
        <w:t xml:space="preserve">，其中 </w:t>
      </w:r>
      <m:oMath>
        <m:r>
          <m:t>0&lt;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≤1,</m:t>
        </m:r>
        <m:sSub>
          <m:e>
            <m:r>
              <m:t>κ</m:t>
            </m:r>
          </m:e>
          <m:sub>
            <m:r>
              <m:t>j</m:t>
            </m:r>
          </m:sub>
        </m:sSub>
        <m:r>
          <m:t>&gt;0</m:t>
        </m:r>
      </m:oMath>
      <w:r>
        <w:rPr>
          <w:b w:val="0"/>
        </w:rPr>
        <w:t>。这一指数关系是待检验的模型假设，不由 Bloom 公式推出。为了最小化式 R10 的上界，考虑</w:t>
      </w:r>
    </w:p>
    <w:p>
      <w:pPr>
        <w:keepNext/>
        <w:spacing w:before="100" w:after="140"/>
        <w:jc w:val="center"/>
      </w:pPr>
      <m:oMathPara>
        <m:oMath>
          <m:sSub>
            <m:e>
              <m:r>
                <m:rPr>
                  <m:sty m:val="p"/>
                </m:rPr>
                <m:t>min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≥0</m:t>
              </m:r>
            </m:sub>
          </m:sSub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−</m:t>
              </m:r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t>,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≤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t>.</m:t>
          </m:r>
        </m:oMath>
      </m:oMathPara>
      <w:r>
        <w:t xml:space="preserve">   (R11)</w:t>
      </w:r>
    </w:p>
    <w:p>
      <w:pPr>
        <w:keepNext/>
      </w:pPr>
      <w:r>
        <w:rPr>
          <w:b/>
        </w:rPr>
        <w:t>命题 D6。</w:t>
      </w:r>
      <w:r>
        <w:rPr>
          <w:b w:val="0"/>
        </w:rPr>
        <w:t xml:space="preserve"> 当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t>&gt;0</m:t>
        </m:r>
      </m:oMath>
      <w:r>
        <w:rPr>
          <w:b w:val="0"/>
        </w:rPr>
        <w:t xml:space="preserve"> 时，式 R11 是严格凸问题，唯一最优解满足</w:t>
      </w:r>
    </w:p>
    <w:p>
      <w:pPr>
        <w:keepNext/>
        <w:spacing w:before="100" w:after="140"/>
        <w:jc w:val="center"/>
      </w:pPr>
      <m:oMathPara>
        <m:oMath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∗</m:t>
              </m:r>
            </m:sup>
          </m:sSubSup>
          <m:r>
            <m:t>=</m:t>
          </m:r>
          <m:r>
            <m:rPr>
              <m:sty m:val="p"/>
            </m:rPr>
            <m:t>max</m:t>
          </m:r>
          <m:r>
            <m:t>{0,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μ</m:t>
              </m:r>
            </m:den>
          </m:f>
          <m:r>
            <m:t>},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Sup>
                <m:e>
                  <m:r>
                    <m:t>b</m:t>
                  </m:r>
                </m:e>
                <m:sub>
                  <m:r>
                    <m:t>j</m:t>
                  </m:r>
                </m:sub>
                <m:sup>
                  <m:r>
                    <m:t>∗</m:t>
                  </m:r>
                </m:sup>
              </m:sSubSup>
            </m:e>
          </m:nary>
          <m:r>
            <m:t>=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t>.</m:t>
          </m:r>
        </m:oMath>
      </m:oMathPara>
      <w:r>
        <w:t xml:space="preserve">   (R12)</w:t>
      </w:r>
    </w:p>
    <w:p>
      <w:r>
        <w:rPr>
          <w:b/>
        </w:rPr>
        <w:t>证明。</w:t>
      </w:r>
      <w:r>
        <w:rPr>
          <w:b w:val="0"/>
        </w:rPr>
        <w:t xml:space="preserve"> 每项二阶导数为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sSubSup>
          <m:e>
            <m:r>
              <m:t>κ</m:t>
            </m:r>
          </m:e>
          <m:sub>
            <m:r>
              <m:t>j</m:t>
            </m:r>
          </m:sub>
          <m:sup>
            <m:r>
              <m:t>2</m:t>
            </m:r>
          </m:sup>
        </m:sSubSup>
        <m:sSup>
          <m:e>
            <m:r>
              <m:t>e</m:t>
            </m:r>
          </m:e>
          <m:sup>
            <m:r>
              <m:t>−</m:t>
            </m:r>
            <m:sSub>
              <m:e>
                <m:r>
                  <m:t>κ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sup>
        </m:sSup>
        <m:r>
          <m:t>&gt;0</m:t>
        </m:r>
      </m:oMath>
      <w:r>
        <w:rPr>
          <w:b w:val="0"/>
        </w:rPr>
        <w:t xml:space="preserve">，故目标严格凸。目标随任一投入严格下降，最优解用尽预算。拉格朗日驻点条件对正投入层给出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sSub>
          <m:e>
            <m:r>
              <m:t>κ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t>−</m:t>
            </m:r>
            <m:sSub>
              <m:e>
                <m:r>
                  <m:t>κ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sup>
        </m:sSup>
        <m:r>
          <m:t>=μ</m:t>
        </m:r>
      </m:oMath>
      <w:r>
        <w:rPr>
          <w:b w:val="0"/>
        </w:rPr>
        <w:t xml:space="preserve">，对零投入层给出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sSub>
          <m:e>
            <m:r>
              <m:t>κ</m:t>
            </m:r>
          </m:e>
          <m:sub>
            <m:r>
              <m:t>j</m:t>
            </m:r>
          </m:sub>
        </m:sSub>
        <m:r>
          <m:t>≤μ</m:t>
        </m:r>
      </m:oMath>
      <w:r>
        <w:rPr>
          <w:b w:val="0"/>
        </w:rPr>
        <w:t xml:space="preserve">，整理即 R12。总投入随 </w:t>
      </w:r>
      <m:oMath>
        <m:r>
          <m:t>μ</m:t>
        </m:r>
      </m:oMath>
      <w:r>
        <w:rPr>
          <w:b w:val="0"/>
        </w:rPr>
        <w:t xml:space="preserve"> 连续下降，能够唯一确定满足正预算的乘子。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t>=0</m:t>
        </m:r>
      </m:oMath>
      <w:r>
        <w:rPr>
          <w:b w:val="0"/>
        </w:rPr>
        <w:t xml:space="preserve"> 时全部投入为零。</w:t>
      </w:r>
    </w:p>
    <w:p>
      <w:r>
        <w:rPr>
          <w:b w:val="0"/>
        </w:rPr>
        <w:t>其含义是均衡边际误差下降，而非机械平均分配。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rPr>
          <w:b w:val="0"/>
        </w:rPr>
        <w:t xml:space="preserve"> 是连续的抽象证据资源，不是 R8 的整数扩展预算；离散取整和分布变化都需重新评估。若条件误差模型失准，优化解只优化了错误模型，不能继续宣称概率保证。</w:t>
      </w:r>
    </w:p>
    <w:p>
      <w:pPr>
        <w:pStyle w:val="Heading1"/>
      </w:pPr>
      <w:r>
        <w:rPr>
          <w:b w:val="0"/>
        </w:rPr>
        <w:t>7 状态陈旧的精确成本与一致性边界</w:t>
      </w:r>
    </w:p>
    <w:p>
      <w:pPr>
        <w:pStyle w:val="Heading2"/>
      </w:pPr>
      <w:r>
        <w:rPr>
          <w:b w:val="0"/>
        </w:rPr>
        <w:t>7.1 周期刷新模型</w:t>
      </w:r>
    </w:p>
    <w:p>
      <w:r>
        <w:rPr>
          <w:b w:val="0"/>
        </w:rPr>
        <w:t xml:space="preserve">设刷新周期为 </w:t>
      </w:r>
      <m:oMath>
        <m:r>
          <m:t>T&gt;0</m:t>
        </m:r>
      </m:oMath>
      <w:r>
        <w:rPr>
          <w:b w:val="0"/>
        </w:rPr>
        <w:t xml:space="preserve">，每次刷新成本为 </w:t>
      </w:r>
      <m:oMath>
        <m:r>
          <m:t>a&gt;0</m:t>
        </m:r>
      </m:oMath>
      <w:r>
        <w:rPr>
          <w:b w:val="0"/>
        </w:rPr>
        <w:t xml:space="preserve">；参考记录发生使旧值失效的变化，服从速率 </w:t>
      </w:r>
      <m:oMath>
        <m:r>
          <m:t>λ&gt;0</m:t>
        </m:r>
      </m:oMath>
      <w:r>
        <w:rPr>
          <w:b w:val="0"/>
        </w:rPr>
        <w:t xml:space="preserve"> 的泊松过程。每次刷新获取当前真值，忽略刷新延迟；查询独立且在周期内均匀取样。一次变化后，旧记录被视为持续陈旧，直到下次刷新，即使后来值偶然相同也不恢复其版本有效性。</w:t>
      </w:r>
    </w:p>
    <w:p>
      <w:pPr>
        <w:keepNext/>
      </w:pPr>
      <w:r>
        <w:rPr>
          <w:b w:val="0"/>
        </w:rPr>
        <w:t xml:space="preserve">记录年龄为 </w:t>
      </w:r>
      <m:oMath>
        <m:r>
          <m:t>s</m:t>
        </m:r>
      </m:oMath>
      <w:r>
        <w:rPr>
          <w:b w:val="0"/>
        </w:rPr>
        <w:t xml:space="preserve"> 时，陈旧概率为 </w:t>
      </w:r>
      <m:oMath>
        <m:r>
          <m:t>1−</m:t>
        </m:r>
        <m:sSup>
          <m:e>
            <m:r>
              <m:t>e</m:t>
            </m:r>
          </m:e>
          <m:sup>
            <m:r>
              <m:t>−λs</m:t>
            </m:r>
          </m:sup>
        </m:sSup>
      </m:oMath>
      <w:r>
        <w:rPr>
          <w:b w:val="0"/>
        </w:rPr>
        <w:t>。平均陈旧比例及总成本为</w:t>
      </w:r>
    </w:p>
    <w:p>
      <w:pPr>
        <w:keepNext/>
        <w:spacing w:before="100" w:after="140"/>
        <w:jc w:val="center"/>
      </w:pPr>
      <m:oMathPara>
        <m:oMath>
          <m:acc>
            <m:accPr>
              <m:chr m:val="̅"/>
            </m:accPr>
            <m:e>
              <m:r>
                <m:t>p</m:t>
              </m:r>
            </m:e>
          </m:acc>
          <m:r>
            <m:t>(T)=1−</m:t>
          </m:r>
          <m:f>
            <m:fPr>
              <m:type m:val="bar"/>
            </m:fPr>
            <m:num>
              <m:r>
                <m:t>1−</m:t>
              </m:r>
              <m:sSup>
                <m:e>
                  <m:r>
                    <m:t>e</m:t>
                  </m:r>
                </m:e>
                <m:sup>
                  <m:r>
                    <m:t>−λT</m:t>
                  </m:r>
                </m:sup>
              </m:sSup>
            </m:num>
            <m:den>
              <m:r>
                <m:t>λT</m:t>
              </m:r>
            </m:den>
          </m:f>
          <m:r>
            <m:t>,</m:t>
          </m:r>
          <m:r>
            <m:t>J(T)=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T</m:t>
              </m:r>
            </m:den>
          </m:f>
          <m:r>
            <m:t>+b</m:t>
          </m:r>
          <m:acc>
            <m:accPr>
              <m:chr m:val="̅"/>
            </m:accPr>
            <m:e>
              <m:r>
                <m:t>p</m:t>
              </m:r>
            </m:e>
          </m:acc>
          <m:r>
            <m:t>(T),</m:t>
          </m:r>
        </m:oMath>
      </m:oMathPara>
      <w:r>
        <w:t xml:space="preserve">   (R13)</w:t>
      </w:r>
    </w:p>
    <w:p>
      <w:r>
        <w:rPr>
          <w:b w:val="0"/>
        </w:rPr>
        <w:t xml:space="preserve">其中 </w:t>
      </w:r>
      <m:oMath>
        <m:r>
          <m:t>b&gt;0</m:t>
        </m:r>
      </m:oMath>
      <w:r>
        <w:rPr>
          <w:b w:val="0"/>
        </w:rPr>
        <w:t xml:space="preserve"> 是单位时间在完全陈旧时的期望损失，已包含查询频率与单次损失。该模型描述目录陈旧成本，不描述授权撤销后的允许执行窗口。</w:t>
      </w:r>
    </w:p>
    <w:p>
      <w:pPr>
        <w:pStyle w:val="Heading2"/>
      </w:pPr>
      <w:r>
        <w:rPr>
          <w:b w:val="0"/>
        </w:rPr>
        <w:t>7.2 有限最优周期存在的条件</w:t>
      </w:r>
    </w:p>
    <w:p>
      <w:pPr>
        <w:keepNext/>
      </w:pPr>
      <w:r>
        <w:rPr>
          <w:b w:val="0"/>
        </w:rPr>
        <w:t>求导得</w:t>
      </w:r>
    </w:p>
    <w:p>
      <w:pPr>
        <w:keepNext/>
        <w:spacing w:before="100" w:after="140"/>
        <w:jc w:val="center"/>
      </w:pPr>
      <m:oMathPara>
        <m:oMath>
          <m:r>
            <m:t>J'(T)=</m:t>
          </m:r>
          <m:f>
            <m:fPr>
              <m:type m:val="bar"/>
            </m:fPr>
            <m:num>
              <m:r>
                <m:t>−a+(b/λ)[1−(1+λT)</m:t>
              </m:r>
              <m:sSup>
                <m:e>
                  <m:r>
                    <m:t>e</m:t>
                  </m:r>
                </m:e>
                <m:sup>
                  <m:r>
                    <m:t>−λT</m:t>
                  </m:r>
                </m:sup>
              </m:sSup>
              <m:r>
                <m:t>]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.</m:t>
          </m:r>
        </m:oMath>
      </m:oMathPara>
      <w:r>
        <w:t xml:space="preserve">   (R14)</w:t>
      </w:r>
    </w:p>
    <w:p>
      <w:pPr>
        <w:keepNext/>
      </w:pPr>
      <w:r>
        <w:rPr>
          <w:b/>
        </w:rPr>
        <w:t>命题 D7。</w:t>
      </w:r>
      <w:r>
        <w:rPr>
          <w:b w:val="0"/>
        </w:rPr>
        <w:t xml:space="preserve"> 仅当 </w:t>
      </w:r>
      <m:oMath>
        <m:r>
          <m:t>0&lt;aλ/b&lt;1</m:t>
        </m:r>
      </m:oMath>
      <w:r>
        <w:rPr>
          <w:b w:val="0"/>
        </w:rPr>
        <w:t xml:space="preserve"> 时，无约束模型存在唯一有限全局最优周期。令 </w:t>
      </w:r>
      <m:oMath>
        <m:r>
          <m:t>x=λT</m:t>
        </m:r>
      </m:oMath>
      <w:r>
        <w:rPr>
          <w:b w:val="0"/>
        </w:rPr>
        <w:t>，它满足</w:t>
      </w:r>
    </w:p>
    <w:p>
      <w:pPr>
        <w:keepNext/>
        <w:spacing w:before="100" w:after="140"/>
        <w:jc w:val="center"/>
      </w:pPr>
      <m:oMathPara>
        <m:oMath>
          <m:r>
            <m:t>1−(1+x)</m:t>
          </m:r>
          <m:sSup>
            <m:e>
              <m:r>
                <m:t>e</m:t>
              </m:r>
            </m:e>
            <m:sup>
              <m:r>
                <m:t>−x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aλ</m:t>
              </m:r>
            </m:num>
            <m:den>
              <m:r>
                <m:t>b</m:t>
              </m:r>
            </m:den>
          </m:f>
          <m:r>
            <m:t>.</m:t>
          </m:r>
        </m:oMath>
      </m:oMathPara>
      <w:r>
        <w:t xml:space="preserve">   (R15)</w:t>
      </w:r>
    </w:p>
    <w:p>
      <w:r>
        <w:rPr>
          <w:b/>
        </w:rPr>
        <w:t>证明。</w:t>
      </w:r>
      <w:r>
        <w:rPr>
          <w:b w:val="0"/>
        </w:rPr>
        <w:t xml:space="preserve"> 左端函数 </w:t>
      </w:r>
      <m:oMath>
        <m:r>
          <m:t>g(x)</m:t>
        </m:r>
      </m:oMath>
      <w:r>
        <w:rPr>
          <w:b w:val="0"/>
        </w:rPr>
        <w:t xml:space="preserve"> 在 </w:t>
      </w:r>
      <m:oMath>
        <m:r>
          <m:t>x&gt;0</m:t>
        </m:r>
      </m:oMath>
      <w:r>
        <w:rPr>
          <w:b w:val="0"/>
        </w:rPr>
        <w:t xml:space="preserve"> 上的导数为 </w:t>
      </w:r>
      <m:oMath>
        <m:r>
          <m:t>x</m:t>
        </m:r>
        <m:sSup>
          <m:e>
            <m:r>
              <m:t>e</m:t>
            </m:r>
          </m:e>
          <m:sup>
            <m:r>
              <m:t>−x</m:t>
            </m:r>
          </m:sup>
        </m:sSup>
        <m:r>
          <m:t>&gt;0</m:t>
        </m:r>
      </m:oMath>
      <w:r>
        <w:rPr>
          <w:b w:val="0"/>
        </w:rPr>
        <w:t xml:space="preserve">，从 0 严格增至 1。因此当右端介于 0 和 1 之间时恰有一根，R14 的符号在根前为负、根后为正，得到唯一全局极小值。若 </w:t>
      </w:r>
      <m:oMath>
        <m:r>
          <m:t>aλ/b≥1</m:t>
        </m:r>
      </m:oMath>
      <w:r>
        <w:rPr>
          <w:b w:val="0"/>
        </w:rPr>
        <w:t xml:space="preserve">，有限 </w:t>
      </w:r>
      <m:oMath>
        <m:r>
          <m:t>T</m:t>
        </m:r>
      </m:oMath>
      <w:r>
        <w:rPr>
          <w:b w:val="0"/>
        </w:rPr>
        <w:t xml:space="preserve"> 上导数始终为负，成本下降趋近于 </w:t>
      </w:r>
      <m:oMath>
        <m:r>
          <m:t>b</m:t>
        </m:r>
      </m:oMath>
      <w:r>
        <w:rPr>
          <w:b w:val="0"/>
        </w:rPr>
        <w:t>，没有有限极小值。</w:t>
      </w:r>
    </w:p>
    <w:p>
      <w:pPr>
        <w:keepNext/>
      </w:pPr>
      <w:r>
        <w:rPr>
          <w:b w:val="0"/>
        </w:rPr>
        <w:t xml:space="preserve">这修正了无条件套用平方根最优租约的表述。只在 </w:t>
      </w:r>
      <m:oMath>
        <m:r>
          <m:t>λT≪1</m:t>
        </m:r>
      </m:oMath>
      <w:r>
        <w:rPr>
          <w:b w:val="0"/>
        </w:rPr>
        <w:t xml:space="preserve"> 时，</w:t>
      </w:r>
      <m:oMath>
        <m:acc>
          <m:accPr>
            <m:chr m:val="̅"/>
          </m:accPr>
          <m:e>
            <m:r>
              <m:t>p</m:t>
            </m:r>
          </m:e>
        </m:acc>
        <m:r>
          <m:t>(T)=λT/2+O((λT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)</m:t>
        </m:r>
      </m:oMath>
      <w:r>
        <w:rPr>
          <w:b w:val="0"/>
        </w:rPr>
        <w:t>，才有近似</w:t>
      </w:r>
    </w:p>
    <w:p>
      <w:pPr>
        <w:keepNext/>
        <w:spacing w:before="100" w:after="140"/>
        <w:jc w:val="center"/>
      </w:pPr>
      <m:oMathPara>
        <m:oMath>
          <m:r>
            <m:t>J(T)≈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T</m:t>
              </m:r>
            </m:den>
          </m:f>
          <m:r>
            <m:t>+</m:t>
          </m:r>
          <m:f>
            <m:fPr>
              <m:type m:val="bar"/>
            </m:fPr>
            <m:num>
              <m:r>
                <m:t>bλT</m:t>
              </m:r>
            </m:num>
            <m:den>
              <m:r>
                <m:t>2</m:t>
              </m:r>
            </m:den>
          </m:f>
          <m:r>
            <m:t>,</m:t>
          </m:r>
          <m:sSup>
            <m:e>
              <m:r>
                <m:t>T</m:t>
              </m:r>
            </m:e>
            <m:sup>
              <m:r>
                <m:t>∗</m:t>
              </m:r>
            </m:sup>
          </m:sSup>
          <m: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2a</m:t>
                  </m:r>
                </m:num>
                <m:den>
                  <m:r>
                    <m:t>bλ</m:t>
                  </m:r>
                </m:den>
              </m:f>
            </m:e>
          </m:rad>
          <m:r>
            <m:t>.</m:t>
          </m:r>
        </m:oMath>
      </m:oMathPara>
      <w:r>
        <w:t xml:space="preserve">   (R16)</w:t>
      </w:r>
    </w:p>
    <w:p>
      <w:r>
        <w:rPr>
          <w:b w:val="0"/>
        </w:rPr>
        <w:t xml:space="preserve">若限定 </w:t>
      </w:r>
      <m:oMath>
        <m:r>
          <m:t>T∈[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t>]</m:t>
        </m:r>
      </m:oMath>
      <w:r>
        <w:rPr>
          <w:b w:val="0"/>
        </w:rPr>
        <w:t xml:space="preserve">，有内部根时取该根在区间上的截断值；无内部根时取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b w:val="0"/>
        </w:rPr>
        <w:t xml:space="preserve">。当 </w:t>
      </w:r>
      <m:oMath>
        <m:r>
          <m:t>λ=0</m:t>
        </m:r>
      </m:oMath>
      <w:r>
        <w:rPr>
          <w:b w:val="0"/>
        </w:rPr>
        <w:t xml:space="preserve"> 或 </w:t>
      </w:r>
      <m:oMath>
        <m:r>
          <m:t>b=0</m:t>
        </m:r>
      </m:oMath>
      <w:r>
        <w:rPr>
          <w:b w:val="0"/>
        </w:rPr>
        <w:t xml:space="preserve"> 时，刷新成本单调下降，仍没有无约束有限最优值。刷新存在传播延迟、查询与更新相关或变化强度不平稳时，应重新建立年龄分布，不能继续使用 R13。</w:t>
      </w:r>
    </w:p>
    <w:p>
      <w:pPr>
        <w:pStyle w:val="Heading2"/>
      </w:pPr>
      <w:r>
        <w:rPr>
          <w:b w:val="0"/>
        </w:rPr>
        <w:t>7.3 单调版本不能证明实时一致</w:t>
      </w:r>
    </w:p>
    <w:p>
      <w:r>
        <w:rPr>
          <w:b w:val="0"/>
        </w:rPr>
        <w:t xml:space="preserve">令实例权威版本为按字典序比较的 </w:t>
      </w:r>
      <m:oMath>
        <m:d>
          <m:dPr>
            <m:sepChr m:val=","/>
          </m:dPr>
          <m:e>
            <m:r>
              <m:t>g</m:t>
            </m:r>
          </m:e>
          <m:e>
            <m:r>
              <m:t>e</m:t>
            </m:r>
          </m:e>
        </m:d>
      </m:oMath>
      <w:r>
        <w:rPr>
          <w:b w:val="0"/>
        </w:rPr>
        <w:t>，分别表示代次和同代次事件序号。若接受状态变化的唯一权威关系只允许严格更大的版本，且撤销状态的最大版本持久保留，则旧事件不能覆盖撤销。证明是对接受序列的直接归纳；这不是版本向量的并发合并结论。</w:t>
      </w:r>
    </w:p>
    <w:p>
      <w:r>
        <w:rPr>
          <w:b w:val="0"/>
        </w:rPr>
        <w:t>缓存仍可能返回旧候选，多个权威写入者若没有共同的排序关系也可能产生冲突。因此版本单调仅限制权威接受历史，不能证明所有观察者都已获知最新状态。网络分区下关于立即撤销与持续授权可用性的矛盾，在配套论文中以不可区分执行证明；它与分布式一致性的经典限制相关 [8]。</w:t>
      </w:r>
    </w:p>
    <w:p>
      <w:pPr>
        <w:pStyle w:val="Heading1"/>
      </w:pPr>
      <w:r>
        <w:rPr>
          <w:b w:val="0"/>
        </w:rPr>
        <w:t>8 可检验的研究主张</w:t>
      </w:r>
    </w:p>
    <w:p>
      <w:r>
        <w:rPr>
          <w:b w:val="0"/>
        </w:rPr>
        <w:t>本文的创新候选集中在结果语义和可组合证据，不在经典公式。下面给出可以推翻这些候选主张的判据。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024"/>
            <w:shd w:fill="E8ED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研究主张</w:t>
            </w:r>
          </w:p>
        </w:tc>
        <w:tc>
          <w:tcPr>
            <w:tcW w:type="dxa" w:w="3096"/>
            <w:shd w:fill="E8ED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必要条件</w:t>
            </w:r>
          </w:p>
        </w:tc>
        <w:tc>
          <w:tcPr>
            <w:tcW w:type="dxa" w:w="3816"/>
            <w:shd w:fill="E8ED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反驳或失败判据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覆盖证据可以区分空集与搜索未完成</w:t>
            </w:r>
          </w:p>
        </w:tc>
        <w:tc>
          <w:tcPr>
            <w:tcW w:type="dxa" w:w="309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查询范围与未决前沿完整</w:t>
            </w:r>
          </w:p>
        </w:tc>
        <w:tc>
          <w:tcPr>
            <w:tcW w:type="dxa" w:w="381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存在未覆盖区域而结果仍被判为空集完备</w:t>
            </w:r>
          </w:p>
        </w:tc>
      </w:tr>
      <w:tr>
        <w:trPr>
          <w:cantSplit/>
        </w:trPr>
        <w:tc>
          <w:tcPr>
            <w:tcW w:type="dxa" w:w="3024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剩余容量可以给出保守召回下界</w:t>
            </w:r>
          </w:p>
        </w:tc>
        <w:tc>
          <w:tcPr>
            <w:tcW w:type="dxa" w:w="3096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数量上界有效且分子去重</w:t>
            </w:r>
          </w:p>
        </w:tc>
        <w:tc>
          <w:tcPr>
            <w:tcW w:type="dxa" w:w="3816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在同一参考集上实得召回低于 R6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精化可以单调提高证书</w:t>
            </w:r>
          </w:p>
        </w:tc>
        <w:tc>
          <w:tcPr>
            <w:tcW w:type="dxa" w:w="309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新见证与剩余上界满足命题 D4 的条件</w:t>
            </w:r>
          </w:p>
        </w:tc>
        <w:tc>
          <w:tcPr>
            <w:tcW w:type="dxa" w:w="381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满足条件却出现下界下降</w:t>
            </w:r>
          </w:p>
        </w:tc>
      </w:tr>
      <w:tr>
        <w:trPr>
          <w:cantSplit/>
        </w:trPr>
        <w:tc>
          <w:tcPr>
            <w:tcW w:type="dxa" w:w="3024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非均匀投入可以改善误差上界</w:t>
            </w:r>
          </w:p>
        </w:tc>
        <w:tc>
          <w:tcPr>
            <w:tcW w:type="dxa" w:w="3096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指数模型经过条件校准</w:t>
            </w:r>
          </w:p>
        </w:tc>
        <w:tc>
          <w:tcPr>
            <w:tcW w:type="dxa" w:w="3816"/>
            <w:shd w:fill="F6F7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在相同模型与预算下 R12 劣于均分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精确刷新模型优于无条件平方根规则</w:t>
            </w:r>
          </w:p>
        </w:tc>
        <w:tc>
          <w:tcPr>
            <w:tcW w:type="dxa" w:w="309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年龄与更新假设成立</w:t>
            </w:r>
          </w:p>
        </w:tc>
        <w:tc>
          <w:tcPr>
            <w:tcW w:type="dxa" w:w="381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解析极值与直接计算的成本最小值不符</w:t>
            </w:r>
          </w:p>
        </w:tc>
      </w:tr>
    </w:tbl>
    <w:p/>
    <w:p>
      <w:r>
        <w:rPr>
          <w:b w:val="0"/>
        </w:rPr>
        <w:t>比较应采用相同可见范围、快照、匹配谓词和成本口径，至少包括无摘要的穷尽搜索、只给候选的摘要搜索、带覆盖证据的搜索。资源节省与证据获取成本应同时计入；若证据维护成本超过查询收益，理论上有效的证书也可能缺乏实际价值。本文未进行这类实验，不把算例写成经验优势。</w:t>
      </w:r>
    </w:p>
    <w:p>
      <w:pPr>
        <w:pStyle w:val="Heading1"/>
      </w:pPr>
      <w:r>
        <w:rPr>
          <w:b w:val="0"/>
        </w:rPr>
        <w:t>9 结论</w:t>
      </w:r>
    </w:p>
    <w:p>
      <w:r>
        <w:rPr>
          <w:b w:val="0"/>
        </w:rPr>
        <w:t>RCAP 的理论重点是说明发现结果在什么范围、什么版本和什么证据下成立。保守摘要使排除具有逻辑依据，未决前沿使预算耗尽成为可表达的状态，剩余容量把部分发现转化为可检查的召回下界。概率资源分配与精确刷新模型进一步展示了误差、成本和动态状态之间的条件性关系。这些结论需要覆盖可信、匹配可判定和版本可比较等前提；解除这些前提，是后续研究的实际难点。</w:t>
      </w:r>
    </w:p>
    <w:p>
      <w:pPr>
        <w:pStyle w:val="Heading1"/>
      </w:pPr>
      <w:r>
        <w:rPr>
          <w:b w:val="0"/>
        </w:rPr>
        <w:t>参考文献与核验说明</w:t>
      </w:r>
    </w:p>
    <w:p>
      <w:r>
        <w:rPr>
          <w:b w:val="0"/>
        </w:rPr>
        <w:t>核验日期为 2026 年 10 月 28 日。以下条目均通过 RFC Editor、官方规范、作者机构页面或论文原文核对题名与来源。存在性核验不代表这些来源证明本文提出的联合框架。对持续更新的规范记录版本或访问日期；草案明确标为进行中的工作。</w:t>
      </w:r>
    </w:p>
    <w:p>
      <w:r>
        <w:rPr>
          <w:b w:val="0"/>
        </w:rPr>
        <w:t xml:space="preserve">[1] Cheshire, S.; Krochmal, M. DNS-Based Service Discovery. RFC 6763, 2013. </w:t>
      </w:r>
      <w:hyperlink r:id="rId13">
        <w:r>
          <w:rPr>
            <w:color w:val="245A81"/>
          </w:rPr>
          <w:t>RFC Editor</w:t>
        </w:r>
      </w:hyperlink>
      <w:r>
        <w:rPr>
          <w:b w:val="0"/>
        </w:rPr>
        <w:t>. 用于服务发现背景。</w:t>
      </w:r>
    </w:p>
    <w:p>
      <w:r>
        <w:rPr>
          <w:b w:val="0"/>
        </w:rPr>
        <w:t xml:space="preserve">[2] Schwartz, B.; Bishop, M.; Nygren, E. Service Binding and Parameter Specification via the DNS (SVCB and HTTPS Resource Records). RFC 9460, 2023. </w:t>
      </w:r>
      <w:hyperlink r:id="rId14">
        <w:r>
          <w:rPr>
            <w:color w:val="245A81"/>
          </w:rPr>
          <w:t>RFC Editor</w:t>
        </w:r>
      </w:hyperlink>
      <w:r>
        <w:rPr>
          <w:b w:val="0"/>
        </w:rPr>
        <w:t>. 用于服务绑定背景。</w:t>
      </w:r>
    </w:p>
    <w:p>
      <w:r>
        <w:rPr>
          <w:b w:val="0"/>
        </w:rPr>
        <w:t xml:space="preserve">[3] Model Context Protocol. Specification, 2026-07-28. </w:t>
      </w:r>
      <w:hyperlink r:id="rId15">
        <w:r>
          <w:rPr>
            <w:color w:val="245A81"/>
          </w:rPr>
          <w:t>官方版本</w:t>
        </w:r>
      </w:hyperlink>
      <w:r>
        <w:rPr>
          <w:b w:val="0"/>
        </w:rPr>
        <w:t>. 用于区分工具交互与本文的覆盖语义。</w:t>
      </w:r>
    </w:p>
    <w:p>
      <w:r>
        <w:rPr>
          <w:b w:val="0"/>
        </w:rPr>
        <w:t xml:space="preserve">[4] A2A Project. Agent2Agent Protocol Specification. </w:t>
      </w:r>
      <w:hyperlink r:id="rId16">
        <w:r>
          <w:rPr>
            <w:color w:val="245A81"/>
          </w:rPr>
          <w:t>官方规范</w:t>
        </w:r>
      </w:hyperlink>
      <w:r>
        <w:rPr>
          <w:b w:val="0"/>
        </w:rPr>
        <w:t>. 持续更新页面，访问日期 2026-10-28；不将其归为本文提出的协议。</w:t>
      </w:r>
    </w:p>
    <w:p>
      <w:r>
        <w:rPr>
          <w:b w:val="0"/>
        </w:rPr>
        <w:t xml:space="preserve">[5] Zhang, B.; Dunbar, L.; Yang, Y. A Framework for Agent Discovery in DAWN. draft-zhang-dawn-agent-discovery-framework-09, 2026-10-20. </w:t>
      </w:r>
      <w:hyperlink r:id="rId17">
        <w:r>
          <w:rPr>
            <w:color w:val="245A81"/>
          </w:rPr>
          <w:t>IETF Datatracker</w:t>
        </w:r>
      </w:hyperlink>
      <w:r>
        <w:rPr>
          <w:b w:val="0"/>
        </w:rPr>
        <w:t>. 个人 Internet-Draft，进行中的工作，非已发布标准。</w:t>
      </w:r>
    </w:p>
    <w:p>
      <w:r>
        <w:rPr>
          <w:b w:val="0"/>
        </w:rPr>
        <w:t xml:space="preserve">[6] Cousot, P.; Cousot, R. Abstract Interpretation: A Unified Lattice Model for Static Analysis of Programs by Construction or Approximation of Fixpoints. POPL, 1977, 238–252. </w:t>
      </w:r>
      <w:hyperlink r:id="rId18">
        <w:r>
          <w:rPr>
            <w:color w:val="245A81"/>
          </w:rPr>
          <w:t>作者论文页面</w:t>
        </w:r>
      </w:hyperlink>
      <w:r>
        <w:rPr>
          <w:b w:val="0"/>
        </w:rPr>
        <w:t>. 用于保守抽象的理论来源。</w:t>
      </w:r>
    </w:p>
    <w:p>
      <w:r>
        <w:rPr>
          <w:b w:val="0"/>
        </w:rPr>
        <w:t xml:space="preserve">[7] Bloom, B. H. Space/Time Trade-offs in Hash Coding with Allowable Errors. Communications of the ACM, 13(7), 1970, 422–426. DOI: 10.1145/362686.362692. </w:t>
      </w:r>
      <w:hyperlink r:id="rId19">
        <w:r>
          <w:rPr>
            <w:color w:val="245A81"/>
          </w:rPr>
          <w:t>论文原文镜像</w:t>
        </w:r>
      </w:hyperlink>
      <w:r>
        <w:rPr>
          <w:b w:val="0"/>
        </w:rPr>
        <w:t>. 出版社页面本次返回访问限制，元信息与内容通过论文原文核验。</w:t>
      </w:r>
    </w:p>
    <w:p>
      <w:r>
        <w:rPr>
          <w:b w:val="0"/>
        </w:rPr>
        <w:t xml:space="preserve">[8] Gilbert, S.; Lynch, N. Brewer's Conjecture and the Feasibility of Consistent, Available, Partition-Tolerant Web Services. SIGACT News, 33(2), 2002. DOI: 10.1145/564585.564601. </w:t>
      </w:r>
      <w:hyperlink r:id="rId20">
        <w:r>
          <w:rPr>
            <w:color w:val="245A81"/>
          </w:rPr>
          <w:t>作者机构论文</w:t>
        </w:r>
      </w:hyperlink>
      <w:r>
        <w:rPr>
          <w:b w:val="0"/>
        </w:rPr>
        <w:t>. 用于分区模型的相关理论，不直接替代本文的发现与授权定义。</w:t>
      </w:r>
    </w:p>
    <w:p>
      <w:r>
        <w:rPr>
          <w:b w:val="0"/>
        </w:rPr>
        <w:t>原稿的 “Discovery of Access Networks via DNS” 与 draft-ietf-add-dawn 条目未能核实，已移除并以实际存在的条目 [5] 重新建立相关工作比较。原有重复参考文献以及只支持编码、标识符或工程实现的条目不再保留。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Cambria" w:hAnsi="Cambria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Cambria" w:hAnsi="Cambria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 w:ascii="Cambria" w:hAnsi="Cambria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 w:ascii="Cambria" w:hAnsi="Cambria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cstheme="majorBidi" w:ascii="Cambria" w:hAnsi="Cambria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cstheme="majorBidi" w:ascii="Cambria" w:hAnsi="Cambria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English/RCAP/Theory/RCAP_Recursive_Discovery_Coverage_and_Consistency.docx" TargetMode="External"/><Relationship Id="rId11" Type="http://schemas.openxmlformats.org/officeDocument/2006/relationships/hyperlink" Target="../../README.md" TargetMode="External"/><Relationship Id="rId12" Type="http://schemas.openxmlformats.org/officeDocument/2006/relationships/hyperlink" Target="../../ICN/Theory/%E6%99%BA%E8%83%BD%E8%83%BD%E5%8A%9B%E7%BD%91%E7%BB%9C_%E8%83%BD%E5%8A%9B%E5%8D%8F%E4%BD%9C%E4%B8%8E%E4%BF%A1%E4%BB%BB%E6%9C%BA%E5%88%B6.docx" TargetMode="External"/><Relationship Id="rId13" Type="http://schemas.openxmlformats.org/officeDocument/2006/relationships/hyperlink" Target="https://www.rfc-editor.org/rfc/rfc6763" TargetMode="External"/><Relationship Id="rId14" Type="http://schemas.openxmlformats.org/officeDocument/2006/relationships/hyperlink" Target="https://www.rfc-editor.org/rfc/rfc9460" TargetMode="External"/><Relationship Id="rId15" Type="http://schemas.openxmlformats.org/officeDocument/2006/relationships/hyperlink" Target="https://modelcontextprotocol.io/specification/2026-07-28" TargetMode="External"/><Relationship Id="rId16" Type="http://schemas.openxmlformats.org/officeDocument/2006/relationships/hyperlink" Target="https://a2a-protocol.org/latest/specification/" TargetMode="External"/><Relationship Id="rId17" Type="http://schemas.openxmlformats.org/officeDocument/2006/relationships/hyperlink" Target="https://datatracker.ietf.org/doc/html/draft-zhang-dawn-agent-discovery-framework-09" TargetMode="External"/><Relationship Id="rId18" Type="http://schemas.openxmlformats.org/officeDocument/2006/relationships/hyperlink" Target="https://www.di.ens.fr/~cousot/COUSOTpapers/POPL77.shtml" TargetMode="External"/><Relationship Id="rId19" Type="http://schemas.openxmlformats.org/officeDocument/2006/relationships/hyperlink" Target="https://crystal.uta.edu/~mcguigan/cse6350/papers/Bloom.pdf" TargetMode="External"/><Relationship Id="rId20" Type="http://schemas.openxmlformats.org/officeDocument/2006/relationships/hyperlink" Target="https://groups.csail.mit.edu/tds/papers/Gilbert/Brewer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策略约束下的递归能力发现</dc:title>
  <dc:subject>Theoretical research paper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