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la8df9xojsb" w:id="0"/>
    <w:bookmarkEnd w:id="0"/>
    <w:p w:rsidR="00000000" w:rsidDel="00000000" w:rsidP="00000000" w:rsidRDefault="00000000" w:rsidRPr="00000000" w14:paraId="00000001">
      <w:pPr>
        <w:spacing w:before="240" w:line="240" w:lineRule="auto"/>
        <w:rPr>
          <w:rFonts w:ascii="Play" w:cs="Play" w:eastAsia="Play" w:hAnsi="Play"/>
          <w:i w:val="1"/>
          <w:iCs w:val="1"/>
          <w:color w:val="0f476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0f4761"/>
          <w:sz w:val="36"/>
          <w:szCs w:val="36"/>
          <w:rtl w:val="0"/>
        </w:rPr>
        <w:t xml:space="preserve">Executive Summary: Wealthsimple Strategic Growth Insights Through Competitor Pain Point Resolution 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Growth Data Science Team: </w:t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23 Nov 2025:</w:t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720"/>
        <w:rPr/>
      </w:pPr>
      <w:r w:rsidDel="00000000" w:rsidR="00000000" w:rsidRPr="00000000">
        <w:rPr>
          <w:i w:val="1"/>
          <w:iCs w:val="1"/>
          <w:color w:val="0f4761"/>
          <w:rtl w:val="0"/>
        </w:rPr>
        <w:t xml:space="preserve">Marc Kiobola, Julio Ramirez Bernal, and Ubong Udoekwere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Executive Overview: 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Wealthsimple has reached $100 billion in assets under management (AUM) as of October 2025, reflecting a 93% year-over-year increase. Its growth has been fueled by a tech-first approach, risk appetite, and regulatory agility. However, as the digital finance market matures, further gains will depend on bold differentiation and building deeper client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Market Reality and Opportunity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Analysis of more than 104,000 CFPB complaints (2021–2025) reveals: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40% are about transaction and security issues (fraud, unauthorized transactions).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17% concern account management and access.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Core frustration: money transfer services and checking/savings accounts, especially among users of Block (Cash App), PayPal, and Chime. Competitors’ chronic failures here offer direct conversion potential for Wealthsimple.​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Actionable Growth Insights for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Recommended priorities for Wealthsimple: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AI-Powered Proactive Support:</w:t>
      </w:r>
      <w:r w:rsidDel="00000000" w:rsidR="00000000" w:rsidRPr="00000000">
        <w:rPr>
          <w:rtl w:val="0"/>
        </w:rPr>
        <w:t xml:space="preserve"> Leverage machine learning to spot transaction anomalies preemptively and offer automatic holds/human reviews, plus radical fee transparency. </w:t>
      </w:r>
      <w:r w:rsidDel="00000000" w:rsidR="00000000" w:rsidRPr="00000000">
        <w:rPr>
          <w:i w:val="1"/>
          <w:iCs w:val="1"/>
          <w:u w:val="single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Turn rivals’ security failures into Wealthsimple’s acquisition channel through greater client trust and user experience.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“Guaranteed Access” Promise:</w:t>
      </w:r>
      <w:r w:rsidDel="00000000" w:rsidR="00000000" w:rsidRPr="00000000">
        <w:rPr>
          <w:rtl w:val="0"/>
        </w:rPr>
        <w:t xml:space="preserve"> Ensure 24-hour withdrawal guarantees, emergency liquidity, and visible account status, reducing the risk of locked-out or anxious clients. </w:t>
      </w:r>
      <w:r w:rsidDel="00000000" w:rsidR="00000000" w:rsidRPr="00000000">
        <w:rPr>
          <w:i w:val="1"/>
          <w:iCs w:val="1"/>
          <w:u w:val="single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Rebrand Wealthsimple as the most reliable and client-friendly solution for banking access</w:t>
      </w:r>
    </w:p>
    <w:p w:rsidR="00000000" w:rsidDel="00000000" w:rsidP="00000000" w:rsidRDefault="00000000" w:rsidRPr="00000000" w14:paraId="00000010">
      <w:pPr>
        <w:pStyle w:val="Heading1"/>
        <w:spacing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Core Findings and Path Forward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Competitor’s’ ongoing failures in security and account access underpin market churn; Wealthsimple’s infrastructure is uniquely suited to solve these reliably at scale.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Launching pilots for guaranteed-access accounts and smart support features in early 2026 can swiftly attract and retain users exhausted by competitors’ missteps.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These solutions should be measured, refined, and scaled for maximum effect throughout 2026, positioning Wealthsimple as not just a disruptor, but the standard-bearer for trust and modern digital finance reliability.</w:t>
      </w:r>
    </w:p>
    <w:p w:rsidR="00000000" w:rsidDel="00000000" w:rsidP="00000000" w:rsidRDefault="00000000" w:rsidRPr="00000000" w14:paraId="00000014">
      <w:pPr>
        <w:pStyle w:val="Heading1"/>
        <w:spacing w:line="24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5">
      <w:pPr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Wealthsimple’s next growth chapter will be defined by how aggressively and visibly it eliminates the points of failure that others persistently ignore—using its existing strengths to transform negative industry perceptions into a loyalty engine.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372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372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372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72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72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372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372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3729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3729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3729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3729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3729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372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372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372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3729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3729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3729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372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729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3729C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37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3729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mLWal+GNYN+oLxkPxDjwZJfeg==">CgMxLjAyD2lkLndsYThkZjl4b2pzYjgAciExeTFJTWtoeFdCQ0VqbUctSWxoWHZ2RlJ2b1FkSFpSblA=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2025-11-23T21:47:00Z</dcterms:created>
  <dc:creator>ime ud</dc:creator>
</cp:coreProperties>
</file>