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8"/>
        </w:rPr>
        <w:t>Manual → Automation Conversion Plan</w:t>
      </w:r>
    </w:p>
    <w:p>
      <w:pPr>
        <w:spacing w:after="40"/>
      </w:pPr>
      <w:r>
        <w:rPr>
          <w:b w:val="0"/>
          <w:color w:val="64748B"/>
          <w:sz w:val="19"/>
        </w:rPr>
        <w:t>Mentora E2E · Jira → Cypress · 16-week roadmap</w:t>
      </w:r>
    </w:p>
    <w:p>
      <w:pPr>
        <w:spacing w:after="40"/>
      </w:pPr>
      <w:r>
        <w:rPr>
          <w:b w:val="0"/>
          <w:color w:val="64748B"/>
          <w:sz w:val="19"/>
        </w:rPr>
        <w:t xml:space="preserve">dev.mentoraeg.com · 12 Jul 2026 · </w:t>
      </w:r>
      <w:r>
        <w:rPr>
          <w:b/>
          <w:color w:val="64748B"/>
          <w:sz w:val="19"/>
        </w:rPr>
        <w:t>Updated 20 Jul 2026</w:t>
      </w:r>
    </w:p>
    <w:p>
      <w:pPr>
        <w:spacing w:after="200"/>
        <w:pBdr>
          <w:bottom w:val="single" w:sz="24" w:space="1" w:color="2563EB"/>
        </w:pBdr>
      </w:pPr>
    </w:p>
    <w:tbl>
      <w:tblPr>
        <w:tblW w:type="auto" w:w="0"/>
        <w:jc w:val="center"/>
        <w:tblLook w:firstColumn="1" w:firstRow="1" w:lastColumn="0" w:lastRow="0" w:noHBand="0" w:noVBand="1" w:val="04A0"/>
      </w:tblPr>
      <w:tblGrid>
        <w:gridCol w:w="2550"/>
        <w:gridCol w:w="2550"/>
        <w:gridCol w:w="2550"/>
        <w:gridCol w:w="2550"/>
      </w:tblGrid>
      <w:tr>
        <w:tc>
          <w:tcPr>
            <w:tcW w:type="dxa" w:w="2550"/>
            <w:shd w:val="clear" w:color="auto" w:fill="F8FAFC"/>
          </w:tcPr>
          <w:p>
            <w:r/>
            <w:r>
              <w:rPr>
                <w:b w:val="0"/>
                <w:color w:val="64748B"/>
                <w:sz w:val="17"/>
              </w:rPr>
              <w:t>Story Automation (now)</w:t>
            </w:r>
          </w:p>
        </w:tc>
        <w:tc>
          <w:tcPr>
            <w:tcW w:type="dxa" w:w="2550"/>
            <w:shd w:val="clear" w:color="auto" w:fill="F8FAFC"/>
          </w:tcPr>
          <w:p>
            <w:r/>
            <w:r>
              <w:rPr>
                <w:b w:val="0"/>
                <w:color w:val="64748B"/>
                <w:sz w:val="17"/>
              </w:rPr>
              <w:t>Test Case Coverage (now)</w:t>
            </w:r>
          </w:p>
        </w:tc>
        <w:tc>
          <w:tcPr>
            <w:tcW w:type="dxa" w:w="2550"/>
            <w:shd w:val="clear" w:color="auto" w:fill="F8FAFC"/>
          </w:tcPr>
          <w:p>
            <w:r/>
            <w:r>
              <w:rPr>
                <w:b w:val="0"/>
                <w:color w:val="64748B"/>
                <w:sz w:val="17"/>
              </w:rPr>
              <w:t>Target (4 months)</w:t>
            </w:r>
          </w:p>
        </w:tc>
        <w:tc>
          <w:tcPr>
            <w:tcW w:type="dxa" w:w="2550"/>
            <w:shd w:val="clear" w:color="auto" w:fill="F8FAFC"/>
          </w:tcPr>
          <w:p>
            <w:r/>
            <w:r>
              <w:rPr>
                <w:b w:val="0"/>
                <w:color w:val="64748B"/>
                <w:sz w:val="17"/>
              </w:rPr>
              <w:t>Cypress Tests</w:t>
            </w:r>
          </w:p>
        </w:tc>
      </w:tr>
      <w:tr>
        <w:tc>
          <w:tcPr>
            <w:tcW w:type="dxa" w:w="2550"/>
            <w:shd w:val="clear" w:color="auto" w:fill="F8FAFC"/>
          </w:tcPr>
          <w:p>
            <w:r/>
            <w:r>
              <w:rPr>
                <w:b/>
                <w:color w:val="0F172A"/>
                <w:sz w:val="32"/>
              </w:rPr>
              <w:t>18%</w:t>
            </w:r>
          </w:p>
        </w:tc>
        <w:tc>
          <w:tcPr>
            <w:tcW w:type="dxa" w:w="2550"/>
            <w:shd w:val="clear" w:color="auto" w:fill="F8FAFC"/>
          </w:tcPr>
          <w:p>
            <w:r/>
            <w:r>
              <w:rPr>
                <w:b/>
                <w:color w:val="0F172A"/>
                <w:sz w:val="32"/>
              </w:rPr>
              <w:t>16%</w:t>
            </w:r>
          </w:p>
        </w:tc>
        <w:tc>
          <w:tcPr>
            <w:tcW w:type="dxa" w:w="2550"/>
            <w:shd w:val="clear" w:color="auto" w:fill="F8FAFC"/>
          </w:tcPr>
          <w:p>
            <w:r/>
            <w:r>
              <w:rPr>
                <w:b/>
                <w:color w:val="0F172A"/>
                <w:sz w:val="32"/>
              </w:rPr>
              <w:t>50%</w:t>
            </w:r>
          </w:p>
        </w:tc>
        <w:tc>
          <w:tcPr>
            <w:tcW w:type="dxa" w:w="2550"/>
            <w:shd w:val="clear" w:color="auto" w:fill="F8FAFC"/>
          </w:tcPr>
          <w:p>
            <w:r/>
            <w:r>
              <w:rPr>
                <w:b/>
                <w:color w:val="0F172A"/>
                <w:sz w:val="32"/>
              </w:rPr>
              <w:t>570 → 1100</w:t>
            </w:r>
          </w:p>
        </w:tc>
      </w:tr>
      <w:tr>
        <w:tc>
          <w:tcPr>
            <w:tcW w:type="dxa" w:w="2550"/>
            <w:shd w:val="clear" w:color="auto" w:fill="F8FAFC"/>
          </w:tcPr>
          <w:p>
            <w:r/>
            <w:r>
              <w:rPr>
                <w:b w:val="0"/>
                <w:color w:val="64748B"/>
                <w:sz w:val="15"/>
              </w:rPr>
              <w:t>19 / 104 stories</w:t>
            </w:r>
          </w:p>
        </w:tc>
        <w:tc>
          <w:tcPr>
            <w:tcW w:type="dxa" w:w="2550"/>
            <w:shd w:val="clear" w:color="auto" w:fill="F8FAFC"/>
          </w:tcPr>
          <w:p>
            <w:r/>
            <w:r>
              <w:rPr>
                <w:b w:val="0"/>
                <w:color w:val="64748B"/>
                <w:sz w:val="15"/>
              </w:rPr>
              <w:t>154 / 978 TC keys</w:t>
            </w:r>
          </w:p>
        </w:tc>
        <w:tc>
          <w:tcPr>
            <w:tcW w:type="dxa" w:w="2550"/>
            <w:shd w:val="clear" w:color="auto" w:fill="F8FAFC"/>
          </w:tcPr>
          <w:p>
            <w:r/>
            <w:r>
              <w:rPr>
                <w:b w:val="0"/>
                <w:color w:val="64748B"/>
                <w:sz w:val="15"/>
              </w:rPr>
              <w:t>~490 TC keys automated</w:t>
            </w:r>
          </w:p>
        </w:tc>
        <w:tc>
          <w:tcPr>
            <w:tcW w:type="dxa" w:w="2550"/>
            <w:shd w:val="clear" w:color="auto" w:fill="F8FAFC"/>
          </w:tcPr>
          <w:p>
            <w:r/>
            <w:r>
              <w:rPr>
                <w:b w:val="0"/>
                <w:color w:val="64748B"/>
                <w:sz w:val="15"/>
              </w:rPr>
              <w:t>40 Cypress files</w:t>
            </w:r>
          </w:p>
        </w:tc>
      </w:tr>
    </w:tbl>
    <w:p>
      <w:pPr>
        <w:spacing w:after="80"/>
      </w:pPr>
    </w:p>
    <w:tbl>
      <w:tblPr>
        <w:tblW w:type="auto" w:w="0"/>
        <w:tblLook w:firstColumn="1" w:firstRow="1" w:lastColumn="0" w:lastRow="0" w:noHBand="0" w:noVBand="1" w:val="04A0"/>
      </w:tblPr>
      <w:tblGrid>
        <w:gridCol w:w="10200"/>
      </w:tblGrid>
      <w:tr>
        <w:tc>
          <w:tcPr>
            <w:tcW w:type="dxa" w:w="10200"/>
            <w:shd w:val="clear" w:color="auto" w:fill="EFF6FF"/>
          </w:tcPr>
          <w:p>
            <w:r/>
            <w:r>
              <w:rPr>
                <w:sz w:val="19"/>
              </w:rPr>
              <w:t>Strategy: Automate by Story priority, not raw TC count. Every it() block must include the Jira key MEN-XXXX. Exclude mobile-native and infrastructure stories from the 50% target.</w:t>
            </w:r>
          </w:p>
        </w:tc>
      </w:tr>
    </w:tbl>
    <w:p>
      <w:pPr>
        <w:spacing w:after="80"/>
      </w:pPr>
    </w:p>
    <w:p>
      <w:pPr>
        <w:spacing w:before="280" w:after="120"/>
      </w:pPr>
      <w:r>
        <w:rPr>
          <w:b/>
          <w:color w:val="166534"/>
          <w:sz w:val="28"/>
        </w:rPr>
        <w:t>📌 Progress Update — 20 Jul 2026 (8 days in)</w:t>
      </w:r>
    </w:p>
    <w:tbl>
      <w:tblPr>
        <w:tblW w:type="auto" w:w="0"/>
        <w:jc w:val="center"/>
        <w:tblLook w:firstColumn="1" w:firstRow="1" w:lastColumn="0" w:lastRow="0" w:noHBand="0" w:noVBand="1" w:val="04A0"/>
      </w:tblPr>
      <w:tblGrid>
        <w:gridCol w:w="2550"/>
        <w:gridCol w:w="2550"/>
        <w:gridCol w:w="2550"/>
        <w:gridCol w:w="2550"/>
      </w:tblGrid>
      <w:tr>
        <w:tc>
          <w:tcPr>
            <w:tcW w:type="dxa" w:w="2550"/>
            <w:shd w:val="clear" w:color="auto" w:fill="F8FAFC"/>
          </w:tcPr>
          <w:p>
            <w:r/>
            <w:r>
              <w:rPr>
                <w:b w:val="0"/>
                <w:color w:val="64748B"/>
                <w:sz w:val="17"/>
              </w:rPr>
              <w:t>Cypress Tests</w:t>
            </w:r>
          </w:p>
        </w:tc>
        <w:tc>
          <w:tcPr>
            <w:tcW w:type="dxa" w:w="2550"/>
            <w:shd w:val="clear" w:color="auto" w:fill="F8FAFC"/>
          </w:tcPr>
          <w:p>
            <w:r/>
            <w:r>
              <w:rPr>
                <w:b w:val="0"/>
                <w:color w:val="64748B"/>
                <w:sz w:val="17"/>
              </w:rPr>
              <w:t>Story Coverage</w:t>
            </w:r>
          </w:p>
        </w:tc>
        <w:tc>
          <w:tcPr>
            <w:tcW w:type="dxa" w:w="2550"/>
            <w:shd w:val="clear" w:color="auto" w:fill="F8FAFC"/>
          </w:tcPr>
          <w:p>
            <w:r/>
            <w:r>
              <w:rPr>
                <w:b w:val="0"/>
                <w:color w:val="64748B"/>
                <w:sz w:val="17"/>
              </w:rPr>
              <w:t>Done-TC Coverage</w:t>
            </w:r>
          </w:p>
        </w:tc>
        <w:tc>
          <w:tcPr>
            <w:tcW w:type="dxa" w:w="2550"/>
            <w:shd w:val="clear" w:color="auto" w:fill="F8FAFC"/>
          </w:tcPr>
          <w:p>
            <w:r/>
            <w:r>
              <w:rPr>
                <w:b w:val="0"/>
                <w:color w:val="64748B"/>
                <w:sz w:val="17"/>
              </w:rPr>
              <w:t>Open Gap</w:t>
            </w:r>
          </w:p>
        </w:tc>
      </w:tr>
      <w:tr>
        <w:tc>
          <w:tcPr>
            <w:tcW w:type="dxa" w:w="2550"/>
            <w:shd w:val="clear" w:color="auto" w:fill="F8FAFC"/>
          </w:tcPr>
          <w:p>
            <w:r/>
            <w:r>
              <w:rPr>
                <w:b/>
                <w:color w:val="0F172A"/>
                <w:sz w:val="32"/>
              </w:rPr>
              <w:t>570 → 625</w:t>
            </w:r>
          </w:p>
        </w:tc>
        <w:tc>
          <w:tcPr>
            <w:tcW w:type="dxa" w:w="2550"/>
            <w:shd w:val="clear" w:color="auto" w:fill="F8FAFC"/>
          </w:tcPr>
          <w:p>
            <w:r/>
            <w:r>
              <w:rPr>
                <w:b/>
                <w:color w:val="0F172A"/>
                <w:sz w:val="32"/>
              </w:rPr>
              <w:t>18% → 20%</w:t>
            </w:r>
          </w:p>
        </w:tc>
        <w:tc>
          <w:tcPr>
            <w:tcW w:type="dxa" w:w="2550"/>
            <w:shd w:val="clear" w:color="auto" w:fill="F8FAFC"/>
          </w:tcPr>
          <w:p>
            <w:r/>
            <w:r>
              <w:rPr>
                <w:b/>
                <w:color w:val="0F172A"/>
                <w:sz w:val="32"/>
              </w:rPr>
              <w:t>13.3%</w:t>
            </w:r>
          </w:p>
        </w:tc>
        <w:tc>
          <w:tcPr>
            <w:tcW w:type="dxa" w:w="2550"/>
            <w:shd w:val="clear" w:color="auto" w:fill="F8FAFC"/>
          </w:tcPr>
          <w:p>
            <w:r/>
            <w:r>
              <w:rPr>
                <w:b/>
                <w:color w:val="0F172A"/>
                <w:sz w:val="32"/>
              </w:rPr>
              <w:t>48</w:t>
            </w:r>
          </w:p>
        </w:tc>
      </w:tr>
      <w:tr>
        <w:tc>
          <w:tcPr>
            <w:tcW w:type="dxa" w:w="2550"/>
            <w:shd w:val="clear" w:color="auto" w:fill="F8FAFC"/>
          </w:tcPr>
          <w:p>
            <w:r/>
            <w:r>
              <w:rPr>
                <w:b w:val="0"/>
                <w:color w:val="64748B"/>
                <w:sz w:val="15"/>
              </w:rPr>
              <w:t>+55 tests · 40 → 43 spec files</w:t>
            </w:r>
          </w:p>
        </w:tc>
        <w:tc>
          <w:tcPr>
            <w:tcW w:type="dxa" w:w="2550"/>
            <w:shd w:val="clear" w:color="auto" w:fill="F8FAFC"/>
          </w:tcPr>
          <w:p>
            <w:r/>
            <w:r>
              <w:rPr>
                <w:b w:val="0"/>
                <w:color w:val="64748B"/>
                <w:sz w:val="15"/>
              </w:rPr>
              <w:t>19/104 → 21/105 (9 tagged + 12 verified untagged)</w:t>
            </w:r>
          </w:p>
        </w:tc>
        <w:tc>
          <w:tcPr>
            <w:tcW w:type="dxa" w:w="2550"/>
            <w:shd w:val="clear" w:color="auto" w:fill="F8FAFC"/>
          </w:tcPr>
          <w:p>
            <w:r/>
            <w:r>
              <w:rPr>
                <w:b w:val="0"/>
                <w:color w:val="64748B"/>
                <w:sz w:val="15"/>
              </w:rPr>
              <w:t>45 / 339 "Done" test cases (stricter metric)</w:t>
            </w:r>
          </w:p>
        </w:tc>
        <w:tc>
          <w:tcPr>
            <w:tcW w:type="dxa" w:w="2550"/>
            <w:shd w:val="clear" w:color="auto" w:fill="F8FAFC"/>
          </w:tcPr>
          <w:p>
            <w:r/>
            <w:r>
              <w:rPr>
                <w:b w:val="0"/>
                <w:color w:val="64748B"/>
                <w:sz w:val="15"/>
              </w:rPr>
              <w:t>Done stories still with zero Cypress evidence</w:t>
            </w:r>
          </w:p>
        </w:tc>
      </w:tr>
    </w:tbl>
    <w:p>
      <w:pPr>
        <w:spacing w:after="80"/>
      </w:pPr>
    </w:p>
    <w:p>
      <w:pPr>
        <w:spacing w:before="200" w:after="120"/>
      </w:pPr>
      <w:r>
        <w:rPr>
          <w:b/>
          <w:color w:val="334155"/>
          <w:sz w:val="23"/>
        </w:rPr>
        <w:t>Newly automated since the 12 Jul plan</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381"/>
            <w:shd w:val="clear" w:color="auto" w:fill="F1F5F9"/>
          </w:tcPr>
          <w:p>
            <w:r/>
            <w:r>
              <w:rPr>
                <w:b/>
                <w:color w:val="334155"/>
                <w:sz w:val="18"/>
              </w:rPr>
              <w:t>Area</w:t>
            </w:r>
          </w:p>
        </w:tc>
        <w:tc>
          <w:tcPr>
            <w:tcW w:type="dxa" w:w="4989"/>
            <w:shd w:val="clear" w:color="auto" w:fill="F1F5F9"/>
          </w:tcPr>
          <w:p>
            <w:r/>
            <w:r>
              <w:rPr>
                <w:b/>
                <w:color w:val="334155"/>
                <w:sz w:val="18"/>
              </w:rPr>
              <w:t>What was added</w:t>
            </w:r>
          </w:p>
        </w:tc>
        <w:tc>
          <w:tcPr>
            <w:tcW w:type="dxa" w:w="2948"/>
            <w:shd w:val="clear" w:color="auto" w:fill="F1F5F9"/>
          </w:tcPr>
          <w:p>
            <w:r/>
            <w:r>
              <w:rPr>
                <w:b/>
                <w:color w:val="334155"/>
                <w:sz w:val="18"/>
              </w:rPr>
              <w:t>Files</w:t>
            </w:r>
          </w:p>
        </w:tc>
      </w:tr>
      <w:tr>
        <w:tc>
          <w:tcPr>
            <w:tcW w:type="dxa" w:w="2381"/>
            <w:shd w:val="clear" w:color="auto" w:fill="F0FDF4"/>
          </w:tcPr>
          <w:p>
            <w:r/>
            <w:r>
              <w:rPr>
                <w:b/>
                <w:color w:val="166534"/>
                <w:sz w:val="18"/>
              </w:rPr>
              <w:t>DONE  Password Policy — live checklist popover</w:t>
            </w:r>
          </w:p>
        </w:tc>
        <w:tc>
          <w:tcPr>
            <w:tcW w:type="dxa" w:w="4989"/>
            <w:shd w:val="clear" w:color="auto" w:fill="F0FDF4"/>
          </w:tcPr>
          <w:p>
            <w:r/>
            <w:r>
              <w:rPr>
                <w:b w:val="0"/>
                <w:sz w:val="18"/>
              </w:rPr>
              <w:t>Reverse-engineered the #password-checklist-password popover (opens on focus, live-updates per keystroke); discovered the register form’s submit handler calls preventDefault() client-side, so no /register request is ever sent for a non-compliant password. Rewrote weak-password negative tests around that fact + added 3 popover tests.</w:t>
            </w:r>
          </w:p>
        </w:tc>
        <w:tc>
          <w:tcPr>
            <w:tcW w:type="dxa" w:w="2948"/>
            <w:shd w:val="clear" w:color="auto" w:fill="F0FDF4"/>
          </w:tcPr>
          <w:p>
            <w:r/>
            <w:r>
              <w:rPr>
                <w:b w:val="0"/>
                <w:sz w:val="18"/>
              </w:rPr>
              <w:t>regestration/password_policy_*.js, .csv</w:t>
            </w:r>
          </w:p>
        </w:tc>
      </w:tr>
      <w:tr>
        <w:tc>
          <w:tcPr>
            <w:tcW w:type="dxa" w:w="2381"/>
            <w:shd w:val="clear" w:color="auto" w:fill="F0FDF4"/>
          </w:tcPr>
          <w:p>
            <w:r/>
            <w:r>
              <w:rPr>
                <w:b/>
                <w:color w:val="166534"/>
                <w:sz w:val="18"/>
              </w:rPr>
              <w:t>DONE  MEN-1726 / MEN-2135–2167 — Instructor Assistants</w:t>
            </w:r>
          </w:p>
        </w:tc>
        <w:tc>
          <w:tcPr>
            <w:tcW w:type="dxa" w:w="4989"/>
            <w:shd w:val="clear" w:color="auto" w:fill="F0FDF4"/>
          </w:tcPr>
          <w:p>
            <w:r/>
            <w:r>
              <w:rPr>
                <w:b w:val="0"/>
                <w:sz w:val="18"/>
              </w:rPr>
              <w:t>Full permission-matrix suite: create/login/deactivate assistant, per-permission access checks (courses, curriculum, pricing, live sessions, roster, grading, earnings, withdrawals), menu visibility by role. 33 test cases.</w:t>
            </w:r>
          </w:p>
        </w:tc>
        <w:tc>
          <w:tcPr>
            <w:tcW w:type="dxa" w:w="2948"/>
            <w:shd w:val="clear" w:color="auto" w:fill="F0FDF4"/>
          </w:tcPr>
          <w:p>
            <w:r/>
            <w:r>
              <w:rPr>
                <w:b w:val="0"/>
                <w:sz w:val="18"/>
              </w:rPr>
              <w:t>instructor_assistants/instructor_assistants.MEN-1726.cy.js</w:t>
            </w:r>
          </w:p>
        </w:tc>
      </w:tr>
      <w:tr>
        <w:tc>
          <w:tcPr>
            <w:tcW w:type="dxa" w:w="2381"/>
            <w:shd w:val="clear" w:color="auto" w:fill="F0FDF4"/>
          </w:tcPr>
          <w:p>
            <w:r/>
            <w:r>
              <w:rPr>
                <w:b/>
                <w:color w:val="166534"/>
                <w:sz w:val="18"/>
              </w:rPr>
              <w:t>DONE  MEN-231 — Instructor ID Verification</w:t>
            </w:r>
          </w:p>
        </w:tc>
        <w:tc>
          <w:tcPr>
            <w:tcW w:type="dxa" w:w="4989"/>
            <w:shd w:val="clear" w:color="auto" w:fill="F0FDF4"/>
          </w:tcPr>
          <w:p>
            <w:r/>
            <w:r>
              <w:rPr>
                <w:b w:val="0"/>
                <w:sz w:val="18"/>
              </w:rPr>
              <w:t>End-to-end: register → verify email → upload ID → admin approves in /admin/verifications → publish gate lifts. Plus 4 negative/access-control cases. 11 test cases.</w:t>
            </w:r>
          </w:p>
        </w:tc>
        <w:tc>
          <w:tcPr>
            <w:tcW w:type="dxa" w:w="2948"/>
            <w:shd w:val="clear" w:color="auto" w:fill="F0FDF4"/>
          </w:tcPr>
          <w:p>
            <w:r/>
            <w:r>
              <w:rPr>
                <w:b w:val="0"/>
                <w:sz w:val="18"/>
              </w:rPr>
              <w:t>instructor_verification/instructor_verification.MEN-231.cy.js</w:t>
            </w:r>
          </w:p>
        </w:tc>
      </w:tr>
      <w:tr>
        <w:tc>
          <w:tcPr>
            <w:tcW w:type="dxa" w:w="2381"/>
            <w:shd w:val="clear" w:color="auto" w:fill="F0FDF4"/>
          </w:tcPr>
          <w:p>
            <w:r/>
            <w:r>
              <w:rPr>
                <w:b/>
                <w:color w:val="1E40AF"/>
                <w:sz w:val="18"/>
              </w:rPr>
              <w:t>NEW FEATURE  Multi-field course search (no Jira key yet)</w:t>
            </w:r>
          </w:p>
        </w:tc>
        <w:tc>
          <w:tcPr>
            <w:tcW w:type="dxa" w:w="4989"/>
            <w:shd w:val="clear" w:color="auto" w:fill="F0FDF4"/>
          </w:tcPr>
          <w:p>
            <w:r/>
            <w:r>
              <w:rPr>
                <w:b w:val="0"/>
                <w:sz w:val="18"/>
              </w:rPr>
              <w:t>HomeController now splits the search query into words and matches each against title, category chain, and instructor names (AND across words, OR across fields). Logic verified against the live dev API before writing 16 test cases.</w:t>
            </w:r>
          </w:p>
        </w:tc>
        <w:tc>
          <w:tcPr>
            <w:tcW w:type="dxa" w:w="2948"/>
            <w:shd w:val="clear" w:color="auto" w:fill="F0FDF4"/>
          </w:tcPr>
          <w:p>
            <w:r/>
            <w:r>
              <w:rPr>
                <w:b w:val="0"/>
                <w:sz w:val="18"/>
              </w:rPr>
              <w:t>course_managment/course_search_multiword.cy.js</w:t>
            </w:r>
          </w:p>
        </w:tc>
      </w:tr>
      <w:tr>
        <w:tc>
          <w:tcPr>
            <w:tcW w:type="dxa" w:w="2381"/>
            <w:shd w:val="clear" w:color="auto" w:fill="F0FDF4"/>
          </w:tcPr>
          <w:p>
            <w:r/>
            <w:r>
              <w:rPr>
                <w:b/>
                <w:color w:val="166534"/>
                <w:sz w:val="18"/>
              </w:rPr>
              <w:t>DONE  MEN-1457 / MEN-2197 — XPay migration</w:t>
            </w:r>
          </w:p>
        </w:tc>
        <w:tc>
          <w:tcPr>
            <w:tcW w:type="dxa" w:w="4989"/>
            <w:shd w:val="clear" w:color="auto" w:fill="F0FDF4"/>
          </w:tcPr>
          <w:p>
            <w:r/>
            <w:r>
              <w:rPr>
                <w:b w:val="0"/>
                <w:sz w:val="18"/>
              </w:rPr>
              <w:t>Checkout against the new XPay API + webhook signature validation — closes the "Partial" status this item had in the Priority Queue.</w:t>
            </w:r>
          </w:p>
        </w:tc>
        <w:tc>
          <w:tcPr>
            <w:tcW w:type="dxa" w:w="2948"/>
            <w:shd w:val="clear" w:color="auto" w:fill="F0FDF4"/>
          </w:tcPr>
          <w:p>
            <w:r/>
            <w:r>
              <w:rPr>
                <w:b w:val="0"/>
                <w:sz w:val="18"/>
              </w:rPr>
              <w:t>payment/xpay_checkout.cy.js</w:t>
            </w:r>
          </w:p>
        </w:tc>
      </w:tr>
      <w:tr>
        <w:tc>
          <w:tcPr>
            <w:tcW w:type="dxa" w:w="2381"/>
            <w:shd w:val="clear" w:color="auto" w:fill="F0FDF4"/>
          </w:tcPr>
          <w:p>
            <w:r/>
            <w:r>
              <w:rPr>
                <w:b/>
                <w:color w:val="166534"/>
                <w:sz w:val="18"/>
              </w:rPr>
              <w:t>DONE  MEN-1718 — Parent phone number</w:t>
            </w:r>
          </w:p>
        </w:tc>
        <w:tc>
          <w:tcPr>
            <w:tcW w:type="dxa" w:w="4989"/>
            <w:shd w:val="clear" w:color="auto" w:fill="F0FDF4"/>
          </w:tcPr>
          <w:p>
            <w:r/>
            <w:r>
              <w:rPr>
                <w:b w:val="0"/>
                <w:sz w:val="18"/>
              </w:rPr>
              <w:t>Diagnostics + audit pass on the register/settings parent-phone field validation.</w:t>
            </w:r>
          </w:p>
        </w:tc>
        <w:tc>
          <w:tcPr>
            <w:tcW w:type="dxa" w:w="2948"/>
            <w:shd w:val="clear" w:color="auto" w:fill="F0FDF4"/>
          </w:tcPr>
          <w:p>
            <w:r/>
            <w:r>
              <w:rPr>
                <w:b w:val="0"/>
                <w:sz w:val="18"/>
              </w:rPr>
              <w:t>parent_phone/parent_phone.cy.js</w:t>
            </w:r>
          </w:p>
        </w:tc>
      </w:tr>
      <w:tr>
        <w:tc>
          <w:tcPr>
            <w:tcW w:type="dxa" w:w="2381"/>
            <w:shd w:val="clear" w:color="auto" w:fill="F0FDF4"/>
          </w:tcPr>
          <w:p>
            <w:r/>
            <w:r>
              <w:rPr>
                <w:b/>
                <w:color w:val="92400E"/>
                <w:sz w:val="18"/>
              </w:rPr>
              <w:t>STABILIZED  MEN-1637–1677 — Curriculum Builder</w:t>
            </w:r>
          </w:p>
        </w:tc>
        <w:tc>
          <w:tcPr>
            <w:tcW w:type="dxa" w:w="4989"/>
            <w:shd w:val="clear" w:color="auto" w:fill="F0FDF4"/>
          </w:tcPr>
          <w:p>
            <w:r/>
            <w:r>
              <w:rPr>
                <w:b w:val="0"/>
                <w:sz w:val="18"/>
              </w:rPr>
              <w:t>Fixed a real bug class: clicks resolving to 2+ elements (cy.click() can only be called on a single element), caused by force: true clicks incorrectly combined with a :visible filter.</w:t>
            </w:r>
          </w:p>
        </w:tc>
        <w:tc>
          <w:tcPr>
            <w:tcW w:type="dxa" w:w="2948"/>
            <w:shd w:val="clear" w:color="auto" w:fill="F0FDF4"/>
          </w:tcPr>
          <w:p>
            <w:r/>
            <w:r>
              <w:rPr>
                <w:b w:val="0"/>
                <w:sz w:val="18"/>
              </w:rPr>
              <w:t>curriculum/curriculum_builder.cy.js</w:t>
            </w:r>
          </w:p>
        </w:tc>
      </w:tr>
    </w:tbl>
    <w:p>
      <w:pPr>
        <w:spacing w:after="40"/>
      </w:pPr>
    </w:p>
    <w:p>
      <w:pPr>
        <w:spacing w:before="160" w:after="120"/>
      </w:pPr>
      <w:r>
        <w:rPr>
          <w:b/>
          <w:color w:val="334155"/>
          <w:sz w:val="22"/>
        </w:rPr>
        <w:t>Still true — carried over unresolved from Week 1 checklist</w:t>
      </w:r>
    </w:p>
    <w:p>
      <w:pPr>
        <w:pStyle w:val="ListBullet"/>
        <w:spacing w:after="60"/>
      </w:pPr>
      <w:r>
        <w:rPr>
          <w:sz w:val="20"/>
        </w:rPr>
        <w:t>MEN-2005 Instructor Finance — still the #1 zero-coverage priority, untouched since 12 Jul</w:t>
      </w:r>
    </w:p>
    <w:p>
      <w:pPr>
        <w:pStyle w:val="ListBullet"/>
        <w:spacing w:after="60"/>
      </w:pPr>
      <w:r>
        <w:rPr>
          <w:sz w:val="20"/>
        </w:rPr>
        <w:t>MEN-XXXX prefix still missing on 12 of the 21 "covered" stories — coverage can only be verified by manual review, not by grep/CI, until this is fixed</w:t>
      </w:r>
    </w:p>
    <w:p>
      <w:pPr>
        <w:pStyle w:val="ListBullet"/>
        <w:spacing w:after="60"/>
      </w:pPr>
      <w:r>
        <w:rPr>
          <w:sz w:val="20"/>
        </w:rPr>
        <w:t>Jira Parent-key linkage still broken: only 13 / 966 test cases link to a Story (was ~13/978)</w:t>
      </w:r>
    </w:p>
    <w:p>
      <w:pPr>
        <w:spacing w:before="280" w:after="120"/>
        <w:pBdr>
          <w:bottom w:val="single" w:sz="6" w:space="4" w:color="E2E8F0"/>
        </w:pBdr>
      </w:pPr>
      <w:r>
        <w:rPr>
          <w:b/>
          <w:color w:val="1E40AF"/>
          <w:sz w:val="28"/>
        </w:rPr>
        <w:t>Coverage Targets</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268"/>
            <w:shd w:val="clear" w:color="auto" w:fill="F1F5F9"/>
          </w:tcPr>
          <w:p>
            <w:r/>
            <w:r>
              <w:rPr>
                <w:b/>
                <w:color w:val="334155"/>
                <w:sz w:val="18"/>
              </w:rPr>
              <w:t>Milestone</w:t>
            </w:r>
          </w:p>
        </w:tc>
        <w:tc>
          <w:tcPr>
            <w:tcW w:type="dxa" w:w="2268"/>
            <w:shd w:val="clear" w:color="auto" w:fill="F1F5F9"/>
          </w:tcPr>
          <w:p>
            <w:r/>
            <w:r>
              <w:rPr>
                <w:b/>
                <w:color w:val="334155"/>
                <w:sz w:val="18"/>
              </w:rPr>
              <w:t>Story %</w:t>
            </w:r>
          </w:p>
        </w:tc>
        <w:tc>
          <w:tcPr>
            <w:tcW w:type="dxa" w:w="2268"/>
            <w:shd w:val="clear" w:color="auto" w:fill="F1F5F9"/>
          </w:tcPr>
          <w:p>
            <w:r/>
            <w:r>
              <w:rPr>
                <w:b/>
                <w:color w:val="334155"/>
                <w:sz w:val="18"/>
              </w:rPr>
              <w:t>TC %</w:t>
            </w:r>
          </w:p>
        </w:tc>
        <w:tc>
          <w:tcPr>
            <w:tcW w:type="dxa" w:w="3402"/>
            <w:shd w:val="clear" w:color="auto" w:fill="F1F5F9"/>
          </w:tcPr>
          <w:p>
            <w:r/>
            <w:r>
              <w:rPr>
                <w:b/>
                <w:color w:val="334155"/>
                <w:sz w:val="18"/>
              </w:rPr>
              <w:t>Cypress Tests</w:t>
            </w:r>
          </w:p>
        </w:tc>
      </w:tr>
      <w:tr>
        <w:tc>
          <w:tcPr>
            <w:tcW w:type="dxa" w:w="2268"/>
          </w:tcPr>
          <w:p>
            <w:r/>
            <w:r>
              <w:rPr>
                <w:b w:val="0"/>
                <w:sz w:val="18"/>
              </w:rPr>
              <w:t>Now</w:t>
            </w:r>
          </w:p>
        </w:tc>
        <w:tc>
          <w:tcPr>
            <w:tcW w:type="dxa" w:w="2268"/>
          </w:tcPr>
          <w:p>
            <w:r/>
            <w:r>
              <w:rPr>
                <w:b w:val="0"/>
                <w:sz w:val="18"/>
              </w:rPr>
              <w:t>18%</w:t>
            </w:r>
          </w:p>
        </w:tc>
        <w:tc>
          <w:tcPr>
            <w:tcW w:type="dxa" w:w="2268"/>
          </w:tcPr>
          <w:p>
            <w:r/>
            <w:r>
              <w:rPr>
                <w:b w:val="0"/>
                <w:sz w:val="18"/>
              </w:rPr>
              <w:t>16%</w:t>
            </w:r>
          </w:p>
        </w:tc>
        <w:tc>
          <w:tcPr>
            <w:tcW w:type="dxa" w:w="3402"/>
          </w:tcPr>
          <w:p>
            <w:r/>
            <w:r>
              <w:rPr>
                <w:b w:val="0"/>
                <w:sz w:val="18"/>
              </w:rPr>
              <w:t>570</w:t>
            </w:r>
          </w:p>
        </w:tc>
      </w:tr>
      <w:tr>
        <w:tc>
          <w:tcPr>
            <w:tcW w:type="dxa" w:w="2268"/>
          </w:tcPr>
          <w:p>
            <w:r/>
            <w:r>
              <w:rPr>
                <w:b w:val="0"/>
                <w:sz w:val="18"/>
              </w:rPr>
              <w:t>Month 1</w:t>
            </w:r>
          </w:p>
        </w:tc>
        <w:tc>
          <w:tcPr>
            <w:tcW w:type="dxa" w:w="2268"/>
          </w:tcPr>
          <w:p>
            <w:r/>
            <w:r>
              <w:rPr>
                <w:b w:val="0"/>
                <w:sz w:val="18"/>
              </w:rPr>
              <w:t>30%</w:t>
            </w:r>
          </w:p>
        </w:tc>
        <w:tc>
          <w:tcPr>
            <w:tcW w:type="dxa" w:w="2268"/>
          </w:tcPr>
          <w:p>
            <w:r/>
            <w:r>
              <w:rPr>
                <w:b w:val="0"/>
                <w:sz w:val="18"/>
              </w:rPr>
              <w:t>25%</w:t>
            </w:r>
          </w:p>
        </w:tc>
        <w:tc>
          <w:tcPr>
            <w:tcW w:type="dxa" w:w="3402"/>
          </w:tcPr>
          <w:p>
            <w:r/>
            <w:r>
              <w:rPr>
                <w:b w:val="0"/>
                <w:sz w:val="18"/>
              </w:rPr>
              <w:t>700</w:t>
            </w:r>
          </w:p>
        </w:tc>
      </w:tr>
      <w:tr>
        <w:tc>
          <w:tcPr>
            <w:tcW w:type="dxa" w:w="2268"/>
          </w:tcPr>
          <w:p>
            <w:r/>
            <w:r>
              <w:rPr>
                <w:b w:val="0"/>
                <w:sz w:val="18"/>
              </w:rPr>
              <w:t>Month 2</w:t>
            </w:r>
          </w:p>
        </w:tc>
        <w:tc>
          <w:tcPr>
            <w:tcW w:type="dxa" w:w="2268"/>
          </w:tcPr>
          <w:p>
            <w:r/>
            <w:r>
              <w:rPr>
                <w:b w:val="0"/>
                <w:sz w:val="18"/>
              </w:rPr>
              <w:t>40%</w:t>
            </w:r>
          </w:p>
        </w:tc>
        <w:tc>
          <w:tcPr>
            <w:tcW w:type="dxa" w:w="2268"/>
          </w:tcPr>
          <w:p>
            <w:r/>
            <w:r>
              <w:rPr>
                <w:b w:val="0"/>
                <w:sz w:val="18"/>
              </w:rPr>
              <w:t>35%</w:t>
            </w:r>
          </w:p>
        </w:tc>
        <w:tc>
          <w:tcPr>
            <w:tcW w:type="dxa" w:w="3402"/>
          </w:tcPr>
          <w:p>
            <w:r/>
            <w:r>
              <w:rPr>
                <w:b w:val="0"/>
                <w:sz w:val="18"/>
              </w:rPr>
              <w:t>850</w:t>
            </w:r>
          </w:p>
        </w:tc>
      </w:tr>
      <w:tr>
        <w:tc>
          <w:tcPr>
            <w:tcW w:type="dxa" w:w="2268"/>
          </w:tcPr>
          <w:p>
            <w:r/>
            <w:r>
              <w:rPr>
                <w:b w:val="0"/>
                <w:sz w:val="18"/>
              </w:rPr>
              <w:t>Month 4</w:t>
            </w:r>
          </w:p>
        </w:tc>
        <w:tc>
          <w:tcPr>
            <w:tcW w:type="dxa" w:w="2268"/>
          </w:tcPr>
          <w:p>
            <w:r/>
            <w:r>
              <w:rPr>
                <w:b w:val="0"/>
                <w:sz w:val="18"/>
              </w:rPr>
              <w:t>50%</w:t>
            </w:r>
          </w:p>
        </w:tc>
        <w:tc>
          <w:tcPr>
            <w:tcW w:type="dxa" w:w="2268"/>
          </w:tcPr>
          <w:p>
            <w:r/>
            <w:r>
              <w:rPr>
                <w:b w:val="0"/>
                <w:sz w:val="18"/>
              </w:rPr>
              <w:t>50%</w:t>
            </w:r>
          </w:p>
        </w:tc>
        <w:tc>
          <w:tcPr>
            <w:tcW w:type="dxa" w:w="3402"/>
          </w:tcPr>
          <w:p>
            <w:r/>
            <w:r>
              <w:rPr>
                <w:b w:val="0"/>
                <w:sz w:val="18"/>
              </w:rPr>
              <w:t>1100</w:t>
            </w:r>
          </w:p>
        </w:tc>
      </w:tr>
    </w:tbl>
    <w:p>
      <w:pPr>
        <w:spacing w:after="40"/>
      </w:pPr>
    </w:p>
    <w:p>
      <w:pPr>
        <w:spacing w:before="280" w:after="120"/>
        <w:pBdr>
          <w:bottom w:val="single" w:sz="6" w:space="4" w:color="E2E8F0"/>
        </w:pBdr>
      </w:pPr>
      <w:r>
        <w:rPr>
          <w:b/>
          <w:color w:val="1E40AF"/>
          <w:sz w:val="28"/>
        </w:rPr>
        <w:t>Phase 1 — Foundation (Weeks 1–2)</w:t>
      </w:r>
    </w:p>
    <w:p>
      <w:pPr>
        <w:spacing w:after="20"/>
      </w:pPr>
      <w:r>
        <w:rPr>
          <w:b/>
          <w:i w:val="0"/>
          <w:color w:val="1E40AF"/>
          <w:sz w:val="22"/>
        </w:rPr>
        <w:t>Foundation &amp; Quick Wins</w:t>
      </w:r>
    </w:p>
    <w:p>
      <w:pPr>
        <w:spacing w:after="80"/>
      </w:pPr>
      <w:r>
        <w:rPr>
          <w:b w:val="0"/>
          <w:i w:val="0"/>
          <w:color w:val="64748B"/>
          <w:sz w:val="17"/>
        </w:rPr>
        <w:t>Target: +80 TCs · 3 stories</w:t>
      </w:r>
    </w:p>
    <w:p>
      <w:pPr>
        <w:pStyle w:val="ListBullet"/>
        <w:spacing w:after="60"/>
      </w:pPr>
      <w:r>
        <w:rPr>
          <w:sz w:val="20"/>
        </w:rPr>
        <w:t>Link all Jira TCs to their Parent Story (AgileTest / Parent key)</w:t>
      </w:r>
    </w:p>
    <w:p>
      <w:pPr>
        <w:pStyle w:val="ListBullet"/>
        <w:spacing w:after="60"/>
      </w:pPr>
      <w:r>
        <w:rPr>
          <w:sz w:val="20"/>
        </w:rPr>
        <w:t>Add MEN-XXXX prefix to every existing it() block</w:t>
      </w:r>
    </w:p>
    <w:p>
      <w:pPr>
        <w:pStyle w:val="ListBullet"/>
        <w:spacing w:after="60"/>
      </w:pPr>
      <w:r>
        <w:rPr>
          <w:sz w:val="20"/>
        </w:rPr>
        <w:t>CI: cypress run + JUnit report → Azure DevOps</w:t>
      </w:r>
    </w:p>
    <w:p>
      <w:pPr>
        <w:pStyle w:val="ListBullet"/>
        <w:spacing w:after="60"/>
      </w:pPr>
      <w:r>
        <w:rPr>
          <w:sz w:val="20"/>
        </w:rPr>
        <w:t>Stabilize flaky tests: login, navigation auth, flatpickr</w:t>
      </w:r>
    </w:p>
    <w:p>
      <w:pPr>
        <w:pStyle w:val="ListBullet"/>
        <w:spacing w:after="60"/>
      </w:pPr>
      <w:r>
        <w:rPr>
          <w:sz w:val="20"/>
        </w:rPr>
        <w:t>Start MEN-2005 Instructor Finance (read-only + PDF export)</w:t>
      </w:r>
    </w:p>
    <w:p>
      <w:pPr>
        <w:spacing w:before="280" w:after="120"/>
        <w:pBdr>
          <w:bottom w:val="single" w:sz="6" w:space="4" w:color="E2E8F0"/>
        </w:pBdr>
      </w:pPr>
      <w:r>
        <w:rPr>
          <w:b/>
          <w:color w:val="1E40AF"/>
          <w:sz w:val="28"/>
        </w:rPr>
        <w:t>Phase 2 — High ROI (Weeks 3–6)</w:t>
      </w:r>
    </w:p>
    <w:p>
      <w:pPr>
        <w:spacing w:after="20"/>
      </w:pPr>
      <w:r>
        <w:rPr>
          <w:b/>
          <w:i w:val="0"/>
          <w:color w:val="1E40AF"/>
          <w:sz w:val="22"/>
        </w:rPr>
        <w:t>High-ROI Features</w:t>
      </w:r>
    </w:p>
    <w:p>
      <w:pPr>
        <w:spacing w:after="80"/>
      </w:pPr>
      <w:r>
        <w:rPr>
          <w:b w:val="0"/>
          <w:i w:val="0"/>
          <w:color w:val="64748B"/>
          <w:sz w:val="17"/>
        </w:rPr>
        <w:t>Target: +200 TCs · 8 stories</w:t>
      </w:r>
    </w:p>
    <w:p>
      <w:pPr>
        <w:pStyle w:val="ListBullet"/>
        <w:spacing w:after="60"/>
      </w:pPr>
      <w:r>
        <w:rPr>
          <w:sz w:val="20"/>
        </w:rPr>
        <w:t>MEN-2005 — full Instructor Finance suite (12 TCs)</w:t>
      </w:r>
    </w:p>
    <w:p>
      <w:pPr>
        <w:pStyle w:val="ListBullet"/>
        <w:spacing w:after="60"/>
      </w:pPr>
      <w:r>
        <w:rPr>
          <w:sz w:val="20"/>
        </w:rPr>
        <w:t>MEN-1956 — purchase currently running sessions</w:t>
      </w:r>
    </w:p>
    <w:p>
      <w:pPr>
        <w:pStyle w:val="ListBullet"/>
        <w:spacing w:after="60"/>
      </w:pPr>
      <w:r>
        <w:rPr>
          <w:sz w:val="20"/>
        </w:rPr>
        <w:t>MEN-1724 — student attendance system</w:t>
      </w:r>
    </w:p>
    <w:p>
      <w:pPr>
        <w:pStyle w:val="ListBullet"/>
        <w:spacing w:after="60"/>
      </w:pPr>
      <w:r>
        <w:rPr>
          <w:sz w:val="20"/>
        </w:rPr>
        <w:t>Payment regression: XPay webhook, Apple Pay, voucher edge cases</w:t>
      </w:r>
    </w:p>
    <w:p>
      <w:pPr>
        <w:pStyle w:val="ListBullet"/>
        <w:spacing w:after="60"/>
      </w:pPr>
      <w:r>
        <w:rPr>
          <w:sz w:val="20"/>
        </w:rPr>
        <w:t>Live Sessions: expired course link-list test (Full Payment path)</w:t>
      </w:r>
    </w:p>
    <w:p>
      <w:pPr>
        <w:spacing w:before="280" w:after="120"/>
        <w:pBdr>
          <w:bottom w:val="single" w:sz="6" w:space="4" w:color="E2E8F0"/>
        </w:pBdr>
      </w:pPr>
      <w:r>
        <w:rPr>
          <w:b/>
          <w:color w:val="1E40AF"/>
          <w:sz w:val="28"/>
        </w:rPr>
        <w:t>Phase 3 — Core Platform (Weeks 7–10)</w:t>
      </w:r>
    </w:p>
    <w:p>
      <w:pPr>
        <w:spacing w:after="20"/>
      </w:pPr>
      <w:r>
        <w:rPr>
          <w:b/>
          <w:i w:val="0"/>
          <w:color w:val="1E40AF"/>
          <w:sz w:val="22"/>
        </w:rPr>
        <w:t>Core Platform Coverage</w:t>
      </w:r>
    </w:p>
    <w:p>
      <w:pPr>
        <w:spacing w:after="80"/>
      </w:pPr>
      <w:r>
        <w:rPr>
          <w:b w:val="0"/>
          <w:i w:val="0"/>
          <w:color w:val="64748B"/>
          <w:sz w:val="17"/>
        </w:rPr>
        <w:t>Target: +250 TCs · 15 stories</w:t>
      </w:r>
    </w:p>
    <w:p>
      <w:pPr>
        <w:pStyle w:val="ListBullet"/>
        <w:spacing w:after="60"/>
      </w:pPr>
      <w:r>
        <w:rPr>
          <w:sz w:val="20"/>
        </w:rPr>
        <w:t>Course Management — archive, publish, pricing (PPS vs Full Payment)</w:t>
      </w:r>
    </w:p>
    <w:p>
      <w:pPr>
        <w:pStyle w:val="ListBullet"/>
        <w:spacing w:after="60"/>
      </w:pPr>
      <w:r>
        <w:rPr>
          <w:sz w:val="20"/>
        </w:rPr>
        <w:t>Notifications — unified inbox, WhatsApp CRM (MEN-1727)</w:t>
      </w:r>
    </w:p>
    <w:p>
      <w:pPr>
        <w:pStyle w:val="ListBullet"/>
        <w:spacing w:after="60"/>
      </w:pPr>
      <w:r>
        <w:rPr>
          <w:sz w:val="20"/>
        </w:rPr>
        <w:t>RBAC — permission matrix for every admin role</w:t>
      </w:r>
    </w:p>
    <w:p>
      <w:pPr>
        <w:pStyle w:val="ListBullet"/>
        <w:spacing w:after="60"/>
      </w:pPr>
      <w:r>
        <w:rPr>
          <w:sz w:val="20"/>
        </w:rPr>
        <w:t>Auth — parent phone edge cases, email verification negative paths</w:t>
      </w:r>
    </w:p>
    <w:p>
      <w:pPr>
        <w:pStyle w:val="ListBullet"/>
        <w:spacing w:after="60"/>
      </w:pPr>
      <w:r>
        <w:rPr>
          <w:sz w:val="20"/>
        </w:rPr>
        <w:t>Roster — mobile + desktop parity (MEN-1314–1319)</w:t>
      </w:r>
    </w:p>
    <w:p>
      <w:pPr>
        <w:spacing w:before="280" w:after="120"/>
        <w:pBdr>
          <w:bottom w:val="single" w:sz="6" w:space="4" w:color="E2E8F0"/>
        </w:pBdr>
      </w:pPr>
      <w:r>
        <w:rPr>
          <w:b/>
          <w:color w:val="1E40AF"/>
          <w:sz w:val="28"/>
        </w:rPr>
        <w:t>Phase 4 — Scale (Weeks 11–16)</w:t>
      </w:r>
    </w:p>
    <w:p>
      <w:pPr>
        <w:spacing w:after="20"/>
      </w:pPr>
      <w:r>
        <w:rPr>
          <w:b/>
          <w:i w:val="0"/>
          <w:color w:val="1E40AF"/>
          <w:sz w:val="22"/>
        </w:rPr>
        <w:t>Scale &amp; Maintain → 50% Coverage</w:t>
      </w:r>
    </w:p>
    <w:p>
      <w:pPr>
        <w:spacing w:after="80"/>
      </w:pPr>
      <w:r>
        <w:rPr>
          <w:b w:val="0"/>
          <w:i w:val="0"/>
          <w:color w:val="64748B"/>
          <w:sz w:val="17"/>
        </w:rPr>
        <w:t>Target: 50% TC key coverage</w:t>
      </w:r>
    </w:p>
    <w:p>
      <w:pPr>
        <w:pStyle w:val="ListBullet"/>
        <w:spacing w:after="60"/>
      </w:pPr>
      <w:r>
        <w:rPr>
          <w:sz w:val="20"/>
        </w:rPr>
        <w:t>Page Object Model for the top 5 flows</w:t>
      </w:r>
    </w:p>
    <w:p>
      <w:pPr>
        <w:pStyle w:val="ListBullet"/>
        <w:spacing w:after="60"/>
      </w:pPr>
      <w:r>
        <w:rPr>
          <w:sz w:val="20"/>
        </w:rPr>
        <w:t>Shared helpers: createCourse(), createSession(), enrollStudent()</w:t>
      </w:r>
    </w:p>
    <w:p>
      <w:pPr>
        <w:pStyle w:val="ListBullet"/>
        <w:spacing w:after="60"/>
      </w:pPr>
      <w:r>
        <w:rPr>
          <w:sz w:val="20"/>
        </w:rPr>
        <w:t>Nightly full suite on staging · smoke on dev after deploy</w:t>
      </w:r>
    </w:p>
    <w:p>
      <w:pPr>
        <w:pStyle w:val="ListBullet"/>
        <w:spacing w:after="60"/>
      </w:pPr>
      <w:r>
        <w:rPr>
          <w:sz w:val="20"/>
        </w:rPr>
        <w:t>Automation dashboard: Jira TC status synced from Cypress results</w:t>
      </w:r>
    </w:p>
    <w:p>
      <w:r>
        <w:br w:type="page"/>
      </w:r>
    </w:p>
    <w:p>
      <w:pPr>
        <w:spacing w:before="280" w:after="120"/>
        <w:pBdr>
          <w:bottom w:val="single" w:sz="6" w:space="4" w:color="E2E8F0"/>
        </w:pBdr>
      </w:pPr>
      <w:r>
        <w:rPr>
          <w:b/>
          <w:color w:val="1E40AF"/>
          <w:sz w:val="28"/>
        </w:rPr>
        <w:t>Priority Queue — Top Stories</w:t>
      </w:r>
    </w:p>
    <w:tbl>
      <w:tblPr>
        <w:tblStyle w:val="TableGrid"/>
        <w:tblW w:type="auto" w:w="0"/>
        <w:jc w:val="center"/>
        <w:tblLayout w:type="fixed"/>
        <w:tblLook w:firstColumn="1" w:firstRow="1" w:lastColumn="0" w:lastRow="0" w:noHBand="0" w:noVBand="1" w:val="04A0"/>
      </w:tblPr>
      <w:tblGrid>
        <w:gridCol w:w="1457"/>
        <w:gridCol w:w="1457"/>
        <w:gridCol w:w="1457"/>
        <w:gridCol w:w="1457"/>
        <w:gridCol w:w="1457"/>
        <w:gridCol w:w="1457"/>
        <w:gridCol w:w="1457"/>
      </w:tblGrid>
      <w:tr>
        <w:tc>
          <w:tcPr>
            <w:tcW w:type="dxa" w:w="397"/>
            <w:shd w:val="clear" w:color="auto" w:fill="F1F5F9"/>
          </w:tcPr>
          <w:p>
            <w:r/>
            <w:r>
              <w:rPr>
                <w:b/>
                <w:color w:val="334155"/>
                <w:sz w:val="18"/>
              </w:rPr>
              <w:t>#</w:t>
            </w:r>
          </w:p>
        </w:tc>
        <w:tc>
          <w:tcPr>
            <w:tcW w:type="dxa" w:w="1247"/>
            <w:shd w:val="clear" w:color="auto" w:fill="F1F5F9"/>
          </w:tcPr>
          <w:p>
            <w:r/>
            <w:r>
              <w:rPr>
                <w:b/>
                <w:color w:val="334155"/>
                <w:sz w:val="18"/>
              </w:rPr>
              <w:t>Key</w:t>
            </w:r>
          </w:p>
        </w:tc>
        <w:tc>
          <w:tcPr>
            <w:tcW w:type="dxa" w:w="1984"/>
            <w:shd w:val="clear" w:color="auto" w:fill="F1F5F9"/>
          </w:tcPr>
          <w:p>
            <w:r/>
            <w:r>
              <w:rPr>
                <w:b/>
                <w:color w:val="334155"/>
                <w:sz w:val="18"/>
              </w:rPr>
              <w:t>Feature</w:t>
            </w:r>
          </w:p>
        </w:tc>
        <w:tc>
          <w:tcPr>
            <w:tcW w:type="dxa" w:w="680"/>
            <w:shd w:val="clear" w:color="auto" w:fill="F1F5F9"/>
          </w:tcPr>
          <w:p>
            <w:r/>
            <w:r>
              <w:rPr>
                <w:b/>
                <w:color w:val="334155"/>
                <w:sz w:val="18"/>
              </w:rPr>
              <w:t>TCs</w:t>
            </w:r>
          </w:p>
        </w:tc>
        <w:tc>
          <w:tcPr>
            <w:tcW w:type="dxa" w:w="794"/>
            <w:shd w:val="clear" w:color="auto" w:fill="F1F5F9"/>
          </w:tcPr>
          <w:p>
            <w:r/>
            <w:r>
              <w:rPr>
                <w:b/>
                <w:color w:val="334155"/>
                <w:sz w:val="18"/>
              </w:rPr>
              <w:t>Effort</w:t>
            </w:r>
          </w:p>
        </w:tc>
        <w:tc>
          <w:tcPr>
            <w:tcW w:type="dxa" w:w="907"/>
            <w:shd w:val="clear" w:color="auto" w:fill="F1F5F9"/>
          </w:tcPr>
          <w:p>
            <w:r/>
            <w:r>
              <w:rPr>
                <w:b/>
                <w:color w:val="334155"/>
                <w:sz w:val="18"/>
              </w:rPr>
              <w:t>ROI</w:t>
            </w:r>
          </w:p>
        </w:tc>
        <w:tc>
          <w:tcPr>
            <w:tcW w:type="dxa" w:w="3628"/>
            <w:shd w:val="clear" w:color="auto" w:fill="F1F5F9"/>
          </w:tcPr>
          <w:p>
            <w:r/>
            <w:r>
              <w:rPr>
                <w:b/>
                <w:color w:val="334155"/>
                <w:sz w:val="18"/>
              </w:rPr>
              <w:t>Reason</w:t>
            </w:r>
          </w:p>
        </w:tc>
      </w:tr>
      <w:tr>
        <w:tc>
          <w:tcPr>
            <w:tcW w:type="dxa" w:w="397"/>
          </w:tcPr>
          <w:p>
            <w:r/>
            <w:r>
              <w:rPr>
                <w:b w:val="0"/>
                <w:sz w:val="18"/>
              </w:rPr>
              <w:t>1</w:t>
            </w:r>
          </w:p>
        </w:tc>
        <w:tc>
          <w:tcPr>
            <w:tcW w:type="dxa" w:w="1247"/>
          </w:tcPr>
          <w:p>
            <w:r/>
            <w:r>
              <w:rPr>
                <w:b w:val="0"/>
                <w:sz w:val="18"/>
              </w:rPr>
              <w:t>MEN-2005</w:t>
            </w:r>
          </w:p>
        </w:tc>
        <w:tc>
          <w:tcPr>
            <w:tcW w:type="dxa" w:w="1984"/>
          </w:tcPr>
          <w:p>
            <w:r/>
            <w:r>
              <w:rPr>
                <w:b w:val="0"/>
                <w:sz w:val="18"/>
              </w:rPr>
              <w:t>Instructor Finance</w:t>
            </w:r>
          </w:p>
        </w:tc>
        <w:tc>
          <w:tcPr>
            <w:tcW w:type="dxa" w:w="680"/>
          </w:tcPr>
          <w:p>
            <w:r/>
            <w:r>
              <w:rPr>
                <w:b w:val="0"/>
                <w:sz w:val="18"/>
              </w:rPr>
              <w:t>12</w:t>
            </w:r>
          </w:p>
        </w:tc>
        <w:tc>
          <w:tcPr>
            <w:tcW w:type="dxa" w:w="794"/>
          </w:tcPr>
          <w:p>
            <w:r/>
            <w:r>
              <w:rPr>
                <w:b w:val="0"/>
                <w:sz w:val="18"/>
              </w:rPr>
              <w:t>M</w:t>
            </w:r>
          </w:p>
        </w:tc>
        <w:tc>
          <w:tcPr>
            <w:tcW w:type="dxa" w:w="907"/>
          </w:tcPr>
          <w:p>
            <w:r/>
            <w:r>
              <w:rPr>
                <w:b w:val="0"/>
                <w:sz w:val="18"/>
              </w:rPr>
              <w:t>High</w:t>
            </w:r>
          </w:p>
        </w:tc>
        <w:tc>
          <w:tcPr>
            <w:tcW w:type="dxa" w:w="3628"/>
          </w:tcPr>
          <w:p>
            <w:r/>
            <w:r>
              <w:rPr>
                <w:b w:val="0"/>
                <w:sz w:val="18"/>
              </w:rPr>
              <w:t>Still 0% — top priority, unchanged since 12 Jul</w:t>
            </w:r>
          </w:p>
        </w:tc>
      </w:tr>
      <w:tr>
        <w:tc>
          <w:tcPr>
            <w:tcW w:type="dxa" w:w="397"/>
            <w:shd w:val="clear" w:color="auto" w:fill="F0FDF4"/>
          </w:tcPr>
          <w:p>
            <w:r/>
            <w:r>
              <w:rPr>
                <w:b w:val="0"/>
                <w:sz w:val="18"/>
              </w:rPr>
              <w:t>2</w:t>
            </w:r>
          </w:p>
        </w:tc>
        <w:tc>
          <w:tcPr>
            <w:tcW w:type="dxa" w:w="1247"/>
            <w:shd w:val="clear" w:color="auto" w:fill="F0FDF4"/>
          </w:tcPr>
          <w:p>
            <w:r/>
            <w:r>
              <w:rPr>
                <w:b w:val="0"/>
                <w:sz w:val="18"/>
              </w:rPr>
              <w:t>MEN-1555</w:t>
            </w:r>
          </w:p>
        </w:tc>
        <w:tc>
          <w:tcPr>
            <w:tcW w:type="dxa" w:w="1984"/>
            <w:shd w:val="clear" w:color="auto" w:fill="F0FDF4"/>
          </w:tcPr>
          <w:p>
            <w:r/>
            <w:r>
              <w:rPr>
                <w:b w:val="0"/>
                <w:sz w:val="18"/>
              </w:rPr>
              <w:t>Live Sessions shared</w:t>
            </w:r>
          </w:p>
        </w:tc>
        <w:tc>
          <w:tcPr>
            <w:tcW w:type="dxa" w:w="680"/>
            <w:shd w:val="clear" w:color="auto" w:fill="F0FDF4"/>
          </w:tcPr>
          <w:p>
            <w:r/>
            <w:r>
              <w:rPr>
                <w:b w:val="0"/>
                <w:sz w:val="18"/>
              </w:rPr>
              <w:t>4</w:t>
            </w:r>
          </w:p>
        </w:tc>
        <w:tc>
          <w:tcPr>
            <w:tcW w:type="dxa" w:w="794"/>
            <w:shd w:val="clear" w:color="auto" w:fill="F0FDF4"/>
          </w:tcPr>
          <w:p>
            <w:r/>
            <w:r>
              <w:rPr>
                <w:b w:val="0"/>
                <w:sz w:val="18"/>
              </w:rPr>
              <w:t>S</w:t>
            </w:r>
          </w:p>
        </w:tc>
        <w:tc>
          <w:tcPr>
            <w:tcW w:type="dxa" w:w="907"/>
            <w:shd w:val="clear" w:color="auto" w:fill="F0FDF4"/>
          </w:tcPr>
          <w:p>
            <w:r/>
            <w:r>
              <w:rPr>
                <w:b w:val="0"/>
                <w:sz w:val="18"/>
              </w:rPr>
              <w:t>Done</w:t>
            </w:r>
          </w:p>
        </w:tc>
        <w:tc>
          <w:tcPr>
            <w:tcW w:type="dxa" w:w="3628"/>
            <w:shd w:val="clear" w:color="auto" w:fill="F0FDF4"/>
          </w:tcPr>
          <w:p>
            <w:r/>
            <w:r>
              <w:rPr>
                <w:b w:val="0"/>
                <w:sz w:val="18"/>
              </w:rPr>
              <w:t>Automated 20 Jul — live_sessions.cy.js</w:t>
            </w:r>
          </w:p>
        </w:tc>
      </w:tr>
      <w:tr>
        <w:tc>
          <w:tcPr>
            <w:tcW w:type="dxa" w:w="397"/>
            <w:shd w:val="clear" w:color="auto" w:fill="F0FDF4"/>
          </w:tcPr>
          <w:p>
            <w:r/>
            <w:r>
              <w:rPr>
                <w:b w:val="0"/>
                <w:sz w:val="18"/>
              </w:rPr>
              <w:t>3</w:t>
            </w:r>
          </w:p>
        </w:tc>
        <w:tc>
          <w:tcPr>
            <w:tcW w:type="dxa" w:w="1247"/>
            <w:shd w:val="clear" w:color="auto" w:fill="F0FDF4"/>
          </w:tcPr>
          <w:p>
            <w:r/>
            <w:r>
              <w:rPr>
                <w:b w:val="0"/>
                <w:sz w:val="18"/>
              </w:rPr>
              <w:t>MEN-1457</w:t>
            </w:r>
          </w:p>
        </w:tc>
        <w:tc>
          <w:tcPr>
            <w:tcW w:type="dxa" w:w="1984"/>
            <w:shd w:val="clear" w:color="auto" w:fill="F0FDF4"/>
          </w:tcPr>
          <w:p>
            <w:r/>
            <w:r>
              <w:rPr>
                <w:b w:val="0"/>
                <w:sz w:val="18"/>
              </w:rPr>
              <w:t>XPay migration</w:t>
            </w:r>
          </w:p>
        </w:tc>
        <w:tc>
          <w:tcPr>
            <w:tcW w:type="dxa" w:w="680"/>
            <w:shd w:val="clear" w:color="auto" w:fill="F0FDF4"/>
          </w:tcPr>
          <w:p>
            <w:r/>
            <w:r>
              <w:rPr>
                <w:b w:val="0"/>
                <w:sz w:val="18"/>
              </w:rPr>
              <w:t>20</w:t>
            </w:r>
          </w:p>
        </w:tc>
        <w:tc>
          <w:tcPr>
            <w:tcW w:type="dxa" w:w="794"/>
            <w:shd w:val="clear" w:color="auto" w:fill="F0FDF4"/>
          </w:tcPr>
          <w:p>
            <w:r/>
            <w:r>
              <w:rPr>
                <w:b w:val="0"/>
                <w:sz w:val="18"/>
              </w:rPr>
              <w:t>M</w:t>
            </w:r>
          </w:p>
        </w:tc>
        <w:tc>
          <w:tcPr>
            <w:tcW w:type="dxa" w:w="907"/>
            <w:shd w:val="clear" w:color="auto" w:fill="F0FDF4"/>
          </w:tcPr>
          <w:p>
            <w:r/>
            <w:r>
              <w:rPr>
                <w:b w:val="0"/>
                <w:sz w:val="18"/>
              </w:rPr>
              <w:t>Done</w:t>
            </w:r>
          </w:p>
        </w:tc>
        <w:tc>
          <w:tcPr>
            <w:tcW w:type="dxa" w:w="3628"/>
            <w:shd w:val="clear" w:color="auto" w:fill="F0FDF4"/>
          </w:tcPr>
          <w:p>
            <w:r/>
            <w:r>
              <w:rPr>
                <w:b w:val="0"/>
                <w:sz w:val="18"/>
              </w:rPr>
              <w:t>Automated 20 Jul — xpay_checkout.cy.js + webhook signature</w:t>
            </w:r>
          </w:p>
        </w:tc>
      </w:tr>
      <w:tr>
        <w:tc>
          <w:tcPr>
            <w:tcW w:type="dxa" w:w="397"/>
          </w:tcPr>
          <w:p>
            <w:r/>
            <w:r>
              <w:rPr>
                <w:b w:val="0"/>
                <w:sz w:val="18"/>
              </w:rPr>
              <w:t>4</w:t>
            </w:r>
          </w:p>
        </w:tc>
        <w:tc>
          <w:tcPr>
            <w:tcW w:type="dxa" w:w="1247"/>
          </w:tcPr>
          <w:p>
            <w:r/>
            <w:r>
              <w:rPr>
                <w:b w:val="0"/>
                <w:sz w:val="18"/>
              </w:rPr>
              <w:t>MEN-1727</w:t>
            </w:r>
          </w:p>
        </w:tc>
        <w:tc>
          <w:tcPr>
            <w:tcW w:type="dxa" w:w="1984"/>
          </w:tcPr>
          <w:p>
            <w:r/>
            <w:r>
              <w:rPr>
                <w:b w:val="0"/>
                <w:sz w:val="18"/>
              </w:rPr>
              <w:t>WhatsApp CRM</w:t>
            </w:r>
          </w:p>
        </w:tc>
        <w:tc>
          <w:tcPr>
            <w:tcW w:type="dxa" w:w="680"/>
          </w:tcPr>
          <w:p>
            <w:r/>
            <w:r>
              <w:rPr>
                <w:b w:val="0"/>
                <w:sz w:val="18"/>
              </w:rPr>
              <w:t>15</w:t>
            </w:r>
          </w:p>
        </w:tc>
        <w:tc>
          <w:tcPr>
            <w:tcW w:type="dxa" w:w="794"/>
          </w:tcPr>
          <w:p>
            <w:r/>
            <w:r>
              <w:rPr>
                <w:b w:val="0"/>
                <w:sz w:val="18"/>
              </w:rPr>
              <w:t>L</w:t>
            </w:r>
          </w:p>
        </w:tc>
        <w:tc>
          <w:tcPr>
            <w:tcW w:type="dxa" w:w="907"/>
          </w:tcPr>
          <w:p>
            <w:r/>
            <w:r>
              <w:rPr>
                <w:b w:val="0"/>
                <w:sz w:val="18"/>
              </w:rPr>
              <w:t>High</w:t>
            </w:r>
          </w:p>
        </w:tc>
        <w:tc>
          <w:tcPr>
            <w:tcW w:type="dxa" w:w="3628"/>
          </w:tcPr>
          <w:p>
            <w:r/>
            <w:r>
              <w:rPr>
                <w:b w:val="0"/>
                <w:sz w:val="18"/>
              </w:rPr>
              <w:t>Still partial — whatsapp_integration only covers low-level API TCs</w:t>
            </w:r>
          </w:p>
        </w:tc>
      </w:tr>
      <w:tr>
        <w:tc>
          <w:tcPr>
            <w:tcW w:type="dxa" w:w="397"/>
          </w:tcPr>
          <w:p>
            <w:r/>
            <w:r>
              <w:rPr>
                <w:b w:val="0"/>
                <w:sz w:val="18"/>
              </w:rPr>
              <w:t>5</w:t>
            </w:r>
          </w:p>
        </w:tc>
        <w:tc>
          <w:tcPr>
            <w:tcW w:type="dxa" w:w="1247"/>
          </w:tcPr>
          <w:p>
            <w:r/>
            <w:r>
              <w:rPr>
                <w:b w:val="0"/>
                <w:sz w:val="18"/>
              </w:rPr>
              <w:t>MEN-1956</w:t>
            </w:r>
          </w:p>
        </w:tc>
        <w:tc>
          <w:tcPr>
            <w:tcW w:type="dxa" w:w="1984"/>
          </w:tcPr>
          <w:p>
            <w:r/>
            <w:r>
              <w:rPr>
                <w:b w:val="0"/>
                <w:sz w:val="18"/>
              </w:rPr>
              <w:t>Buy running sessions</w:t>
            </w:r>
          </w:p>
        </w:tc>
        <w:tc>
          <w:tcPr>
            <w:tcW w:type="dxa" w:w="680"/>
          </w:tcPr>
          <w:p>
            <w:r/>
            <w:r>
              <w:rPr>
                <w:b w:val="0"/>
                <w:sz w:val="18"/>
              </w:rPr>
              <w:t>8</w:t>
            </w:r>
          </w:p>
        </w:tc>
        <w:tc>
          <w:tcPr>
            <w:tcW w:type="dxa" w:w="794"/>
          </w:tcPr>
          <w:p>
            <w:r/>
            <w:r>
              <w:rPr>
                <w:b w:val="0"/>
                <w:sz w:val="18"/>
              </w:rPr>
              <w:t>M</w:t>
            </w:r>
          </w:p>
        </w:tc>
        <w:tc>
          <w:tcPr>
            <w:tcW w:type="dxa" w:w="907"/>
          </w:tcPr>
          <w:p>
            <w:r/>
            <w:r>
              <w:rPr>
                <w:b w:val="0"/>
                <w:sz w:val="18"/>
              </w:rPr>
              <w:t>Medium</w:t>
            </w:r>
          </w:p>
        </w:tc>
        <w:tc>
          <w:tcPr>
            <w:tcW w:type="dxa" w:w="3628"/>
          </w:tcPr>
          <w:p>
            <w:r/>
            <w:r>
              <w:rPr>
                <w:b w:val="0"/>
                <w:sz w:val="18"/>
              </w:rPr>
              <w:t>Revenue-critical path — still 0%</w:t>
            </w:r>
          </w:p>
        </w:tc>
      </w:tr>
      <w:tr>
        <w:tc>
          <w:tcPr>
            <w:tcW w:type="dxa" w:w="397"/>
          </w:tcPr>
          <w:p>
            <w:r/>
            <w:r>
              <w:rPr>
                <w:b w:val="0"/>
                <w:sz w:val="18"/>
              </w:rPr>
              <w:t>6</w:t>
            </w:r>
          </w:p>
        </w:tc>
        <w:tc>
          <w:tcPr>
            <w:tcW w:type="dxa" w:w="1247"/>
          </w:tcPr>
          <w:p>
            <w:r/>
            <w:r>
              <w:rPr>
                <w:b w:val="0"/>
                <w:sz w:val="18"/>
              </w:rPr>
              <w:t>MEN-1724</w:t>
            </w:r>
          </w:p>
        </w:tc>
        <w:tc>
          <w:tcPr>
            <w:tcW w:type="dxa" w:w="1984"/>
          </w:tcPr>
          <w:p>
            <w:r/>
            <w:r>
              <w:rPr>
                <w:b w:val="0"/>
                <w:sz w:val="18"/>
              </w:rPr>
              <w:t>Attendance system</w:t>
            </w:r>
          </w:p>
        </w:tc>
        <w:tc>
          <w:tcPr>
            <w:tcW w:type="dxa" w:w="680"/>
          </w:tcPr>
          <w:p>
            <w:r/>
            <w:r>
              <w:rPr>
                <w:b w:val="0"/>
                <w:sz w:val="18"/>
              </w:rPr>
              <w:t>10</w:t>
            </w:r>
          </w:p>
        </w:tc>
        <w:tc>
          <w:tcPr>
            <w:tcW w:type="dxa" w:w="794"/>
          </w:tcPr>
          <w:p>
            <w:r/>
            <w:r>
              <w:rPr>
                <w:b w:val="0"/>
                <w:sz w:val="18"/>
              </w:rPr>
              <w:t>L</w:t>
            </w:r>
          </w:p>
        </w:tc>
        <w:tc>
          <w:tcPr>
            <w:tcW w:type="dxa" w:w="907"/>
          </w:tcPr>
          <w:p>
            <w:r/>
            <w:r>
              <w:rPr>
                <w:b w:val="0"/>
                <w:sz w:val="18"/>
              </w:rPr>
              <w:t>Medium</w:t>
            </w:r>
          </w:p>
        </w:tc>
        <w:tc>
          <w:tcPr>
            <w:tcW w:type="dxa" w:w="3628"/>
          </w:tcPr>
          <w:p>
            <w:r/>
            <w:r>
              <w:rPr>
                <w:b w:val="0"/>
                <w:sz w:val="18"/>
              </w:rPr>
              <w:t>New feature — still no coverage</w:t>
            </w:r>
          </w:p>
        </w:tc>
      </w:tr>
      <w:tr>
        <w:tc>
          <w:tcPr>
            <w:tcW w:type="dxa" w:w="397"/>
          </w:tcPr>
          <w:p>
            <w:r/>
            <w:r>
              <w:rPr>
                <w:b w:val="0"/>
                <w:sz w:val="18"/>
              </w:rPr>
              <w:t>7</w:t>
            </w:r>
          </w:p>
        </w:tc>
        <w:tc>
          <w:tcPr>
            <w:tcW w:type="dxa" w:w="1247"/>
          </w:tcPr>
          <w:p>
            <w:r/>
            <w:r>
              <w:rPr>
                <w:b w:val="0"/>
                <w:sz w:val="18"/>
              </w:rPr>
              <w:t>MEN-1370</w:t>
            </w:r>
          </w:p>
        </w:tc>
        <w:tc>
          <w:tcPr>
            <w:tcW w:type="dxa" w:w="1984"/>
          </w:tcPr>
          <w:p>
            <w:r/>
            <w:r>
              <w:rPr>
                <w:b w:val="0"/>
                <w:sz w:val="18"/>
              </w:rPr>
              <w:t>Student Schedule</w:t>
            </w:r>
          </w:p>
        </w:tc>
        <w:tc>
          <w:tcPr>
            <w:tcW w:type="dxa" w:w="680"/>
          </w:tcPr>
          <w:p>
            <w:r/>
            <w:r>
              <w:rPr>
                <w:b w:val="0"/>
                <w:sz w:val="18"/>
              </w:rPr>
              <w:t>6</w:t>
            </w:r>
          </w:p>
        </w:tc>
        <w:tc>
          <w:tcPr>
            <w:tcW w:type="dxa" w:w="794"/>
          </w:tcPr>
          <w:p>
            <w:r/>
            <w:r>
              <w:rPr>
                <w:b w:val="0"/>
                <w:sz w:val="18"/>
              </w:rPr>
              <w:t>M</w:t>
            </w:r>
          </w:p>
        </w:tc>
        <w:tc>
          <w:tcPr>
            <w:tcW w:type="dxa" w:w="907"/>
          </w:tcPr>
          <w:p>
            <w:r/>
            <w:r>
              <w:rPr>
                <w:b w:val="0"/>
                <w:sz w:val="18"/>
              </w:rPr>
              <w:t>Medium</w:t>
            </w:r>
          </w:p>
        </w:tc>
        <w:tc>
          <w:tcPr>
            <w:tcW w:type="dxa" w:w="3628"/>
          </w:tcPr>
          <w:p>
            <w:r/>
            <w:r>
              <w:rPr>
                <w:b w:val="0"/>
                <w:sz w:val="18"/>
              </w:rPr>
              <w:t>Student-facing live classes</w:t>
            </w:r>
          </w:p>
        </w:tc>
      </w:tr>
      <w:tr>
        <w:tc>
          <w:tcPr>
            <w:tcW w:type="dxa" w:w="397"/>
            <w:shd w:val="clear" w:color="auto" w:fill="F0FDF4"/>
          </w:tcPr>
          <w:p>
            <w:r/>
            <w:r>
              <w:rPr>
                <w:b w:val="0"/>
                <w:sz w:val="18"/>
              </w:rPr>
              <w:t>8</w:t>
            </w:r>
          </w:p>
        </w:tc>
        <w:tc>
          <w:tcPr>
            <w:tcW w:type="dxa" w:w="1247"/>
            <w:shd w:val="clear" w:color="auto" w:fill="F0FDF4"/>
          </w:tcPr>
          <w:p>
            <w:r/>
            <w:r>
              <w:rPr>
                <w:b w:val="0"/>
                <w:sz w:val="18"/>
              </w:rPr>
              <w:t>MEN-1560</w:t>
            </w:r>
          </w:p>
        </w:tc>
        <w:tc>
          <w:tcPr>
            <w:tcW w:type="dxa" w:w="1984"/>
            <w:shd w:val="clear" w:color="auto" w:fill="F0FDF4"/>
          </w:tcPr>
          <w:p>
            <w:r/>
            <w:r>
              <w:rPr>
                <w:b w:val="0"/>
                <w:sz w:val="18"/>
              </w:rPr>
              <w:t>Email verification</w:t>
            </w:r>
          </w:p>
        </w:tc>
        <w:tc>
          <w:tcPr>
            <w:tcW w:type="dxa" w:w="680"/>
            <w:shd w:val="clear" w:color="auto" w:fill="F0FDF4"/>
          </w:tcPr>
          <w:p>
            <w:r/>
            <w:r>
              <w:rPr>
                <w:b w:val="0"/>
                <w:sz w:val="18"/>
              </w:rPr>
              <w:t>30</w:t>
            </w:r>
          </w:p>
        </w:tc>
        <w:tc>
          <w:tcPr>
            <w:tcW w:type="dxa" w:w="794"/>
            <w:shd w:val="clear" w:color="auto" w:fill="F0FDF4"/>
          </w:tcPr>
          <w:p>
            <w:r/>
            <w:r>
              <w:rPr>
                <w:b w:val="0"/>
                <w:sz w:val="18"/>
              </w:rPr>
              <w:t>S</w:t>
            </w:r>
          </w:p>
        </w:tc>
        <w:tc>
          <w:tcPr>
            <w:tcW w:type="dxa" w:w="907"/>
            <w:shd w:val="clear" w:color="auto" w:fill="F0FDF4"/>
          </w:tcPr>
          <w:p>
            <w:r/>
            <w:r>
              <w:rPr>
                <w:b w:val="0"/>
                <w:sz w:val="18"/>
              </w:rPr>
              <w:t>Done</w:t>
            </w:r>
          </w:p>
        </w:tc>
        <w:tc>
          <w:tcPr>
            <w:tcW w:type="dxa" w:w="3628"/>
            <w:shd w:val="clear" w:color="auto" w:fill="F0FDF4"/>
          </w:tcPr>
          <w:p>
            <w:r/>
            <w:r>
              <w:rPr>
                <w:b w:val="0"/>
                <w:sz w:val="18"/>
              </w:rPr>
              <w:t>Confirmed automated — email_verification.cy.js</w:t>
            </w:r>
          </w:p>
        </w:tc>
      </w:tr>
      <w:tr>
        <w:tc>
          <w:tcPr>
            <w:tcW w:type="dxa" w:w="397"/>
          </w:tcPr>
          <w:p>
            <w:r/>
            <w:r>
              <w:rPr>
                <w:b w:val="0"/>
                <w:sz w:val="18"/>
              </w:rPr>
              <w:t>9</w:t>
            </w:r>
          </w:p>
        </w:tc>
        <w:tc>
          <w:tcPr>
            <w:tcW w:type="dxa" w:w="1247"/>
          </w:tcPr>
          <w:p>
            <w:r/>
            <w:r>
              <w:rPr>
                <w:b w:val="0"/>
                <w:sz w:val="18"/>
              </w:rPr>
              <w:t>MEN-821–825</w:t>
            </w:r>
          </w:p>
        </w:tc>
        <w:tc>
          <w:tcPr>
            <w:tcW w:type="dxa" w:w="1984"/>
          </w:tcPr>
          <w:p>
            <w:r/>
            <w:r>
              <w:rPr>
                <w:b w:val="0"/>
                <w:sz w:val="18"/>
              </w:rPr>
              <w:t>Course Management</w:t>
            </w:r>
          </w:p>
        </w:tc>
        <w:tc>
          <w:tcPr>
            <w:tcW w:type="dxa" w:w="680"/>
          </w:tcPr>
          <w:p>
            <w:r/>
            <w:r>
              <w:rPr>
                <w:b w:val="0"/>
                <w:sz w:val="18"/>
              </w:rPr>
              <w:t>50</w:t>
            </w:r>
          </w:p>
        </w:tc>
        <w:tc>
          <w:tcPr>
            <w:tcW w:type="dxa" w:w="794"/>
          </w:tcPr>
          <w:p>
            <w:r/>
            <w:r>
              <w:rPr>
                <w:b w:val="0"/>
                <w:sz w:val="18"/>
              </w:rPr>
              <w:t>M</w:t>
            </w:r>
          </w:p>
        </w:tc>
        <w:tc>
          <w:tcPr>
            <w:tcW w:type="dxa" w:w="907"/>
          </w:tcPr>
          <w:p>
            <w:r/>
            <w:r>
              <w:rPr>
                <w:b w:val="0"/>
                <w:sz w:val="18"/>
              </w:rPr>
              <w:t>Medium</w:t>
            </w:r>
          </w:p>
        </w:tc>
        <w:tc>
          <w:tcPr>
            <w:tcW w:type="dxa" w:w="3628"/>
          </w:tcPr>
          <w:p>
            <w:r/>
            <w:r>
              <w:rPr>
                <w:b w:val="0"/>
                <w:sz w:val="18"/>
              </w:rPr>
              <w:t>Good base — expand edge cases</w:t>
            </w:r>
          </w:p>
        </w:tc>
      </w:tr>
      <w:tr>
        <w:tc>
          <w:tcPr>
            <w:tcW w:type="dxa" w:w="397"/>
          </w:tcPr>
          <w:p>
            <w:r/>
            <w:r>
              <w:rPr>
                <w:b w:val="0"/>
                <w:sz w:val="18"/>
              </w:rPr>
              <w:t>10</w:t>
            </w:r>
          </w:p>
        </w:tc>
        <w:tc>
          <w:tcPr>
            <w:tcW w:type="dxa" w:w="1247"/>
          </w:tcPr>
          <w:p>
            <w:r/>
            <w:r>
              <w:rPr>
                <w:b w:val="0"/>
                <w:sz w:val="18"/>
              </w:rPr>
              <w:t>MEN-985</w:t>
            </w:r>
          </w:p>
        </w:tc>
        <w:tc>
          <w:tcPr>
            <w:tcW w:type="dxa" w:w="1984"/>
          </w:tcPr>
          <w:p>
            <w:r/>
            <w:r>
              <w:rPr>
                <w:b w:val="0"/>
                <w:sz w:val="18"/>
              </w:rPr>
              <w:t>Mobile App</w:t>
            </w:r>
          </w:p>
        </w:tc>
        <w:tc>
          <w:tcPr>
            <w:tcW w:type="dxa" w:w="680"/>
          </w:tcPr>
          <w:p>
            <w:r/>
            <w:r>
              <w:rPr>
                <w:b w:val="0"/>
                <w:sz w:val="18"/>
              </w:rPr>
              <w:t>1</w:t>
            </w:r>
          </w:p>
        </w:tc>
        <w:tc>
          <w:tcPr>
            <w:tcW w:type="dxa" w:w="794"/>
          </w:tcPr>
          <w:p>
            <w:r/>
            <w:r>
              <w:rPr>
                <w:b w:val="0"/>
                <w:sz w:val="18"/>
              </w:rPr>
              <w:t>XL</w:t>
            </w:r>
          </w:p>
        </w:tc>
        <w:tc>
          <w:tcPr>
            <w:tcW w:type="dxa" w:w="907"/>
          </w:tcPr>
          <w:p>
            <w:r/>
            <w:r>
              <w:rPr>
                <w:b w:val="0"/>
                <w:sz w:val="18"/>
              </w:rPr>
              <w:t>Low</w:t>
            </w:r>
          </w:p>
        </w:tc>
        <w:tc>
          <w:tcPr>
            <w:tcW w:type="dxa" w:w="3628"/>
          </w:tcPr>
          <w:p>
            <w:r/>
            <w:r>
              <w:rPr>
                <w:b w:val="0"/>
                <w:sz w:val="18"/>
              </w:rPr>
              <w:t>Native app — exclude from web E2E</w:t>
            </w:r>
          </w:p>
        </w:tc>
      </w:tr>
      <w:tr>
        <w:tc>
          <w:tcPr>
            <w:tcW w:type="dxa" w:w="397"/>
            <w:shd w:val="clear" w:color="auto" w:fill="F0FDF4"/>
          </w:tcPr>
          <w:p>
            <w:r/>
            <w:r>
              <w:rPr>
                <w:b w:val="0"/>
                <w:sz w:val="18"/>
              </w:rPr>
              <w:t>11</w:t>
            </w:r>
          </w:p>
        </w:tc>
        <w:tc>
          <w:tcPr>
            <w:tcW w:type="dxa" w:w="1247"/>
            <w:shd w:val="clear" w:color="auto" w:fill="F0FDF4"/>
          </w:tcPr>
          <w:p>
            <w:r/>
            <w:r>
              <w:rPr>
                <w:b w:val="0"/>
                <w:sz w:val="18"/>
              </w:rPr>
              <w:t>MEN-1726</w:t>
            </w:r>
          </w:p>
        </w:tc>
        <w:tc>
          <w:tcPr>
            <w:tcW w:type="dxa" w:w="1984"/>
            <w:shd w:val="clear" w:color="auto" w:fill="F0FDF4"/>
          </w:tcPr>
          <w:p>
            <w:r/>
            <w:r>
              <w:rPr>
                <w:b w:val="0"/>
                <w:sz w:val="18"/>
              </w:rPr>
              <w:t>Instructor Assistants</w:t>
            </w:r>
          </w:p>
        </w:tc>
        <w:tc>
          <w:tcPr>
            <w:tcW w:type="dxa" w:w="680"/>
            <w:shd w:val="clear" w:color="auto" w:fill="F0FDF4"/>
          </w:tcPr>
          <w:p>
            <w:r/>
            <w:r>
              <w:rPr>
                <w:b w:val="0"/>
                <w:sz w:val="18"/>
              </w:rPr>
              <w:t>33</w:t>
            </w:r>
          </w:p>
        </w:tc>
        <w:tc>
          <w:tcPr>
            <w:tcW w:type="dxa" w:w="794"/>
            <w:shd w:val="clear" w:color="auto" w:fill="F0FDF4"/>
          </w:tcPr>
          <w:p>
            <w:r/>
            <w:r>
              <w:rPr>
                <w:b w:val="0"/>
                <w:sz w:val="18"/>
              </w:rPr>
              <w:t>L</w:t>
            </w:r>
          </w:p>
        </w:tc>
        <w:tc>
          <w:tcPr>
            <w:tcW w:type="dxa" w:w="907"/>
            <w:shd w:val="clear" w:color="auto" w:fill="F0FDF4"/>
          </w:tcPr>
          <w:p>
            <w:r/>
            <w:r>
              <w:rPr>
                <w:b w:val="0"/>
                <w:sz w:val="18"/>
              </w:rPr>
              <w:t>Done</w:t>
            </w:r>
          </w:p>
        </w:tc>
        <w:tc>
          <w:tcPr>
            <w:tcW w:type="dxa" w:w="3628"/>
            <w:shd w:val="clear" w:color="auto" w:fill="F0FDF4"/>
          </w:tcPr>
          <w:p>
            <w:r/>
            <w:r>
              <w:rPr>
                <w:b w:val="0"/>
                <w:sz w:val="18"/>
              </w:rPr>
              <w:t>Automated 20 Jul — full permission matrix, 33 TCs</w:t>
            </w:r>
          </w:p>
        </w:tc>
      </w:tr>
      <w:tr>
        <w:tc>
          <w:tcPr>
            <w:tcW w:type="dxa" w:w="397"/>
            <w:shd w:val="clear" w:color="auto" w:fill="F0FDF4"/>
          </w:tcPr>
          <w:p>
            <w:r/>
            <w:r>
              <w:rPr>
                <w:b w:val="0"/>
                <w:sz w:val="18"/>
              </w:rPr>
              <w:t>12</w:t>
            </w:r>
          </w:p>
        </w:tc>
        <w:tc>
          <w:tcPr>
            <w:tcW w:type="dxa" w:w="1247"/>
            <w:shd w:val="clear" w:color="auto" w:fill="F0FDF4"/>
          </w:tcPr>
          <w:p>
            <w:r/>
            <w:r>
              <w:rPr>
                <w:b w:val="0"/>
                <w:sz w:val="18"/>
              </w:rPr>
              <w:t>MEN-231</w:t>
            </w:r>
          </w:p>
        </w:tc>
        <w:tc>
          <w:tcPr>
            <w:tcW w:type="dxa" w:w="1984"/>
            <w:shd w:val="clear" w:color="auto" w:fill="F0FDF4"/>
          </w:tcPr>
          <w:p>
            <w:r/>
            <w:r>
              <w:rPr>
                <w:b w:val="0"/>
                <w:sz w:val="18"/>
              </w:rPr>
              <w:t>Instructor ID Verification</w:t>
            </w:r>
          </w:p>
        </w:tc>
        <w:tc>
          <w:tcPr>
            <w:tcW w:type="dxa" w:w="680"/>
            <w:shd w:val="clear" w:color="auto" w:fill="F0FDF4"/>
          </w:tcPr>
          <w:p>
            <w:r/>
            <w:r>
              <w:rPr>
                <w:b w:val="0"/>
                <w:sz w:val="18"/>
              </w:rPr>
              <w:t>11</w:t>
            </w:r>
          </w:p>
        </w:tc>
        <w:tc>
          <w:tcPr>
            <w:tcW w:type="dxa" w:w="794"/>
            <w:shd w:val="clear" w:color="auto" w:fill="F0FDF4"/>
          </w:tcPr>
          <w:p>
            <w:r/>
            <w:r>
              <w:rPr>
                <w:b w:val="0"/>
                <w:sz w:val="18"/>
              </w:rPr>
              <w:t>M</w:t>
            </w:r>
          </w:p>
        </w:tc>
        <w:tc>
          <w:tcPr>
            <w:tcW w:type="dxa" w:w="907"/>
            <w:shd w:val="clear" w:color="auto" w:fill="F0FDF4"/>
          </w:tcPr>
          <w:p>
            <w:r/>
            <w:r>
              <w:rPr>
                <w:b w:val="0"/>
                <w:sz w:val="18"/>
              </w:rPr>
              <w:t>Done</w:t>
            </w:r>
          </w:p>
        </w:tc>
        <w:tc>
          <w:tcPr>
            <w:tcW w:type="dxa" w:w="3628"/>
            <w:shd w:val="clear" w:color="auto" w:fill="F0FDF4"/>
          </w:tcPr>
          <w:p>
            <w:r/>
            <w:r>
              <w:rPr>
                <w:b w:val="0"/>
                <w:sz w:val="18"/>
              </w:rPr>
              <w:t>Automated 20 Jul — register → verify → publish gate</w:t>
            </w:r>
          </w:p>
        </w:tc>
      </w:tr>
    </w:tbl>
    <w:p>
      <w:pPr>
        <w:spacing w:after="40"/>
      </w:pPr>
    </w:p>
    <w:p>
      <w:pPr>
        <w:spacing w:before="280" w:after="120"/>
        <w:pBdr>
          <w:bottom w:val="single" w:sz="6" w:space="4" w:color="E2E8F0"/>
        </w:pBdr>
      </w:pPr>
      <w:r>
        <w:rPr>
          <w:b/>
          <w:color w:val="1E40AF"/>
          <w:sz w:val="28"/>
        </w:rPr>
        <w:t>Coverage by Feature (Current)</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3402"/>
            <w:shd w:val="clear" w:color="auto" w:fill="F1F5F9"/>
          </w:tcPr>
          <w:p>
            <w:r/>
            <w:r>
              <w:rPr>
                <w:b/>
                <w:color w:val="334155"/>
                <w:sz w:val="18"/>
              </w:rPr>
              <w:t>Feature</w:t>
            </w:r>
          </w:p>
        </w:tc>
        <w:tc>
          <w:tcPr>
            <w:tcW w:type="dxa" w:w="2268"/>
            <w:shd w:val="clear" w:color="auto" w:fill="F1F5F9"/>
          </w:tcPr>
          <w:p>
            <w:r/>
            <w:r>
              <w:rPr>
                <w:b/>
                <w:color w:val="334155"/>
                <w:sz w:val="18"/>
              </w:rPr>
              <w:t>Stories Automated</w:t>
            </w:r>
          </w:p>
        </w:tc>
        <w:tc>
          <w:tcPr>
            <w:tcW w:type="dxa" w:w="2268"/>
            <w:shd w:val="clear" w:color="auto" w:fill="F1F5F9"/>
          </w:tcPr>
          <w:p>
            <w:r/>
            <w:r>
              <w:rPr>
                <w:b/>
                <w:color w:val="334155"/>
                <w:sz w:val="18"/>
              </w:rPr>
              <w:t>TCs Automated</w:t>
            </w:r>
          </w:p>
        </w:tc>
        <w:tc>
          <w:tcPr>
            <w:tcW w:type="dxa" w:w="2268"/>
            <w:shd w:val="clear" w:color="auto" w:fill="F1F5F9"/>
          </w:tcPr>
          <w:p>
            <w:r/>
            <w:r>
              <w:rPr>
                <w:b/>
                <w:color w:val="334155"/>
                <w:sz w:val="18"/>
              </w:rPr>
              <w:t>Cypress Tests</w:t>
            </w:r>
          </w:p>
        </w:tc>
      </w:tr>
      <w:tr>
        <w:tc>
          <w:tcPr>
            <w:tcW w:type="dxa" w:w="3402"/>
          </w:tcPr>
          <w:p>
            <w:r/>
            <w:r>
              <w:rPr>
                <w:b w:val="0"/>
                <w:sz w:val="18"/>
              </w:rPr>
              <w:t>Course Management</w:t>
            </w:r>
          </w:p>
        </w:tc>
        <w:tc>
          <w:tcPr>
            <w:tcW w:type="dxa" w:w="2268"/>
          </w:tcPr>
          <w:p>
            <w:r/>
            <w:r>
              <w:rPr>
                <w:b w:val="0"/>
                <w:sz w:val="18"/>
              </w:rPr>
              <w:t>7/15 (47%)</w:t>
            </w:r>
          </w:p>
        </w:tc>
        <w:tc>
          <w:tcPr>
            <w:tcW w:type="dxa" w:w="2268"/>
          </w:tcPr>
          <w:p>
            <w:r/>
            <w:r>
              <w:rPr>
                <w:b w:val="0"/>
                <w:sz w:val="18"/>
              </w:rPr>
              <w:t>7/129 (5%)</w:t>
            </w:r>
          </w:p>
        </w:tc>
        <w:tc>
          <w:tcPr>
            <w:tcW w:type="dxa" w:w="2268"/>
          </w:tcPr>
          <w:p>
            <w:r/>
            <w:r>
              <w:rPr>
                <w:b w:val="0"/>
                <w:sz w:val="18"/>
              </w:rPr>
              <w:t>131</w:t>
            </w:r>
          </w:p>
        </w:tc>
      </w:tr>
      <w:tr>
        <w:tc>
          <w:tcPr>
            <w:tcW w:type="dxa" w:w="3402"/>
          </w:tcPr>
          <w:p>
            <w:r/>
            <w:r>
              <w:rPr>
                <w:b w:val="0"/>
                <w:sz w:val="18"/>
              </w:rPr>
              <w:t>Payment &amp; Finance</w:t>
            </w:r>
          </w:p>
        </w:tc>
        <w:tc>
          <w:tcPr>
            <w:tcW w:type="dxa" w:w="2268"/>
          </w:tcPr>
          <w:p>
            <w:r/>
            <w:r>
              <w:rPr>
                <w:b w:val="0"/>
                <w:sz w:val="18"/>
              </w:rPr>
              <w:t>3/7 (43%)</w:t>
            </w:r>
          </w:p>
        </w:tc>
        <w:tc>
          <w:tcPr>
            <w:tcW w:type="dxa" w:w="2268"/>
          </w:tcPr>
          <w:p>
            <w:r/>
            <w:r>
              <w:rPr>
                <w:b w:val="0"/>
                <w:sz w:val="18"/>
              </w:rPr>
              <w:t>35/145 (24%)</w:t>
            </w:r>
          </w:p>
        </w:tc>
        <w:tc>
          <w:tcPr>
            <w:tcW w:type="dxa" w:w="2268"/>
          </w:tcPr>
          <w:p>
            <w:r/>
            <w:r>
              <w:rPr>
                <w:b w:val="0"/>
                <w:sz w:val="18"/>
              </w:rPr>
              <w:t>66</w:t>
            </w:r>
          </w:p>
        </w:tc>
      </w:tr>
      <w:tr>
        <w:tc>
          <w:tcPr>
            <w:tcW w:type="dxa" w:w="3402"/>
          </w:tcPr>
          <w:p>
            <w:r/>
            <w:r>
              <w:rPr>
                <w:b w:val="0"/>
                <w:sz w:val="18"/>
              </w:rPr>
              <w:t>Live Sessions</w:t>
            </w:r>
          </w:p>
        </w:tc>
        <w:tc>
          <w:tcPr>
            <w:tcW w:type="dxa" w:w="2268"/>
          </w:tcPr>
          <w:p>
            <w:r/>
            <w:r>
              <w:rPr>
                <w:b w:val="0"/>
                <w:sz w:val="18"/>
              </w:rPr>
              <w:t>4/10 (40%)</w:t>
            </w:r>
          </w:p>
        </w:tc>
        <w:tc>
          <w:tcPr>
            <w:tcW w:type="dxa" w:w="2268"/>
          </w:tcPr>
          <w:p>
            <w:r/>
            <w:r>
              <w:rPr>
                <w:b w:val="0"/>
                <w:sz w:val="18"/>
              </w:rPr>
              <w:t>1/21 (5%)</w:t>
            </w:r>
          </w:p>
        </w:tc>
        <w:tc>
          <w:tcPr>
            <w:tcW w:type="dxa" w:w="2268"/>
          </w:tcPr>
          <w:p>
            <w:r/>
            <w:r>
              <w:rPr>
                <w:b w:val="0"/>
                <w:sz w:val="18"/>
              </w:rPr>
              <w:t>20</w:t>
            </w:r>
          </w:p>
        </w:tc>
      </w:tr>
      <w:tr>
        <w:tc>
          <w:tcPr>
            <w:tcW w:type="dxa" w:w="3402"/>
          </w:tcPr>
          <w:p>
            <w:r/>
            <w:r>
              <w:rPr>
                <w:b w:val="0"/>
                <w:sz w:val="18"/>
              </w:rPr>
              <w:t>Notifications &amp; WhatsApp</w:t>
            </w:r>
          </w:p>
        </w:tc>
        <w:tc>
          <w:tcPr>
            <w:tcW w:type="dxa" w:w="2268"/>
          </w:tcPr>
          <w:p>
            <w:r/>
            <w:r>
              <w:rPr>
                <w:b w:val="0"/>
                <w:sz w:val="18"/>
              </w:rPr>
              <w:t>4/7 (57%)</w:t>
            </w:r>
          </w:p>
        </w:tc>
        <w:tc>
          <w:tcPr>
            <w:tcW w:type="dxa" w:w="2268"/>
          </w:tcPr>
          <w:p>
            <w:r/>
            <w:r>
              <w:rPr>
                <w:b w:val="0"/>
                <w:sz w:val="18"/>
              </w:rPr>
              <w:t>8/50 (16%)</w:t>
            </w:r>
          </w:p>
        </w:tc>
        <w:tc>
          <w:tcPr>
            <w:tcW w:type="dxa" w:w="2268"/>
          </w:tcPr>
          <w:p>
            <w:r/>
            <w:r>
              <w:rPr>
                <w:b w:val="0"/>
                <w:sz w:val="18"/>
              </w:rPr>
              <w:t>54</w:t>
            </w:r>
          </w:p>
        </w:tc>
      </w:tr>
      <w:tr>
        <w:tc>
          <w:tcPr>
            <w:tcW w:type="dxa" w:w="3402"/>
          </w:tcPr>
          <w:p>
            <w:r/>
            <w:r>
              <w:rPr>
                <w:b w:val="0"/>
                <w:sz w:val="18"/>
              </w:rPr>
              <w:t>Auth &amp; Registration</w:t>
            </w:r>
          </w:p>
        </w:tc>
        <w:tc>
          <w:tcPr>
            <w:tcW w:type="dxa" w:w="2268"/>
          </w:tcPr>
          <w:p>
            <w:r/>
            <w:r>
              <w:rPr>
                <w:b w:val="0"/>
                <w:sz w:val="18"/>
              </w:rPr>
              <w:t>2/9 (22%)</w:t>
            </w:r>
          </w:p>
        </w:tc>
        <w:tc>
          <w:tcPr>
            <w:tcW w:type="dxa" w:w="2268"/>
          </w:tcPr>
          <w:p>
            <w:r/>
            <w:r>
              <w:rPr>
                <w:b w:val="0"/>
                <w:sz w:val="18"/>
              </w:rPr>
              <w:t>7/59 (12%)</w:t>
            </w:r>
          </w:p>
        </w:tc>
        <w:tc>
          <w:tcPr>
            <w:tcW w:type="dxa" w:w="2268"/>
          </w:tcPr>
          <w:p>
            <w:r/>
            <w:r>
              <w:rPr>
                <w:b w:val="0"/>
                <w:sz w:val="18"/>
              </w:rPr>
              <w:t>127</w:t>
            </w:r>
          </w:p>
        </w:tc>
      </w:tr>
      <w:tr>
        <w:tc>
          <w:tcPr>
            <w:tcW w:type="dxa" w:w="3402"/>
          </w:tcPr>
          <w:p>
            <w:r/>
            <w:r>
              <w:rPr>
                <w:b w:val="0"/>
                <w:sz w:val="18"/>
              </w:rPr>
              <w:t>Roster &amp; Students</w:t>
            </w:r>
          </w:p>
        </w:tc>
        <w:tc>
          <w:tcPr>
            <w:tcW w:type="dxa" w:w="2268"/>
          </w:tcPr>
          <w:p>
            <w:r/>
            <w:r>
              <w:rPr>
                <w:b w:val="0"/>
                <w:sz w:val="18"/>
              </w:rPr>
              <w:t>3/5 (60%)</w:t>
            </w:r>
          </w:p>
        </w:tc>
        <w:tc>
          <w:tcPr>
            <w:tcW w:type="dxa" w:w="2268"/>
          </w:tcPr>
          <w:p>
            <w:r/>
            <w:r>
              <w:rPr>
                <w:b w:val="0"/>
                <w:sz w:val="18"/>
              </w:rPr>
              <w:t>14/41 (34%)</w:t>
            </w:r>
          </w:p>
        </w:tc>
        <w:tc>
          <w:tcPr>
            <w:tcW w:type="dxa" w:w="2268"/>
          </w:tcPr>
          <w:p>
            <w:r/>
            <w:r>
              <w:rPr>
                <w:b w:val="0"/>
                <w:sz w:val="18"/>
              </w:rPr>
              <w:t>20</w:t>
            </w:r>
          </w:p>
        </w:tc>
      </w:tr>
      <w:tr>
        <w:tc>
          <w:tcPr>
            <w:tcW w:type="dxa" w:w="3402"/>
          </w:tcPr>
          <w:p>
            <w:r/>
            <w:r>
              <w:rPr>
                <w:b w:val="0"/>
                <w:sz w:val="18"/>
              </w:rPr>
              <w:t>RBAC &amp; Admin</w:t>
            </w:r>
          </w:p>
        </w:tc>
        <w:tc>
          <w:tcPr>
            <w:tcW w:type="dxa" w:w="2268"/>
          </w:tcPr>
          <w:p>
            <w:r/>
            <w:r>
              <w:rPr>
                <w:b w:val="0"/>
                <w:sz w:val="18"/>
              </w:rPr>
              <w:t>1/6 (17%)</w:t>
            </w:r>
          </w:p>
        </w:tc>
        <w:tc>
          <w:tcPr>
            <w:tcW w:type="dxa" w:w="2268"/>
          </w:tcPr>
          <w:p>
            <w:r/>
            <w:r>
              <w:rPr>
                <w:b w:val="0"/>
                <w:sz w:val="18"/>
              </w:rPr>
              <w:t>10/36 (28%)</w:t>
            </w:r>
          </w:p>
        </w:tc>
        <w:tc>
          <w:tcPr>
            <w:tcW w:type="dxa" w:w="2268"/>
          </w:tcPr>
          <w:p>
            <w:r/>
            <w:r>
              <w:rPr>
                <w:b w:val="0"/>
                <w:sz w:val="18"/>
              </w:rPr>
              <w:t>63</w:t>
            </w:r>
          </w:p>
        </w:tc>
      </w:tr>
      <w:tr>
        <w:tc>
          <w:tcPr>
            <w:tcW w:type="dxa" w:w="3402"/>
          </w:tcPr>
          <w:p>
            <w:r/>
            <w:r>
              <w:rPr>
                <w:b w:val="0"/>
                <w:sz w:val="18"/>
              </w:rPr>
              <w:t>CMS &amp; Localization</w:t>
            </w:r>
          </w:p>
        </w:tc>
        <w:tc>
          <w:tcPr>
            <w:tcW w:type="dxa" w:w="2268"/>
          </w:tcPr>
          <w:p>
            <w:r/>
            <w:r>
              <w:rPr>
                <w:b w:val="0"/>
                <w:sz w:val="18"/>
              </w:rPr>
              <w:t>1/2 (50%)</w:t>
            </w:r>
          </w:p>
        </w:tc>
        <w:tc>
          <w:tcPr>
            <w:tcW w:type="dxa" w:w="2268"/>
          </w:tcPr>
          <w:p>
            <w:r/>
            <w:r>
              <w:rPr>
                <w:b w:val="0"/>
                <w:sz w:val="18"/>
              </w:rPr>
              <w:t>3/7 (43%)</w:t>
            </w:r>
          </w:p>
        </w:tc>
        <w:tc>
          <w:tcPr>
            <w:tcW w:type="dxa" w:w="2268"/>
          </w:tcPr>
          <w:p>
            <w:r/>
            <w:r>
              <w:rPr>
                <w:b w:val="0"/>
                <w:sz w:val="18"/>
              </w:rPr>
              <w:t>70</w:t>
            </w:r>
          </w:p>
        </w:tc>
      </w:tr>
      <w:tr>
        <w:tc>
          <w:tcPr>
            <w:tcW w:type="dxa" w:w="3402"/>
          </w:tcPr>
          <w:p>
            <w:r/>
            <w:r>
              <w:rPr>
                <w:b w:val="0"/>
                <w:sz w:val="18"/>
              </w:rPr>
              <w:t>Other / Not Automated</w:t>
            </w:r>
          </w:p>
        </w:tc>
        <w:tc>
          <w:tcPr>
            <w:tcW w:type="dxa" w:w="2268"/>
          </w:tcPr>
          <w:p>
            <w:r/>
            <w:r>
              <w:rPr>
                <w:b w:val="0"/>
                <w:sz w:val="18"/>
              </w:rPr>
              <w:t>0/41 (0%)</w:t>
            </w:r>
          </w:p>
        </w:tc>
        <w:tc>
          <w:tcPr>
            <w:tcW w:type="dxa" w:w="2268"/>
          </w:tcPr>
          <w:p>
            <w:r/>
            <w:r>
              <w:rPr>
                <w:b w:val="0"/>
                <w:sz w:val="18"/>
              </w:rPr>
              <w:t>64/469 (14%)</w:t>
            </w:r>
          </w:p>
        </w:tc>
        <w:tc>
          <w:tcPr>
            <w:tcW w:type="dxa" w:w="2268"/>
          </w:tcPr>
          <w:p>
            <w:r/>
            <w:r>
              <w:rPr>
                <w:b w:val="0"/>
                <w:sz w:val="18"/>
              </w:rPr>
              <w:t>0</w:t>
            </w:r>
          </w:p>
        </w:tc>
      </w:tr>
    </w:tbl>
    <w:p>
      <w:pPr>
        <w:spacing w:after="40"/>
      </w:pPr>
    </w:p>
    <w:p>
      <w:pPr>
        <w:spacing w:before="280" w:after="120"/>
        <w:pBdr>
          <w:bottom w:val="single" w:sz="6" w:space="4" w:color="E2E8F0"/>
        </w:pBdr>
      </w:pPr>
      <w:r>
        <w:rPr>
          <w:b/>
          <w:color w:val="1E40AF"/>
          <w:sz w:val="28"/>
        </w:rPr>
        <w:t>Coding Standards &amp; Exclusions</w:t>
      </w:r>
    </w:p>
    <w:tbl>
      <w:tblPr>
        <w:tblW w:type="auto" w:w="0"/>
        <w:tblLayout w:type="fixed"/>
        <w:tblLook w:firstColumn="1" w:firstRow="1" w:lastColumn="0" w:lastRow="0" w:noHBand="0" w:noVBand="1" w:val="04A0"/>
      </w:tblPr>
      <w:tblGrid>
        <w:gridCol w:w="5100"/>
        <w:gridCol w:w="5100"/>
      </w:tblGrid>
      <w:tr>
        <w:tc>
          <w:tcPr>
            <w:tcW w:type="dxa" w:w="5102"/>
          </w:tcPr>
          <w:p>
            <w:r>
              <w:rPr>
                <w:b/>
                <w:color w:val="1E40AF"/>
                <w:sz w:val="22"/>
              </w:rPr>
              <w:t>Coding Standards</w:t>
            </w:r>
          </w:p>
          <w:p>
            <w:pPr>
              <w:pStyle w:val="ListBullet"/>
            </w:pPr>
            <w:r>
              <w:rPr>
                <w:sz w:val="19"/>
              </w:rPr>
              <w:t>it('MEN-XXXX | description', () =&gt; { ... })</w:t>
            </w:r>
          </w:p>
          <w:p>
            <w:pPr>
              <w:pStyle w:val="ListBullet"/>
            </w:pPr>
            <w:r>
              <w:rPr>
                <w:sz w:val="19"/>
              </w:rPr>
              <w:t>One file per Story: feature(MEN-XXX).cy.js</w:t>
            </w:r>
          </w:p>
          <w:p>
            <w:pPr>
              <w:pStyle w:val="ListBullet"/>
            </w:pPr>
            <w:r>
              <w:rPr>
                <w:sz w:val="19"/>
              </w:rPr>
              <w:t>before() creates data · it() asserts only</w:t>
            </w:r>
          </w:p>
          <w:p>
            <w:pPr>
              <w:pStyle w:val="ListBullet"/>
            </w:pPr>
            <w:r>
              <w:rPr>
                <w:sz w:val="19"/>
              </w:rPr>
              <w:t>loginViaApi() for speed · UI login only when required</w:t>
            </w:r>
          </w:p>
          <w:p>
            <w:pPr>
              <w:pStyle w:val="ListBullet"/>
            </w:pPr>
            <w:r>
              <w:rPr>
                <w:sz w:val="19"/>
              </w:rPr>
              <w:t>Tags: @smoke @regression @men-XXXX</w:t>
            </w:r>
          </w:p>
          <w:p>
            <w:pPr>
              <w:pStyle w:val="ListBullet"/>
            </w:pPr>
            <w:r>
              <w:rPr>
                <w:sz w:val="19"/>
              </w:rPr>
              <w:t>No hard waits &gt; 3 seconds</w:t>
            </w:r>
          </w:p>
        </w:tc>
        <w:tc>
          <w:tcPr>
            <w:tcW w:type="dxa" w:w="5102"/>
          </w:tcPr>
          <w:p>
            <w:r>
              <w:rPr>
                <w:b/>
                <w:color w:val="1E40AF"/>
                <w:sz w:val="22"/>
              </w:rPr>
              <w:t>Exclude from E2E Target</w:t>
            </w:r>
          </w:p>
          <w:p>
            <w:pPr>
              <w:pStyle w:val="ListBullet"/>
            </w:pPr>
            <w:r>
              <w:rPr>
                <w:sz w:val="19"/>
              </w:rPr>
              <w:t>MEN-985 Mobile native app</w:t>
            </w:r>
          </w:p>
          <w:p>
            <w:pPr>
              <w:pStyle w:val="ListBullet"/>
            </w:pPr>
            <w:r>
              <w:rPr>
                <w:sz w:val="19"/>
              </w:rPr>
              <w:t>MEN-1482 Staging Server / infrastructure</w:t>
            </w:r>
          </w:p>
          <w:p>
            <w:pPr>
              <w:pStyle w:val="ListBullet"/>
            </w:pPr>
            <w:r>
              <w:rPr>
                <w:sz w:val="19"/>
              </w:rPr>
              <w:t>MEN-1495 Database backup</w:t>
            </w:r>
          </w:p>
          <w:p>
            <w:pPr>
              <w:pStyle w:val="ListBullet"/>
            </w:pPr>
            <w:r>
              <w:rPr>
                <w:sz w:val="19"/>
              </w:rPr>
              <w:t>Manual exploratory / subjective UX tests</w:t>
            </w:r>
          </w:p>
          <w:p>
            <w:pPr>
              <w:pStyle w:val="ListBullet"/>
            </w:pPr>
            <w:r>
              <w:rPr>
                <w:sz w:val="19"/>
              </w:rPr>
              <w:t>WhatsApp production send tests</w:t>
            </w:r>
          </w:p>
        </w:tc>
      </w:tr>
    </w:tbl>
    <w:p>
      <w:pPr>
        <w:spacing w:after="120"/>
      </w:pPr>
    </w:p>
    <w:p>
      <w:pPr>
        <w:spacing w:before="280" w:after="120"/>
        <w:pBdr>
          <w:bottom w:val="single" w:sz="6" w:space="4" w:color="E2E8F0"/>
        </w:pBdr>
      </w:pPr>
      <w:r>
        <w:rPr>
          <w:b/>
          <w:color w:val="1E40AF"/>
          <w:sz w:val="28"/>
        </w:rPr>
        <w:t>Week 1 — Checklist</w:t>
      </w:r>
    </w:p>
    <w:p>
      <w:pPr>
        <w:pStyle w:val="ListBullet"/>
      </w:pPr>
      <w:r>
        <w:rPr>
          <w:color w:val="1E40AF"/>
          <w:sz w:val="19"/>
        </w:rPr>
        <w:t>☐ Link all Jira TCs to Parent Story in AgileTest</w:t>
      </w:r>
    </w:p>
    <w:p>
      <w:pPr>
        <w:pStyle w:val="ListBullet"/>
      </w:pPr>
      <w:r>
        <w:rPr>
          <w:color w:val="1E40AF"/>
          <w:sz w:val="19"/>
        </w:rPr>
        <w:t>☐ Add MEN-XXXX prefix to all 570 existing it() blocks</w:t>
      </w:r>
    </w:p>
    <w:p>
      <w:pPr>
        <w:pStyle w:val="ListBullet"/>
      </w:pPr>
      <w:r>
        <w:rPr>
          <w:color w:val="1E40AF"/>
          <w:sz w:val="19"/>
        </w:rPr>
        <w:t>☐ Setup CI: cypress run + PublishTestResults to Azure DevOps</w:t>
      </w:r>
    </w:p>
    <w:p>
      <w:pPr>
        <w:pStyle w:val="ListBullet"/>
      </w:pPr>
      <w:r>
        <w:rPr>
          <w:color w:val="1E40AF"/>
          <w:sz w:val="19"/>
        </w:rPr>
        <w:t>☐ Create instructor_finance(MEN-2005).cy.js skeleton</w:t>
      </w:r>
    </w:p>
    <w:p>
      <w:pPr>
        <w:pStyle w:val="ListBullet"/>
      </w:pPr>
      <w:r>
        <w:rPr>
          <w:color w:val="1E40AF"/>
          <w:sz w:val="19"/>
        </w:rPr>
        <w:t>☐ Document test data users in support/users.js</w:t>
      </w:r>
    </w:p>
    <w:p>
      <w:pPr>
        <w:pStyle w:val="ListBullet"/>
      </w:pPr>
      <w:r>
        <w:rPr>
          <w:color w:val="1E40AF"/>
          <w:sz w:val="19"/>
        </w:rPr>
        <w:t>☐ Fix git index.lock + single repo strategy (e2e vs parent)</w:t>
      </w:r>
    </w:p>
    <w:p>
      <w:pPr>
        <w:spacing w:before="280" w:after="120"/>
        <w:pBdr>
          <w:bottom w:val="single" w:sz="6" w:space="4" w:color="E2E8F0"/>
        </w:pBdr>
      </w:pPr>
      <w:r>
        <w:rPr>
          <w:b/>
          <w:color w:val="1E40AF"/>
          <w:sz w:val="28"/>
        </w:rPr>
        <w:t>Team Estimate</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3402"/>
            <w:shd w:val="clear" w:color="auto" w:fill="F1F5F9"/>
          </w:tcPr>
          <w:p>
            <w:r/>
            <w:r>
              <w:rPr>
                <w:b/>
                <w:color w:val="334155"/>
                <w:sz w:val="18"/>
              </w:rPr>
              <w:t>Team</w:t>
            </w:r>
          </w:p>
        </w:tc>
        <w:tc>
          <w:tcPr>
            <w:tcW w:type="dxa" w:w="3402"/>
            <w:shd w:val="clear" w:color="auto" w:fill="F1F5F9"/>
          </w:tcPr>
          <w:p>
            <w:r/>
            <w:r>
              <w:rPr>
                <w:b/>
                <w:color w:val="334155"/>
                <w:sz w:val="18"/>
              </w:rPr>
              <w:t>Velocity</w:t>
            </w:r>
          </w:p>
        </w:tc>
        <w:tc>
          <w:tcPr>
            <w:tcW w:type="dxa" w:w="3402"/>
            <w:shd w:val="clear" w:color="auto" w:fill="F1F5F9"/>
          </w:tcPr>
          <w:p>
            <w:r/>
            <w:r>
              <w:rPr>
                <w:b/>
                <w:color w:val="334155"/>
                <w:sz w:val="18"/>
              </w:rPr>
              <w:t>Reach 50% in</w:t>
            </w:r>
          </w:p>
        </w:tc>
      </w:tr>
      <w:tr>
        <w:tc>
          <w:tcPr>
            <w:tcW w:type="dxa" w:w="3402"/>
          </w:tcPr>
          <w:p>
            <w:r/>
            <w:r>
              <w:rPr>
                <w:b w:val="0"/>
                <w:sz w:val="18"/>
              </w:rPr>
              <w:t>1 QA Engineer</w:t>
            </w:r>
          </w:p>
        </w:tc>
        <w:tc>
          <w:tcPr>
            <w:tcW w:type="dxa" w:w="3402"/>
          </w:tcPr>
          <w:p>
            <w:r/>
            <w:r>
              <w:rPr>
                <w:b w:val="0"/>
                <w:sz w:val="18"/>
              </w:rPr>
              <w:t>~10 TCs/week</w:t>
            </w:r>
          </w:p>
        </w:tc>
        <w:tc>
          <w:tcPr>
            <w:tcW w:type="dxa" w:w="3402"/>
          </w:tcPr>
          <w:p>
            <w:r/>
            <w:r>
              <w:rPr>
                <w:b w:val="0"/>
                <w:sz w:val="18"/>
              </w:rPr>
              <w:t>~10 months</w:t>
            </w:r>
          </w:p>
        </w:tc>
      </w:tr>
      <w:tr>
        <w:tc>
          <w:tcPr>
            <w:tcW w:type="dxa" w:w="3402"/>
          </w:tcPr>
          <w:p>
            <w:r/>
            <w:r>
              <w:rPr>
                <w:b w:val="0"/>
                <w:sz w:val="18"/>
              </w:rPr>
              <w:t>2 QA Engineers</w:t>
            </w:r>
          </w:p>
        </w:tc>
        <w:tc>
          <w:tcPr>
            <w:tcW w:type="dxa" w:w="3402"/>
          </w:tcPr>
          <w:p>
            <w:r/>
            <w:r>
              <w:rPr>
                <w:b w:val="0"/>
                <w:sz w:val="18"/>
              </w:rPr>
              <w:t>~20 TCs/week</w:t>
            </w:r>
          </w:p>
        </w:tc>
        <w:tc>
          <w:tcPr>
            <w:tcW w:type="dxa" w:w="3402"/>
          </w:tcPr>
          <w:p>
            <w:r/>
            <w:r>
              <w:rPr>
                <w:b w:val="0"/>
                <w:sz w:val="18"/>
              </w:rPr>
              <w:t>~5 months</w:t>
            </w:r>
          </w:p>
        </w:tc>
      </w:tr>
    </w:tbl>
    <w:p>
      <w:pPr>
        <w:spacing w:after="40"/>
      </w:pPr>
    </w:p>
    <w:p>
      <w:pPr>
        <w:spacing w:after="120"/>
      </w:pPr>
      <w:r>
        <w:rPr>
          <w:b/>
          <w:i w:val="0"/>
          <w:color w:val="1A1A1A"/>
          <w:sz w:val="20"/>
        </w:rPr>
        <w:t>Suggested split: QA1 → Payment + Finance + Live Sessions · QA2 → Courses + Auth + Notifications</w:t>
      </w:r>
    </w:p>
    <w:p>
      <w:pPr>
        <w:spacing w:before="280" w:after="120"/>
        <w:pBdr>
          <w:bottom w:val="single" w:sz="6" w:space="4" w:color="E2E8F0"/>
        </w:pBdr>
      </w:pPr>
      <w:r>
        <w:rPr>
          <w:b/>
          <w:color w:val="1E40AF"/>
          <w:sz w:val="28"/>
        </w:rPr>
        <w:t>How Coverage Is Measured</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551"/>
            <w:shd w:val="clear" w:color="auto" w:fill="F1F5F9"/>
          </w:tcPr>
          <w:p>
            <w:r/>
            <w:r>
              <w:rPr>
                <w:b/>
                <w:color w:val="334155"/>
                <w:sz w:val="18"/>
              </w:rPr>
              <w:t>Metric</w:t>
            </w:r>
          </w:p>
        </w:tc>
        <w:tc>
          <w:tcPr>
            <w:tcW w:type="dxa" w:w="4252"/>
            <w:shd w:val="clear" w:color="auto" w:fill="F1F5F9"/>
          </w:tcPr>
          <w:p>
            <w:r/>
            <w:r>
              <w:rPr>
                <w:b/>
                <w:color w:val="334155"/>
                <w:sz w:val="18"/>
              </w:rPr>
              <w:t>Definition</w:t>
            </w:r>
          </w:p>
        </w:tc>
        <w:tc>
          <w:tcPr>
            <w:tcW w:type="dxa" w:w="1701"/>
            <w:shd w:val="clear" w:color="auto" w:fill="F1F5F9"/>
          </w:tcPr>
          <w:p>
            <w:r/>
            <w:r>
              <w:rPr>
                <w:b/>
                <w:color w:val="334155"/>
                <w:sz w:val="18"/>
              </w:rPr>
              <w:t>12 Jul</w:t>
            </w:r>
          </w:p>
        </w:tc>
        <w:tc>
          <w:tcPr>
            <w:tcW w:type="dxa" w:w="1701"/>
            <w:shd w:val="clear" w:color="auto" w:fill="F1F5F9"/>
          </w:tcPr>
          <w:p>
            <w:r/>
            <w:r>
              <w:rPr>
                <w:b/>
                <w:color w:val="334155"/>
                <w:sz w:val="18"/>
              </w:rPr>
              <w:t>20 Jul</w:t>
            </w:r>
          </w:p>
        </w:tc>
      </w:tr>
      <w:tr>
        <w:tc>
          <w:tcPr>
            <w:tcW w:type="dxa" w:w="2551"/>
          </w:tcPr>
          <w:p>
            <w:r/>
            <w:r>
              <w:rPr>
                <w:b w:val="0"/>
                <w:sz w:val="18"/>
              </w:rPr>
              <w:t>Story automated (literal key)</w:t>
            </w:r>
          </w:p>
        </w:tc>
        <w:tc>
          <w:tcPr>
            <w:tcW w:type="dxa" w:w="4252"/>
          </w:tcPr>
          <w:p>
            <w:r/>
            <w:r>
              <w:rPr>
                <w:b w:val="0"/>
                <w:sz w:val="18"/>
              </w:rPr>
              <w:t>MEN story key appears in a Cypress file (name or source)</w:t>
            </w:r>
          </w:p>
        </w:tc>
        <w:tc>
          <w:tcPr>
            <w:tcW w:type="dxa" w:w="1701"/>
          </w:tcPr>
          <w:p>
            <w:r/>
            <w:r>
              <w:rPr>
                <w:b w:val="0"/>
                <w:sz w:val="18"/>
              </w:rPr>
              <w:t>19 / 104</w:t>
            </w:r>
          </w:p>
        </w:tc>
        <w:tc>
          <w:tcPr>
            <w:tcW w:type="dxa" w:w="1701"/>
          </w:tcPr>
          <w:p>
            <w:r/>
            <w:r>
              <w:rPr>
                <w:b w:val="0"/>
                <w:sz w:val="18"/>
              </w:rPr>
              <w:t>9 / 105</w:t>
            </w:r>
          </w:p>
        </w:tc>
      </w:tr>
      <w:tr>
        <w:tc>
          <w:tcPr>
            <w:tcW w:type="dxa" w:w="2551"/>
          </w:tcPr>
          <w:p>
            <w:r/>
            <w:r>
              <w:rPr>
                <w:b w:val="0"/>
                <w:sz w:val="18"/>
              </w:rPr>
              <w:t>Story automated (incl. verified untagged)</w:t>
            </w:r>
          </w:p>
        </w:tc>
        <w:tc>
          <w:tcPr>
            <w:tcW w:type="dxa" w:w="4252"/>
          </w:tcPr>
          <w:p>
            <w:r/>
            <w:r>
              <w:rPr>
                <w:b w:val="0"/>
                <w:sz w:val="18"/>
              </w:rPr>
              <w:t>+ stories manually confirmed covered under a differently-named spec</w:t>
            </w:r>
          </w:p>
        </w:tc>
        <w:tc>
          <w:tcPr>
            <w:tcW w:type="dxa" w:w="1701"/>
          </w:tcPr>
          <w:p>
            <w:r/>
            <w:r>
              <w:rPr>
                <w:b w:val="0"/>
                <w:sz w:val="18"/>
              </w:rPr>
              <w:t>—</w:t>
            </w:r>
          </w:p>
        </w:tc>
        <w:tc>
          <w:tcPr>
            <w:tcW w:type="dxa" w:w="1701"/>
          </w:tcPr>
          <w:p>
            <w:r/>
            <w:r>
              <w:rPr>
                <w:b w:val="0"/>
                <w:sz w:val="18"/>
              </w:rPr>
              <w:t>21 / 105 (20%)</w:t>
            </w:r>
          </w:p>
        </w:tc>
      </w:tr>
      <w:tr>
        <w:tc>
          <w:tcPr>
            <w:tcW w:type="dxa" w:w="2551"/>
          </w:tcPr>
          <w:p>
            <w:r/>
            <w:r>
              <w:rPr>
                <w:b w:val="0"/>
                <w:sz w:val="18"/>
              </w:rPr>
              <w:t>TC automated (all statuses)</w:t>
            </w:r>
          </w:p>
        </w:tc>
        <w:tc>
          <w:tcPr>
            <w:tcW w:type="dxa" w:w="4252"/>
          </w:tcPr>
          <w:p>
            <w:r/>
            <w:r>
              <w:rPr>
                <w:b w:val="0"/>
                <w:sz w:val="18"/>
              </w:rPr>
              <w:t>MEN test case key appears literally in Cypress source code</w:t>
            </w:r>
          </w:p>
        </w:tc>
        <w:tc>
          <w:tcPr>
            <w:tcW w:type="dxa" w:w="1701"/>
          </w:tcPr>
          <w:p>
            <w:r/>
            <w:r>
              <w:rPr>
                <w:b w:val="0"/>
                <w:sz w:val="18"/>
              </w:rPr>
              <w:t>154 / 978</w:t>
            </w:r>
          </w:p>
        </w:tc>
        <w:tc>
          <w:tcPr>
            <w:tcW w:type="dxa" w:w="1701"/>
          </w:tcPr>
          <w:p>
            <w:r/>
            <w:r>
              <w:rPr>
                <w:b w:val="0"/>
                <w:sz w:val="18"/>
              </w:rPr>
              <w:t>177 / 966</w:t>
            </w:r>
          </w:p>
        </w:tc>
      </w:tr>
      <w:tr>
        <w:tc>
          <w:tcPr>
            <w:tcW w:type="dxa" w:w="2551"/>
          </w:tcPr>
          <w:p>
            <w:r/>
            <w:r>
              <w:rPr>
                <w:b w:val="0"/>
                <w:sz w:val="18"/>
              </w:rPr>
              <w:t>TC automated ("Done" only)</w:t>
            </w:r>
          </w:p>
        </w:tc>
        <w:tc>
          <w:tcPr>
            <w:tcW w:type="dxa" w:w="4252"/>
          </w:tcPr>
          <w:p>
            <w:r/>
            <w:r>
              <w:rPr>
                <w:b w:val="0"/>
                <w:sz w:val="18"/>
              </w:rPr>
              <w:t>Same, restricted to TCs Jira marks Done — the real risk metric</w:t>
            </w:r>
          </w:p>
        </w:tc>
        <w:tc>
          <w:tcPr>
            <w:tcW w:type="dxa" w:w="1701"/>
          </w:tcPr>
          <w:p>
            <w:r/>
            <w:r>
              <w:rPr>
                <w:b w:val="0"/>
                <w:sz w:val="18"/>
              </w:rPr>
              <w:t>—</w:t>
            </w:r>
          </w:p>
        </w:tc>
        <w:tc>
          <w:tcPr>
            <w:tcW w:type="dxa" w:w="1701"/>
          </w:tcPr>
          <w:p>
            <w:r/>
            <w:r>
              <w:rPr>
                <w:b w:val="0"/>
                <w:sz w:val="18"/>
              </w:rPr>
              <w:t>45 / 339 (13.3%)</w:t>
            </w:r>
          </w:p>
        </w:tc>
      </w:tr>
      <w:tr>
        <w:tc>
          <w:tcPr>
            <w:tcW w:type="dxa" w:w="2551"/>
          </w:tcPr>
          <w:p>
            <w:r/>
            <w:r>
              <w:rPr>
                <w:b w:val="0"/>
                <w:sz w:val="18"/>
              </w:rPr>
              <w:t>Test volume ratio</w:t>
            </w:r>
          </w:p>
        </w:tc>
        <w:tc>
          <w:tcPr>
            <w:tcW w:type="dxa" w:w="4252"/>
          </w:tcPr>
          <w:p>
            <w:r/>
            <w:r>
              <w:rPr>
                <w:b w:val="0"/>
                <w:sz w:val="18"/>
              </w:rPr>
              <w:t>Cypress it()/Scenario count vs Jira TC count</w:t>
            </w:r>
          </w:p>
        </w:tc>
        <w:tc>
          <w:tcPr>
            <w:tcW w:type="dxa" w:w="1701"/>
          </w:tcPr>
          <w:p>
            <w:r/>
            <w:r>
              <w:rPr>
                <w:b w:val="0"/>
                <w:sz w:val="18"/>
              </w:rPr>
              <w:t>570 / 978 (58%)</w:t>
            </w:r>
          </w:p>
        </w:tc>
        <w:tc>
          <w:tcPr>
            <w:tcW w:type="dxa" w:w="1701"/>
          </w:tcPr>
          <w:p>
            <w:r/>
            <w:r>
              <w:rPr>
                <w:b w:val="0"/>
                <w:sz w:val="18"/>
              </w:rPr>
              <w:t>625 / 966 (65%)</w:t>
            </w:r>
          </w:p>
        </w:tc>
      </w:tr>
    </w:tbl>
    <w:p>
      <w:pPr>
        <w:spacing w:after="40"/>
      </w:pPr>
    </w:p>
    <w:p>
      <w:pPr>
        <w:spacing w:after="120"/>
      </w:pPr>
      <w:r>
        <w:rPr>
          <w:b w:val="0"/>
          <w:i/>
          <w:color w:val="64748B"/>
          <w:sz w:val="18"/>
        </w:rPr>
        <w:t>Note: the 12 Jul and 20 Jul Story/TC counts aren’t a perfectly like-for-like diff — the underlying Jira export changed between snapshots (978 → 966 TCs, 104 → 105 stories) as issues were re-triaged. Jira CSV export still lacks TC→Story links (Parent key set on only 13 of 966 TCs on 20 Jul). Fix Jira linking for accurate per-story tracking without manual reconciliation.</w:t>
      </w:r>
    </w:p>
    <w:p>
      <w:pPr>
        <w:spacing w:before="200"/>
      </w:pPr>
    </w:p>
    <w:p>
      <w:pPr>
        <w:jc w:val="center"/>
      </w:pPr>
      <w:r>
        <w:rPr>
          <w:color w:val="64748B"/>
          <w:sz w:val="16"/>
        </w:rPr>
        <w:t>Mentora Automation Conversion Plan · Generated 12 Jul 2026 · Updated 20 Jul 2026 · Source: Jira CSV exports + cypress/e2e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