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7</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1"/>
        <w:tblW w:w="996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80"/>
        <w:gridCol w:w="570"/>
        <w:gridCol w:w="105"/>
        <w:gridCol w:w="330"/>
        <w:gridCol w:w="810"/>
        <w:gridCol w:w="675"/>
        <w:gridCol w:w="225"/>
        <w:gridCol w:w="2310"/>
        <w:tblGridChange w:id="0">
          <w:tblGrid>
            <w:gridCol w:w="1110"/>
            <w:gridCol w:w="645"/>
            <w:gridCol w:w="810"/>
            <w:gridCol w:w="105"/>
            <w:gridCol w:w="765"/>
            <w:gridCol w:w="720"/>
            <w:gridCol w:w="600"/>
            <w:gridCol w:w="180"/>
            <w:gridCol w:w="570"/>
            <w:gridCol w:w="105"/>
            <w:gridCol w:w="330"/>
            <w:gridCol w:w="810"/>
            <w:gridCol w:w="675"/>
            <w:gridCol w:w="225"/>
            <w:gridCol w:w="2310"/>
          </w:tblGrid>
        </w:tblGridChange>
      </w:tblGrid>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Sesión 7 / WorkTalent</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30-10-2017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9:15 pm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Arturo Chinchilla</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 Laboratorio Tierra Media</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Validar alcance  finalizar la validación de requerimientos funcionales del primer release.</w:t>
            </w:r>
          </w:p>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Fabián Solano Rodriguez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fabsolano290@gmail.com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7010108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89606264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mchinchilla11@gmail.com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(+506 )83350759</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tabs>
                <w:tab w:val="center" w:pos="4320"/>
                <w:tab w:val="right" w:pos="8640"/>
              </w:tabs>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 se tiene planeado que sistemas externos se conecten a Digi Tutor, entonces no se establece los tipos de conexiones, en caso de que se cambie de parecer, éstas se deben definir. Ataques informáticos al servidor no se deben manejar por el Sistema, sin embargo SQL Injection y Cross Site Scripting no se deben permitir. Se acuerda utilizar los algoritmos SHA2 y AES para la encriptación y desencriptación de contraseñas. El documento se describe mediante un documento de ERS,  uno de AD/DDD, pruebas de usabilidad y documentación del código. Se debe realizar una ayuda en línea. Para parches y actualizaciones de sistema se da una ventana tiempo cada 3 meses, de 3 horas a las 12 horas mn hora del pacífico los sábados. Durante los mantenimientos se debe mostrar un mensaje en la pantalla de inicio de sesión que indica el mantenimiento, este mensaje debe mostrarse con una anticipación de 2 semanas, durante el mantenimiento los usuarios no pueden iniciar sesión y los que están dentro del sistema se deben de sacar. En caso de un fallo del sistema, el SLA indica que éste puede estar fuera de servicio un tiempo máximo de dos horas (fallos críticos). Los tiempos de respuesta para fallos de calificación alta es de 4 horas, para medios es de 24 horas, para bajos es de 72 horas. A</w:t>
            </w:r>
            <w:r w:rsidDel="00000000" w:rsidR="00000000" w:rsidRPr="00000000">
              <w:rPr>
                <w:rFonts w:ascii="Calibri" w:cs="Calibri" w:eastAsia="Calibri" w:hAnsi="Calibri"/>
                <w:rtl w:val="0"/>
              </w:rPr>
              <w:t xml:space="preserve">l ser un sistema web, se espera que sea multiplataforma.</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Entorno de desarrollo: </w:t>
            </w:r>
            <w:r w:rsidDel="00000000" w:rsidR="00000000" w:rsidRPr="00000000">
              <w:rPr>
                <w:rFonts w:ascii="Calibri" w:cs="Calibri" w:eastAsia="Calibri" w:hAnsi="Calibri"/>
                <w:rtl w:val="0"/>
              </w:rPr>
              <w:t xml:space="preserve">El frontend será desarrollado utilizando HTML 5, CSS, Angular y NodeJS. </w:t>
            </w:r>
            <w:r w:rsidDel="00000000" w:rsidR="00000000" w:rsidRPr="00000000">
              <w:rPr>
                <w:rFonts w:ascii="Calibri" w:cs="Calibri" w:eastAsia="Calibri" w:hAnsi="Calibri"/>
                <w:rtl w:val="0"/>
              </w:rPr>
              <w:t xml:space="preserve">El backend se dividirá en 3 capas: De Datos, Lógica de Negocios y de Presentación (Web API) utilizando Microsoft Visual Studio, usando el lenguaje C# y usando el Entity FrameWork</w:t>
            </w:r>
            <w:r w:rsidDel="00000000" w:rsidR="00000000" w:rsidRPr="00000000">
              <w:rPr>
                <w:rFonts w:ascii="Calibri" w:cs="Calibri" w:eastAsia="Calibri" w:hAnsi="Calibri"/>
                <w:rtl w:val="0"/>
              </w:rPr>
              <w:t xml:space="preserve">. Para el control de Versiones se utilizará Git y Gitlab para el almacenamiento en la nube. Se utilizará una base de datos relacional, en Microsoft SQL Server. El hosting de la interfaz de usuario, el Web API y la base de datos se hará en la nube de Microsoft (Azure). Ya que al estar en la nube y utilizando Angular se garantiza la compatibilidad entre plataformas. El sistema hará uso de la red social Twitter para realizar publicaciones sobre apoyos a habilidades. El sistema hará uso de YouTube para visualización de los videos dentro del sistema. El sistema servirá como punto de redireccionamiento a la plataforma de GitHub.</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rPr>
          <w:trHeight w:val="240" w:hRule="atLeast"/>
        </w:trP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Lineamientos de pruebas de usabilidad</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concurrencia y cantidad de usuarios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