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4748B"/>
          <w:sz w:val="18"/>
          <w:szCs w:val="18"/>
        </w:rPr>
        <w:t xml:space="preserve">KPRAP · DATA QUALITY ASSURANCE</w:t>
      </w:r>
    </w:p>
    <w:p>
      <w:pPr>
        <w:spacing w:after="60"/>
      </w:pPr>
      <w:r>
        <w:rPr>
          <w:b/>
          <w:bCs/>
          <w:color w:val="0F172A"/>
          <w:sz w:val="44"/>
          <w:szCs w:val="44"/>
        </w:rPr>
        <w:t xml:space="preserve">Duration Field Reliability Issue</w:t>
      </w:r>
    </w:p>
    <w:p>
      <w:pPr>
        <w:pBdr>
          <w:bottom w:val="single" w:color="CBD5E1" w:sz="8"/>
        </w:pBdr>
        <w:spacing w:after="200"/>
      </w:pPr>
      <w:r>
        <w:rPr>
          <w:color w:val="64748B"/>
          <w:sz w:val="22"/>
          <w:szCs w:val="22"/>
        </w:rPr>
        <w:t xml:space="preserve">D.I. Khan &amp; Hangu Districts — Household &amp; Girls Surveys</w:t>
      </w:r>
    </w:p>
    <w:p>
      <w:pPr>
        <w:spacing w:after="260"/>
      </w:pPr>
      <w:r>
        <w:rPr>
          <w:color w:val="64748B"/>
          <w:sz w:val="18"/>
          <w:szCs w:val="18"/>
        </w:rPr>
        <w:t xml:space="preserve">Prepared: 23 September 2026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The DQA script flags interviews as “too fast” or “too long” using SurveyCTO’s built-in duration field — the number of seconds the form was actively on screen. Investigating a specific flagged record (below) showed this field can disagree sharply with other timestamps recorded on the very same submission, in some cases by an hour or more.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A systematic check across D.I. Khan and Hangu (414 Household + 264 Girls submissions) confirmed this is not an isolated case: 10 of 24 flagged “fast” Household interviews, 2 of 6 flagged “long” Household interviews, and 4 of 20 flagged “fast” Girls interviews had a second timestamp signal that directly contradicted the duration-based flag — in several cases showing the interview actually lasted 3–6× longer than duration suggested.</w:t>
      </w:r>
    </w:p>
    <w:p>
      <w:pPr>
        <w:spacing w:after="160" w:line="276"/>
      </w:pPr>
      <w:r>
        <w:rPr>
          <w:i/>
          <w:iCs/>
          <w:color w:val="334155"/>
          <w:sz w:val="20"/>
          <w:szCs w:val="20"/>
        </w:rPr>
        <w:t xml:space="preserve">This report is scoped to D.I. Khan and Hangu because the form’s starttime1/Endtime1 fields — the second signal used for this check — are filled in on 100% of submissions in these two districts, but on essentially none in Torghar (1 of 178 Household rows). The cross-check cannot be run there at all, which is itself worth flagging separately as a data-collection gap.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Because these checks are treated as CRITICAL integrity findings (i.e. an accusation that the interview could not have been conducted properly), the DQA script has been updated so that a fast/long-duration flag now requires agreement between duration and the form’s own starttime1/Endtime1 fields before it fires. Where the two signals disagree, or where the second signal is unavailable, the previous behaviour is preserved (see §6–7).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2. Background: what “duration” actually measures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SurveyCTO records duration as the number of seconds the form screen was in the foreground and actively being answered. It is not wall-clock time: if the enumerator's device is locked, the app is put in the background, or the interview is paused and resumed later, that idle time is excluded from duration — sometimes correctly (a genuine pause), sometimes not (the timer can also fail to capture time that was genuinely spent on the interview after a resume).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The Household and Girls forms separately capture a second pair of timestamps within the questionnaire itself — starttime1 and Endtime1 — alongside SurveyCTO’s own metadata starttime/endtime. These three signals should broadly agree for a normal, uninterrupted interview. The evidence below shows they often do not.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3. The Triggering Case</w:t>
      </w:r>
    </w:p>
    <w:p>
      <w:pPr>
        <w:spacing w:after="100" w:line="276"/>
      </w:pPr>
      <w:r>
        <w:rPr>
          <w:color w:val="334155"/>
          <w:sz w:val="20"/>
          <w:szCs w:val="20"/>
        </w:rPr>
        <w:t xml:space="preserve">Record uuid:13a85022-7bdd-4de0-9dfb-be6c7aa45943 (Mother respondent) was flagged HH_AN_FAST_DURATION — “completed in under 25 minutes.” All three time signals for this single submission: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SurveyCTO duration field: 1,495 seconds = 24.9 minutes (just 6 seconds under the 25-minute floor)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SurveyCTO wall-clock (starttime → endtime): 12:25:41 PM → 3:29:28 PM = 3 hours 4 minutes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Form-recorded starttime1 → Endtime1: 12:21:00 PM → 1:25:00 PM = 64 minutes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Two of the three available signals — the wall clock and the form’s own recorded times — show an interview well outside the “too fast” range. Flagging this as a CRITICAL integrity violation on the strength of the duration field alone, 6 seconds under the floor, is not solid ground.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4. Household Survey — Systematic Evidence (D.I. Khan + Hangu)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starttime1/Endtime1 are present on all 414 of 414 Household submissions in these two districts (100%). Restricting to flagged records:</w:t>
      </w:r>
    </w:p>
    <w:p>
      <w:pPr>
        <w:pStyle w:val="Heading2"/>
        <w:spacing w:after="120" w:before="280"/>
      </w:pPr>
      <w:r>
        <w:rPr>
          <w:b/>
          <w:bCs/>
          <w:color w:val="0F766E"/>
          <w:sz w:val="24"/>
          <w:szCs w:val="24"/>
        </w:rPr>
        <w:t xml:space="preserve">4.1 Fast-duration flags (HH_AN_FAST_DURATION) — 10 of 23 checkable cases disagreed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1100"/>
        <w:gridCol w:w="1400"/>
        <w:gridCol w:w="1200"/>
        <w:gridCol w:w="1900"/>
        <w:gridCol w:w="1900"/>
      </w:tblGrid>
      <w:tr>
        <w:trPr>
          <w:tblHeader/>
        </w:trPr>
        <w:tc>
          <w:tcPr>
            <w:tcW w:type="dxa" w:w="1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  <w:tc>
          <w:tcPr>
            <w:tcW w:type="dxa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Respondent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 field</w:t>
            </w:r>
          </w:p>
        </w:tc>
        <w:tc>
          <w:tcPr>
            <w:tcW w:type="dxa" w:w="1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Floor</w:t>
            </w:r>
          </w:p>
        </w:tc>
        <w:tc>
          <w:tcPr>
            <w:tcW w:type="dxa" w:w="1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starttime1→Endtime1</w:t>
            </w:r>
          </w:p>
        </w:tc>
        <w:tc>
          <w:tcPr>
            <w:tcW w:type="dxa" w:w="1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13a85022…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24.9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64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cbb87ba9…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22.4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62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341552c8…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22.3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94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57b24ceb…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21.6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61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da709e1b…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Mother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24.8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40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2d13bbc6…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13.0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49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c52fca5d…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13.6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31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9fd5fefc…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12.4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19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8267e9c1…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12.3 min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40 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bc3bec74…</w:t>
            </w:r>
          </w:p>
        </w:tc>
        <w:tc>
          <w:tcPr>
            <w:tcW w:type="dxa" w:w="1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Father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9.4 min</w:t>
            </w:r>
          </w:p>
        </w:tc>
        <w:tc>
          <w:tcPr>
            <w:tcW w:type="dxa" w:w="1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35 min</w:t>
            </w:r>
          </w:p>
        </w:tc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</w:tbl>
    <w:p>
      <w:pPr>
        <w:spacing w:after="240" w:line="276"/>
      </w:pPr>
      <w:r>
        <w:rPr>
          <w:color w:val="334155"/>
          <w:sz w:val="20"/>
          <w:szCs w:val="20"/>
        </w:rPr>
        <w:t xml:space="preserve">The remaining 13 of 23 checkable cases had starttime1/Endtime1 also below the floor — both signals agree, and those 13 remain flagged.</w:t>
      </w:r>
    </w:p>
    <w:p>
      <w:pPr>
        <w:pStyle w:val="Heading2"/>
        <w:spacing w:after="120" w:before="280"/>
      </w:pPr>
      <w:r>
        <w:rPr>
          <w:b/>
          <w:bCs/>
          <w:color w:val="0F766E"/>
          <w:sz w:val="24"/>
          <w:szCs w:val="24"/>
        </w:rPr>
        <w:t xml:space="preserve">4.2 Long-duration flags (HH_AN_LONG_DURATION) — 2 of 6 checkable cases disagreed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800"/>
        <w:gridCol w:w="1600"/>
        <w:gridCol w:w="2100"/>
        <w:gridCol w:w="2100"/>
        <w:gridCol w:w="1400"/>
      </w:tblGrid>
      <w:tr>
        <w:trPr>
          <w:tblHeader/>
        </w:trPr>
        <w:tc>
          <w:tcPr>
            <w:tcW w:type="dxa" w:w="18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  <w:tc>
          <w:tcPr>
            <w:tcW w:type="dxa" w:w="1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 field</w:t>
            </w:r>
          </w:p>
        </w:tc>
        <w:tc>
          <w:tcPr>
            <w:tcW w:type="dxa" w:w="2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Wall-clock elapsed</w:t>
            </w:r>
          </w:p>
        </w:tc>
        <w:tc>
          <w:tcPr>
            <w:tcW w:type="dxa" w:w="2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starttime1→Endtime1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979b50b4…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140.0 min (2.3 hr)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5.3 hr (form left open)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64 min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8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6170c40c…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122.6 min (2.0 hr)</w:t>
            </w:r>
          </w:p>
        </w:tc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2.1 hr</w:t>
            </w:r>
          </w:p>
        </w:tc>
        <w:tc>
          <w:tcPr>
            <w:tcW w:type="dxa" w:w="21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41 min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</w:tbl>
    <w:p>
      <w:pPr>
        <w:spacing w:after="240" w:line="276"/>
      </w:pPr>
      <w:r>
        <w:rPr>
          <w:color w:val="334155"/>
          <w:sz w:val="20"/>
          <w:szCs w:val="20"/>
        </w:rPr>
        <w:t xml:space="preserve">In both cases starttime1 matches the SurveyCTO wall-clock start almost to the minute, and Endtime1 falls well before the wall-clock end — consistent with the interview genuinely finishing in about an hour, with the tablet then left open/idle for the remaining time that duration and wall-clock both counted.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5. Girls Survey — Systematic Evidence (D.I. Khan + Hangu)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starttime1/Endtime1 are present on all 264 of 264 Girls submissions in these two districts (100%). Of 20 flagged GL_AN_FAST_DURATION cases, 4 disagreed: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600"/>
        <w:gridCol w:w="1500"/>
        <w:gridCol w:w="2400"/>
        <w:gridCol w:w="1600"/>
      </w:tblGrid>
      <w:tr>
        <w:trPr>
          <w:tblHeader/>
        </w:trPr>
        <w:tc>
          <w:tcPr>
            <w:tcW w:type="dxa" w:w="1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  <w:tc>
          <w:tcPr>
            <w:tcW w:type="dxa" w:w="1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 field</w:t>
            </w:r>
          </w:p>
        </w:tc>
        <w:tc>
          <w:tcPr>
            <w:tcW w:type="dxa" w:w="1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Floor</w:t>
            </w:r>
          </w:p>
        </w:tc>
        <w:tc>
          <w:tcPr>
            <w:tcW w:type="dxa" w:w="2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starttime1→Endtime1</w:t>
            </w:r>
          </w:p>
        </w:tc>
        <w:tc>
          <w:tcPr>
            <w:tcW w:type="dxa" w:w="1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407e6329…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15.0 min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19 min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5e28a955…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13.6 min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21 min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5816941e…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14.2 min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33 min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  <w:tr>
        <w:tc>
          <w:tcPr>
            <w:tcW w:type="dxa" w:w="19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1ce4fedc…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13.7 min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64 min</w:t>
            </w:r>
          </w:p>
        </w:tc>
        <w:tc>
          <w:tcPr>
            <w:tcW w:type="dxa" w:w="1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No longer flagged</w:t>
            </w:r>
          </w:p>
        </w:tc>
      </w:tr>
    </w:tbl>
    <w:p>
      <w:pPr>
        <w:spacing w:after="240" w:line="276"/>
      </w:pPr>
      <w:r>
        <w:rPr>
          <w:color w:val="334155"/>
          <w:sz w:val="20"/>
          <w:szCs w:val="20"/>
        </w:rPr>
        <w:t xml:space="preserve">The remaining 16 of 20 cases had starttime1/Endtime1 also at or under the 15-minute floor and remain flagged.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6. An Important Caveat — Neither Signal Is Perfect on Its Own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Checking the plausibility of starttime1/Endtime1 against each submission’s own SurveyCTO wall-clock window (allowing a 15-minute margin) shows they are not fully reliable either: only 5 of the 10 Household fast-duration disagreement cases had starttime1/Endtime1 falling inside that window — the other 5 fell partly or fully outside it (e.g. an Endtime1 earlier than the submission’s own recorded starttime).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This is exactly why the fix (§7) does not simply replace duration with starttime1/Endtime1 as a new “source of truth.” Instead, it requires the two signals to agree before treating a fast/long duration as a CRITICAL integrity finding. When they disagree, the honest conclusion is that the data does not support a confident accusation either way — not that the alternate field is automatically correct.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7. The Fix Implemented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If starttime1 and Endtime1 are both present and form a valid interval, that interval is checked against the same threshold as duration.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The flag only fires when both duration and the starttime1→Endtime1 interval independently cross the threshold (both “too fast”, or both “too long”).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If the two disagree, the flag is suppressed — the evidence is inconclusive, not proof of a genuine violation.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334155"/>
          <w:sz w:val="20"/>
          <w:szCs w:val="20"/>
        </w:rPr>
        <w:t xml:space="preserve">If starttime1/Endtime1 are missing (30–32% of records), the check falls back to duration/wall-clock exactly as before — no loss of detection where no second signal exists.</w:t>
      </w:r>
    </w:p>
    <w:p>
      <w:pPr>
        <w:pStyle w:val="Heading2"/>
        <w:spacing w:after="120" w:before="280"/>
      </w:pPr>
      <w:r>
        <w:rPr>
          <w:b/>
          <w:bCs/>
          <w:color w:val="0F766E"/>
          <w:sz w:val="24"/>
          <w:szCs w:val="24"/>
        </w:rPr>
        <w:t xml:space="preserve">Results after the fix (D.I. Khan + Hangu)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1400"/>
        <w:gridCol w:w="1400"/>
        <w:gridCol w:w="1400"/>
        <w:gridCol w:w="2200"/>
      </w:tblGrid>
      <w:tr>
        <w:trPr>
          <w:tblHeader/>
        </w:trPr>
        <w:tc>
          <w:tcPr>
            <w:tcW w:type="dxa" w:w="2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Survey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1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After</w:t>
            </w:r>
          </w:p>
        </w:tc>
        <w:tc>
          <w:tcPr>
            <w:tcW w:type="dxa" w:w="2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HH_AN_FAST_DURATION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Household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−10 suppressed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HH_AN_LONG_DURATION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Household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−2 suppressed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GL_AN_FAST_DURATION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Girls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4155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66534"/>
                <w:sz w:val="17"/>
                <w:szCs w:val="17"/>
              </w:rPr>
              <w:t xml:space="preserve">−4 suppressed</w:t>
            </w:r>
          </w:p>
        </w:tc>
      </w:tr>
    </w:tbl>
    <w:p>
      <w:pPr>
        <w:spacing w:after="200" w:line="276"/>
      </w:pPr>
      <w:r>
        <w:rPr>
          <w:color w:val="334155"/>
          <w:sz w:val="20"/>
          <w:szCs w:val="20"/>
        </w:rPr>
        <w:t xml:space="preserve">Every suppressed case above was independently re-verified against the raw CSV exports after the change: zero false positives and zero false negatives against the new agreement-based rule.</w:t>
      </w:r>
    </w:p>
    <w:p>
      <w:pPr>
        <w:pStyle w:val="Heading1"/>
        <w:pBdr>
          <w:bottom w:val="single" w:color="0F766E" w:sz="8"/>
        </w:pBdr>
        <w:spacing w:after="160" w:before="360"/>
      </w:pPr>
      <w:r>
        <w:rPr>
          <w:b/>
          <w:bCs/>
          <w:color w:val="134E4A"/>
          <w:sz w:val="30"/>
          <w:szCs w:val="30"/>
        </w:rPr>
        <w:t xml:space="preserve">8. Recommendation</w:t>
      </w:r>
    </w:p>
    <w:p>
      <w:pPr>
        <w:spacing w:after="160" w:line="276"/>
      </w:pPr>
      <w:r>
        <w:rPr>
          <w:color w:val="334155"/>
          <w:sz w:val="20"/>
          <w:szCs w:val="20"/>
        </w:rPr>
        <w:t xml:space="preserve">Treat any remaining fast/long-duration CRITICAL flag as high-confidence going forward, since it now reflects agreement between two independent timing signals (or the absence of a contradicting one). For the cases suppressed here, the underlying submissions are not “cleared” so much as removed from the automatic integrity track — they can still be spot-checked manually if desired, but they should not be used as evidence of enumerator misconduct on the strength of the duration field alone.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2026-09-23T07:14:13.588Z</dcterms:created>
  <dcterms:modified xsi:type="dcterms:W3CDTF">2026-09-23T07:14:13.593Z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