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is the relationship between def statements and lambda expressions 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 is a statement; def defined function doesn’t return anything unless explicitly entered return or print statement. 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lambda is an expression, contains one line of code, iterates through an iterator and returns an object. 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benefit of lambda?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lambda is simple, has only one line of code and returns an object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Compare and contrast map, filter, and reduce.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map(), iterates through all items and executes/applies the function to every element of the iterator object.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filter(), checks the filtered condition on every element of an iterator and returns only elements that meet the condition.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reduce(), applies function to sequence of elements and returns a single value unlike map() and filter() generates a list.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function annotations, and how are they used?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recursive functions, and how are they used?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function to call itself is recursive function; sequence generation is easier with recursive functions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some general design guidelines for coding functions?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function is a block of code which only runs when function is called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pass the data as parameters and function can return data as result.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function is defined using def keyword, call the function with function followed by ()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Name three or more ways that functions can communicate results to a caller.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 return statement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calling function(); if it accepts arguments, pass the values within 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print()</w:t>
      </w:r>
    </w:p>
    <w:p w:rsidR="00000000" w:rsidDel="00000000" w:rsidP="00000000" w:rsidRDefault="00000000" w:rsidRPr="00000000" w14:paraId="00000015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3CE+DkZwTU4Ob2F8fUNZn0KrQ==">AMUW2mWV4lv5XTKP5YmH0M89PKV9mn8Qx15/Mo6v65zXp2B9gq6D9X7WhBCj5ae9ovv8qZnOY4AfklO6oZRIueuez9BBB/ZDKjKcNURu67vm4DdtaIMhkTo=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