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65C0D" w14:textId="76E933D1" w:rsidR="00655F4A" w:rsidRPr="00874D6F" w:rsidRDefault="00874D6F">
      <w:pPr>
        <w:rPr>
          <w:b/>
          <w:bCs/>
        </w:rPr>
      </w:pPr>
      <w:r w:rsidRPr="00874D6F">
        <w:rPr>
          <w:b/>
          <w:bCs/>
        </w:rPr>
        <w:t>Clinical Decision Making and Pattern Recognition in Healthcare: The Role of Agentic AI and Machine Learning in Treatment, Payment, and Operations</w:t>
      </w:r>
    </w:p>
    <w:p w14:paraId="1FE6B63E" w14:textId="61A793F4" w:rsidR="00874D6F" w:rsidRPr="00874D6F" w:rsidRDefault="00874D6F" w:rsidP="00874D6F">
      <w:r w:rsidRPr="00874D6F">
        <w:t>Healthcare organizations generate vast amounts of structured and unstructured data every day through electronic health records (EHRs), physician notes, laboratory reports, medical imaging, insurance claims, and administrative documentation</w:t>
      </w:r>
      <w:r>
        <w:t xml:space="preserve"> (Batko &amp; </w:t>
      </w:r>
      <w:proofErr w:type="spellStart"/>
      <w:r w:rsidRPr="00874D6F">
        <w:t>Ślęzak</w:t>
      </w:r>
      <w:proofErr w:type="spellEnd"/>
      <w:r>
        <w:t>, 2022)</w:t>
      </w:r>
      <w:r w:rsidRPr="00874D6F">
        <w:t xml:space="preserve">. Converting this data into actionable insights is critical for improving patient outcomes, reducing healthcare costs, and increasing operational efficiency. Clinical </w:t>
      </w:r>
      <w:r>
        <w:t>decision-making</w:t>
      </w:r>
      <w:r w:rsidRPr="00874D6F">
        <w:t xml:space="preserve"> and pattern recognition are at the core of this transformation</w:t>
      </w:r>
      <w:r>
        <w:t xml:space="preserve"> (</w:t>
      </w:r>
      <w:r w:rsidRPr="00874D6F">
        <w:t>Bate</w:t>
      </w:r>
      <w:r>
        <w:t xml:space="preserve"> et al., 2012)</w:t>
      </w:r>
      <w:r w:rsidRPr="00874D6F">
        <w:t>. By identifying meaningful patterns in clinical and administrative data, artificial intelligence (AI) systems can assist healthcare professionals in making faster, more accurate, and evidence-based decisions.</w:t>
      </w:r>
    </w:p>
    <w:p w14:paraId="70EA1FE5" w14:textId="0C2254DA" w:rsidR="00874D6F" w:rsidRPr="00874D6F" w:rsidRDefault="00874D6F" w:rsidP="00874D6F">
      <w:r w:rsidRPr="00874D6F">
        <w:t>Pattern recognition in healthcare has evolved from traditional statistical models to machine learning, deep learning, and</w:t>
      </w:r>
      <w:r>
        <w:t>,</w:t>
      </w:r>
      <w:r w:rsidRPr="00874D6F">
        <w:t xml:space="preserve"> more recently, generative AI. Unlike conventional AI systems that respond only to user prompts, Agentic AI can autonomously perform multi-step tasks such as retrieving clinical guidelines, analyzing patient records, identifying anomalies, generating recommendations, and coordinating workflows while operating within predefined safety and governance constraints</w:t>
      </w:r>
      <w:r>
        <w:t xml:space="preserve"> (</w:t>
      </w:r>
      <w:r w:rsidRPr="00874D6F">
        <w:t>Maddox</w:t>
      </w:r>
      <w:r>
        <w:t xml:space="preserve"> et al., 2025)</w:t>
      </w:r>
      <w:r w:rsidRPr="00874D6F">
        <w:t>. These capabilities make Agentic AI particularly valuable for treatment, payment, and operational (TPO) processes across healthcare organizations. Recent reviews in the medical literature also highlight AI's growing role in reimbursement, clinical operations, and quality improvement while emphasizing the need for careful governance and oversight</w:t>
      </w:r>
      <w:r>
        <w:t xml:space="preserve"> (</w:t>
      </w:r>
      <w:r w:rsidRPr="00874D6F">
        <w:t>Maddox</w:t>
      </w:r>
      <w:r>
        <w:t xml:space="preserve"> et al., 2025)</w:t>
      </w:r>
      <w:r w:rsidRPr="00874D6F">
        <w:t>.</w:t>
      </w:r>
    </w:p>
    <w:p w14:paraId="60D676F2" w14:textId="77777777" w:rsidR="00874D6F" w:rsidRPr="00874D6F" w:rsidRDefault="00874D6F" w:rsidP="00874D6F">
      <w:pPr>
        <w:rPr>
          <w:b/>
          <w:bCs/>
        </w:rPr>
      </w:pPr>
      <w:r w:rsidRPr="00874D6F">
        <w:rPr>
          <w:b/>
          <w:bCs/>
        </w:rPr>
        <w:t>Current Trends in Clinical Decision Making</w:t>
      </w:r>
    </w:p>
    <w:p w14:paraId="1E9E0B57" w14:textId="2806FE83" w:rsidR="00874D6F" w:rsidRPr="00874D6F" w:rsidRDefault="00874D6F" w:rsidP="00874D6F">
      <w:r w:rsidRPr="00874D6F">
        <w:t>Healthcare AI has shifted from predictive analytics toward intelligent systems that combine large language models (LLMs), retrieval-augmented generation (RAG), and autonomous reasoning</w:t>
      </w:r>
      <w:r>
        <w:t xml:space="preserve"> (</w:t>
      </w:r>
      <w:r w:rsidRPr="00874D6F">
        <w:t>Ferber</w:t>
      </w:r>
      <w:r>
        <w:t xml:space="preserve"> et al., 2026)</w:t>
      </w:r>
      <w:r w:rsidRPr="00874D6F">
        <w:t>. Classification algorithms support disease prediction, risk adjustment, fraud detection, and patient stratification, while time</w:t>
      </w:r>
      <w:r>
        <w:t>-</w:t>
      </w:r>
      <w:r w:rsidRPr="00874D6F">
        <w:t>series models monitor changes in patient vital signs to detect deterioration before adverse events occur.</w:t>
      </w:r>
    </w:p>
    <w:p w14:paraId="3025D1E3" w14:textId="245FEE4A" w:rsidR="00874D6F" w:rsidRPr="00874D6F" w:rsidRDefault="00874D6F" w:rsidP="00874D6F">
      <w:r w:rsidRPr="00874D6F">
        <w:t>Generative AI expands these capabilities by summarizing lengthy clinical documentation, assisting with medical coding, and improving clinician productivity</w:t>
      </w:r>
      <w:r>
        <w:t xml:space="preserve"> </w:t>
      </w:r>
      <w:r>
        <w:t>(</w:t>
      </w:r>
      <w:r w:rsidRPr="00874D6F">
        <w:t>Maddox</w:t>
      </w:r>
      <w:r>
        <w:t xml:space="preserve"> et al., 2025)</w:t>
      </w:r>
      <w:r w:rsidRPr="00874D6F">
        <w:t xml:space="preserve">. However, </w:t>
      </w:r>
      <w:r w:rsidR="00985DC8">
        <w:t xml:space="preserve">using </w:t>
      </w:r>
      <w:r w:rsidRPr="00874D6F">
        <w:t xml:space="preserve">language models </w:t>
      </w:r>
      <w:r w:rsidR="00985DC8">
        <w:t xml:space="preserve">without any fine-tuning </w:t>
      </w:r>
      <w:r w:rsidRPr="00874D6F">
        <w:t xml:space="preserve">may generate inaccurate </w:t>
      </w:r>
      <w:r w:rsidR="00985DC8">
        <w:t>information or</w:t>
      </w:r>
      <w:r w:rsidRPr="00874D6F">
        <w:t xml:space="preserve"> hallucinations</w:t>
      </w:r>
      <w:r w:rsidR="00985DC8">
        <w:t xml:space="preserve"> (</w:t>
      </w:r>
      <w:r w:rsidR="00985DC8" w:rsidRPr="00985DC8">
        <w:t>Mello</w:t>
      </w:r>
      <w:r w:rsidR="00985DC8">
        <w:t xml:space="preserve"> &amp; Guha, 2024)</w:t>
      </w:r>
      <w:r w:rsidRPr="00874D6F">
        <w:t>. To improve reliability, many organizations are adopting RAG architectures that retrieve information from trusted clinical guidelines, payer policies, and internal knowledge bases before generating responses</w:t>
      </w:r>
      <w:r w:rsidR="00985DC8">
        <w:t xml:space="preserve"> (</w:t>
      </w:r>
      <w:proofErr w:type="spellStart"/>
      <w:r w:rsidR="00985DC8" w:rsidRPr="00985DC8">
        <w:t>Gargari</w:t>
      </w:r>
      <w:proofErr w:type="spellEnd"/>
      <w:r w:rsidR="00985DC8">
        <w:t xml:space="preserve"> &amp; Habibi, 2025)</w:t>
      </w:r>
      <w:r w:rsidRPr="00874D6F">
        <w:t>. This approach increases factual accuracy while maintaining transparency and traceability, making it better suited for healthcare applications.</w:t>
      </w:r>
    </w:p>
    <w:p w14:paraId="35F1BDAB" w14:textId="5AA2E2FE" w:rsidR="00874D6F" w:rsidRPr="00874D6F" w:rsidRDefault="00874D6F" w:rsidP="00874D6F">
      <w:r w:rsidRPr="00874D6F">
        <w:t>Another emerging trend i</w:t>
      </w:r>
      <w:r w:rsidR="00985DC8">
        <w:t>n clinical decision-making i</w:t>
      </w:r>
      <w:r w:rsidRPr="00874D6F">
        <w:t xml:space="preserve">s </w:t>
      </w:r>
      <w:r w:rsidR="00985DC8">
        <w:t xml:space="preserve">the use of </w:t>
      </w:r>
      <w:r w:rsidRPr="00874D6F">
        <w:t>explainable AI</w:t>
      </w:r>
      <w:r w:rsidR="00985DC8">
        <w:t xml:space="preserve"> (XAI) tools to explain how AI models make decisions</w:t>
      </w:r>
      <w:r w:rsidRPr="00874D6F">
        <w:t xml:space="preserve"> </w:t>
      </w:r>
      <w:r w:rsidR="00985DC8">
        <w:t>(</w:t>
      </w:r>
      <w:r w:rsidR="00985DC8" w:rsidRPr="00985DC8">
        <w:t>Carriero</w:t>
      </w:r>
      <w:r w:rsidR="00985DC8">
        <w:t xml:space="preserve"> et al., 2025).</w:t>
      </w:r>
      <w:r w:rsidRPr="00874D6F">
        <w:t xml:space="preserve"> </w:t>
      </w:r>
      <w:r w:rsidR="00985DC8">
        <w:t>Since</w:t>
      </w:r>
      <w:r w:rsidRPr="00874D6F">
        <w:t xml:space="preserve"> healthcare decisions directly affect patient care and reimbursement, clinicians and auditors must understand why an AI system reached a </w:t>
      </w:r>
      <w:r w:rsidRPr="00874D6F">
        <w:lastRenderedPageBreak/>
        <w:t>particular recommendation. Models that provide interpretable evidence, confidence scores, and references to clinical policies are more likely to earn trust and support regulatory compliance</w:t>
      </w:r>
      <w:r w:rsidR="00985DC8">
        <w:t xml:space="preserve"> </w:t>
      </w:r>
      <w:r w:rsidR="00985DC8">
        <w:t>(</w:t>
      </w:r>
      <w:r w:rsidR="00985DC8" w:rsidRPr="00985DC8">
        <w:t>Carriero</w:t>
      </w:r>
      <w:r w:rsidR="00985DC8">
        <w:t xml:space="preserve"> et al., 2025</w:t>
      </w:r>
      <w:r w:rsidR="00985DC8">
        <w:t>)</w:t>
      </w:r>
      <w:r w:rsidRPr="00874D6F">
        <w:t>.</w:t>
      </w:r>
    </w:p>
    <w:p w14:paraId="1606188C" w14:textId="35EB0011" w:rsidR="00874D6F" w:rsidRPr="00874D6F" w:rsidRDefault="00874D6F" w:rsidP="00874D6F">
      <w:pPr>
        <w:rPr>
          <w:b/>
          <w:bCs/>
        </w:rPr>
      </w:pPr>
      <w:r w:rsidRPr="00874D6F">
        <w:rPr>
          <w:b/>
          <w:bCs/>
        </w:rPr>
        <w:t>Opportunities for Cotiviti</w:t>
      </w:r>
    </w:p>
    <w:p w14:paraId="02E87B05" w14:textId="287123DB" w:rsidR="00874D6F" w:rsidRPr="00874D6F" w:rsidRDefault="00874D6F" w:rsidP="00874D6F">
      <w:r w:rsidRPr="00874D6F">
        <w:t>Cotiviti specializes in payment integrity, risk adjustment, quality improvement, and healthcare analytics</w:t>
      </w:r>
      <w:r w:rsidR="00985DC8">
        <w:t xml:space="preserve"> (</w:t>
      </w:r>
      <w:r w:rsidR="00985DC8" w:rsidRPr="00985DC8">
        <w:t>Cotiviti</w:t>
      </w:r>
      <w:r w:rsidR="00985DC8">
        <w:t>)</w:t>
      </w:r>
      <w:r w:rsidRPr="00874D6F">
        <w:t xml:space="preserve">, making it well positioned to benefit from advances in </w:t>
      </w:r>
      <w:r w:rsidR="00985DC8">
        <w:t>a</w:t>
      </w:r>
      <w:r w:rsidRPr="00874D6F">
        <w:t xml:space="preserve">gentic AI and pattern recognition. One promising application is </w:t>
      </w:r>
      <w:r w:rsidR="00985DC8">
        <w:t xml:space="preserve">using agentic AI-based </w:t>
      </w:r>
      <w:r w:rsidRPr="00874D6F">
        <w:t>intelligent claims review. AI agents could analyze medical records, billing codes, payer policies, and historical claims to identify inconsistencies before reimbursement decisions are finalized. This capability could reduce manual review time while improving payment accuracy.</w:t>
      </w:r>
    </w:p>
    <w:p w14:paraId="24E8C068" w14:textId="74FE3DB5" w:rsidR="00985DC8" w:rsidRDefault="00985DC8" w:rsidP="00874D6F">
      <w:r w:rsidRPr="00985DC8">
        <w:t>Another opportunity for Cotiviti lies in AI</w:t>
      </w:r>
      <w:r>
        <w:t>-</w:t>
      </w:r>
      <w:r w:rsidRPr="00985DC8">
        <w:t xml:space="preserve">assisted clinical coding and documentation. A recent systematic review by Perkins et al. (2024) found that artificial intelligence can improve the accuracy, completeness, and efficiency of clinical documentation by summarizing physician notes, identifying missing information, and supporting diagnosis and procedure coding. These improvements not only reduce administrative burden but also contribute to more accurate reimbursement and higher-quality clinical records. For Cotiviti, these capabilities </w:t>
      </w:r>
      <w:r w:rsidR="005D33F9">
        <w:t>would</w:t>
      </w:r>
      <w:r w:rsidRPr="00985DC8">
        <w:t xml:space="preserve"> directly </w:t>
      </w:r>
      <w:r w:rsidR="005D33F9">
        <w:t xml:space="preserve">align </w:t>
      </w:r>
      <w:r w:rsidRPr="00985DC8">
        <w:t xml:space="preserve">with its mission </w:t>
      </w:r>
      <w:r w:rsidR="005D33F9">
        <w:t>to connect data, workflows, and intelligence across the healthcare ecosystem, helping</w:t>
      </w:r>
      <w:r w:rsidRPr="00985DC8">
        <w:t xml:space="preserve"> payers, providers, and government programs improve financial performance and deliver better outcomes. By integrating AI-driven documentation support into its healthcare intelligence platform, Cotiviti could further strengthen payment integrity, risk adjustment accuracy, and operational efficiency while providing healthcare organizations with greater confidence in their clinical and financial decision-making.</w:t>
      </w:r>
    </w:p>
    <w:p w14:paraId="4CCD5015" w14:textId="77777777" w:rsidR="005D33F9" w:rsidRDefault="00874D6F" w:rsidP="00874D6F">
      <w:r w:rsidRPr="00874D6F">
        <w:t xml:space="preserve">Despite these opportunities, </w:t>
      </w:r>
      <w:r w:rsidR="005D33F9">
        <w:t>there are some</w:t>
      </w:r>
      <w:r w:rsidRPr="00874D6F">
        <w:t xml:space="preserve"> challenges </w:t>
      </w:r>
      <w:r w:rsidR="005D33F9">
        <w:t xml:space="preserve">that need to be accounted for when integrating AI-based agents </w:t>
      </w:r>
      <w:proofErr w:type="gramStart"/>
      <w:r w:rsidR="005D33F9">
        <w:t>in</w:t>
      </w:r>
      <w:proofErr w:type="gramEnd"/>
      <w:r w:rsidR="005D33F9">
        <w:t xml:space="preserve"> clinical decision-making systems</w:t>
      </w:r>
      <w:r w:rsidRPr="00874D6F">
        <w:t xml:space="preserve">. Healthcare AI systems must comply with privacy regulations, protect sensitive patient information, and minimize algorithmic bias. Organizations must also address the legal and ethical implications of AI-assisted </w:t>
      </w:r>
      <w:r w:rsidR="005D33F9">
        <w:t>decision-making</w:t>
      </w:r>
      <w:r w:rsidRPr="00874D6F">
        <w:t xml:space="preserve"> by maintaining human oversight, validating model performance, and documenting how recommendations are generated. </w:t>
      </w:r>
    </w:p>
    <w:p w14:paraId="3C47237E" w14:textId="2D18B7E7" w:rsidR="00874D6F" w:rsidRDefault="005D33F9">
      <w:r w:rsidRPr="005D33F9">
        <w:t xml:space="preserve">Clinical decision-making and pattern recognition continue to evolve as advances in machine learning, generative AI, and agentic AI reshape how healthcare organizations analyze and use data. These technologies have the potential to improve clinical decisions, increase payment accuracy, and streamline day-to-day operations while reducing administrative workload. </w:t>
      </w:r>
      <w:r>
        <w:t>T</w:t>
      </w:r>
      <w:r w:rsidRPr="005D33F9">
        <w:t xml:space="preserve">he greatest opportunity </w:t>
      </w:r>
      <w:r>
        <w:t xml:space="preserve">for </w:t>
      </w:r>
      <w:r w:rsidRPr="005D33F9">
        <w:t>Cotiviti</w:t>
      </w:r>
      <w:r>
        <w:t xml:space="preserve"> would be</w:t>
      </w:r>
      <w:r w:rsidRPr="005D33F9">
        <w:t xml:space="preserve"> to equip </w:t>
      </w:r>
      <w:r>
        <w:t>healthcare professionals</w:t>
      </w:r>
      <w:r w:rsidRPr="005D33F9">
        <w:t xml:space="preserve"> with AI tools that provide accurate, transparent, and evidence</w:t>
      </w:r>
      <w:r>
        <w:t>-</w:t>
      </w:r>
      <w:r w:rsidRPr="005D33F9">
        <w:t xml:space="preserve">based insights. By investing in technologies such as </w:t>
      </w:r>
      <w:r>
        <w:t xml:space="preserve">RAG-based AI agents </w:t>
      </w:r>
      <w:r w:rsidRPr="005D33F9">
        <w:t xml:space="preserve">and explainable AI, Cotiviti </w:t>
      </w:r>
      <w:r>
        <w:t>could</w:t>
      </w:r>
      <w:r w:rsidRPr="005D33F9">
        <w:t xml:space="preserve"> enhance its platform </w:t>
      </w:r>
      <w:r>
        <w:t>and help payers and</w:t>
      </w:r>
      <w:r w:rsidRPr="005D33F9">
        <w:t xml:space="preserve"> providers make more informed decisions, improve operational efficiency, and deliver better outcomes across the healthcare ecosystem.</w:t>
      </w:r>
    </w:p>
    <w:p w14:paraId="3AB12FEF" w14:textId="77777777" w:rsidR="00874D6F" w:rsidRDefault="00874D6F"/>
    <w:p w14:paraId="06414F69" w14:textId="77777777" w:rsidR="005D33F9" w:rsidRPr="005D33F9" w:rsidRDefault="005D33F9">
      <w:pPr>
        <w:rPr>
          <w:b/>
          <w:bCs/>
        </w:rPr>
      </w:pPr>
      <w:r w:rsidRPr="005D33F9">
        <w:rPr>
          <w:b/>
          <w:bCs/>
        </w:rPr>
        <w:lastRenderedPageBreak/>
        <w:t>References</w:t>
      </w:r>
    </w:p>
    <w:p w14:paraId="276E7C22" w14:textId="04CEA29F" w:rsidR="00874D6F" w:rsidRDefault="00874D6F">
      <w:r w:rsidRPr="00874D6F">
        <w:t xml:space="preserve">Batko, K., &amp; </w:t>
      </w:r>
      <w:proofErr w:type="spellStart"/>
      <w:r w:rsidRPr="00874D6F">
        <w:t>Ślęzak</w:t>
      </w:r>
      <w:proofErr w:type="spellEnd"/>
      <w:r w:rsidRPr="00874D6F">
        <w:t>, A. (2022). The use of Big Data Analytics in healthcare. </w:t>
      </w:r>
      <w:r w:rsidRPr="00874D6F">
        <w:rPr>
          <w:i/>
          <w:iCs/>
        </w:rPr>
        <w:t>Journal of big data</w:t>
      </w:r>
      <w:r w:rsidRPr="00874D6F">
        <w:t>, </w:t>
      </w:r>
      <w:r w:rsidRPr="00874D6F">
        <w:rPr>
          <w:i/>
          <w:iCs/>
        </w:rPr>
        <w:t>9</w:t>
      </w:r>
      <w:r w:rsidRPr="00874D6F">
        <w:t>(1), 3. doi:10.1186/s40537-021-00553-4</w:t>
      </w:r>
    </w:p>
    <w:p w14:paraId="472E6413" w14:textId="3E151052" w:rsidR="00874D6F" w:rsidRDefault="00874D6F">
      <w:r w:rsidRPr="00874D6F">
        <w:t>Bate, L., Hutchinson, A., Underhill, J., &amp; Maskrey, N. (2012). How clinical decisions are made. </w:t>
      </w:r>
      <w:r w:rsidRPr="00874D6F">
        <w:rPr>
          <w:i/>
          <w:iCs/>
        </w:rPr>
        <w:t>British journal of clinical pharmacology</w:t>
      </w:r>
      <w:r w:rsidRPr="00874D6F">
        <w:t>, </w:t>
      </w:r>
      <w:r w:rsidRPr="00874D6F">
        <w:rPr>
          <w:i/>
          <w:iCs/>
        </w:rPr>
        <w:t>74</w:t>
      </w:r>
      <w:r w:rsidRPr="00874D6F">
        <w:t>(4), 614</w:t>
      </w:r>
      <w:r>
        <w:t>-</w:t>
      </w:r>
      <w:r w:rsidRPr="00874D6F">
        <w:t>620. doi:10.1111/j.1365-2125.</w:t>
      </w:r>
      <w:proofErr w:type="gramStart"/>
      <w:r w:rsidRPr="00874D6F">
        <w:t>2012.04366.x</w:t>
      </w:r>
      <w:proofErr w:type="gramEnd"/>
    </w:p>
    <w:p w14:paraId="00F265D4" w14:textId="1938B5C1" w:rsidR="00874D6F" w:rsidRDefault="00874D6F">
      <w:r w:rsidRPr="00874D6F">
        <w:t xml:space="preserve">Maddox, T. M., </w:t>
      </w:r>
      <w:proofErr w:type="spellStart"/>
      <w:r w:rsidRPr="00874D6F">
        <w:t>Embí</w:t>
      </w:r>
      <w:proofErr w:type="spellEnd"/>
      <w:r w:rsidRPr="00874D6F">
        <w:t xml:space="preserve">, P., Gerhart, J., </w:t>
      </w:r>
      <w:proofErr w:type="spellStart"/>
      <w:r w:rsidRPr="00874D6F">
        <w:t>Goldsack</w:t>
      </w:r>
      <w:proofErr w:type="spellEnd"/>
      <w:r w:rsidRPr="00874D6F">
        <w:t>, J., Parikh, R. B., &amp; Sarich, T. C. (2025). Generative AI in Medicine - Evaluating Progress and Challenges. </w:t>
      </w:r>
      <w:r w:rsidRPr="00874D6F">
        <w:rPr>
          <w:i/>
          <w:iCs/>
        </w:rPr>
        <w:t>The New England journal of medicine</w:t>
      </w:r>
      <w:r w:rsidRPr="00874D6F">
        <w:t>, </w:t>
      </w:r>
      <w:r w:rsidRPr="00874D6F">
        <w:rPr>
          <w:i/>
          <w:iCs/>
        </w:rPr>
        <w:t>392</w:t>
      </w:r>
      <w:r w:rsidRPr="00874D6F">
        <w:t xml:space="preserve">(24), 2479–2483. </w:t>
      </w:r>
      <w:hyperlink r:id="rId4" w:history="1">
        <w:r w:rsidRPr="005C362A">
          <w:rPr>
            <w:rStyle w:val="Hyperlink"/>
          </w:rPr>
          <w:t>https://doi.org/10.1056/NEJMsb2503956</w:t>
        </w:r>
      </w:hyperlink>
    </w:p>
    <w:p w14:paraId="0660BBBC" w14:textId="77777777" w:rsidR="00874D6F" w:rsidRPr="00874D6F" w:rsidRDefault="00874D6F" w:rsidP="00874D6F">
      <w:r w:rsidRPr="00874D6F">
        <w:t xml:space="preserve">Ferber, D., Hilgers, L., </w:t>
      </w:r>
      <w:proofErr w:type="spellStart"/>
      <w:r w:rsidRPr="00874D6F">
        <w:t>Höper</w:t>
      </w:r>
      <w:proofErr w:type="spellEnd"/>
      <w:r w:rsidRPr="00874D6F">
        <w:t xml:space="preserve">, C., Kinny-Köster, B., Eckardt, J.-N., Egger-Heidrich, K., Bill, M., Schneider, M. M. K., </w:t>
      </w:r>
      <w:proofErr w:type="spellStart"/>
      <w:r w:rsidRPr="00874D6F">
        <w:t>Clusmann</w:t>
      </w:r>
      <w:proofErr w:type="spellEnd"/>
      <w:r w:rsidRPr="00874D6F">
        <w:t xml:space="preserve">, J., Kadric, L., Oehme, M., Mayrhofer-Schmid, M., Oeser, A., </w:t>
      </w:r>
      <w:proofErr w:type="spellStart"/>
      <w:r w:rsidRPr="00874D6F">
        <w:t>Wölflein</w:t>
      </w:r>
      <w:proofErr w:type="spellEnd"/>
      <w:r w:rsidRPr="00874D6F">
        <w:t xml:space="preserve">, G., Wiest, I. C., </w:t>
      </w:r>
      <w:proofErr w:type="spellStart"/>
      <w:r w:rsidRPr="00874D6F">
        <w:t>Middeke</w:t>
      </w:r>
      <w:proofErr w:type="spellEnd"/>
      <w:r w:rsidRPr="00874D6F">
        <w:t xml:space="preserve">, J. M., Iafrate, A. J., Truhn, D., Jäger, D., &amp; Kather, J. N. (2026). Towards autonomous medical artificial intelligence agents. </w:t>
      </w:r>
      <w:r w:rsidRPr="00874D6F">
        <w:rPr>
          <w:i/>
          <w:iCs/>
        </w:rPr>
        <w:t>Nature</w:t>
      </w:r>
      <w:r w:rsidRPr="00874D6F">
        <w:t>. https://doi.org/10.1038/s41586-026-10675-5</w:t>
      </w:r>
    </w:p>
    <w:p w14:paraId="5B0111C2" w14:textId="4C7F29A5" w:rsidR="00874D6F" w:rsidRDefault="00985DC8">
      <w:r w:rsidRPr="00985DC8">
        <w:t>Mello, M. M., &amp; Guha, N. (2024). Understanding Liability Risk from Using Health Care Artificial Intelligence Tools. </w:t>
      </w:r>
      <w:r w:rsidRPr="00985DC8">
        <w:rPr>
          <w:i/>
          <w:iCs/>
        </w:rPr>
        <w:t>The New England journal of medicine</w:t>
      </w:r>
      <w:r w:rsidRPr="00985DC8">
        <w:t>, </w:t>
      </w:r>
      <w:r w:rsidRPr="00985DC8">
        <w:rPr>
          <w:i/>
          <w:iCs/>
        </w:rPr>
        <w:t>390</w:t>
      </w:r>
      <w:r w:rsidRPr="00985DC8">
        <w:t xml:space="preserve">(3), 271–278. </w:t>
      </w:r>
      <w:hyperlink r:id="rId5" w:history="1">
        <w:r w:rsidRPr="005C362A">
          <w:rPr>
            <w:rStyle w:val="Hyperlink"/>
          </w:rPr>
          <w:t>https://doi.org/10.1056/NEJMhle2308901</w:t>
        </w:r>
      </w:hyperlink>
    </w:p>
    <w:p w14:paraId="1CC904DD" w14:textId="17C74B4D" w:rsidR="00985DC8" w:rsidRDefault="00985DC8">
      <w:proofErr w:type="spellStart"/>
      <w:r w:rsidRPr="00985DC8">
        <w:t>Gargari</w:t>
      </w:r>
      <w:proofErr w:type="spellEnd"/>
      <w:r w:rsidRPr="00985DC8">
        <w:t>, O. K., &amp; Habibi, G. (2025). Enhancing medical AI with retrieval-augmented generation: A mini narrative review. </w:t>
      </w:r>
      <w:r w:rsidRPr="00985DC8">
        <w:rPr>
          <w:i/>
          <w:iCs/>
        </w:rPr>
        <w:t>Digital health</w:t>
      </w:r>
      <w:r w:rsidRPr="00985DC8">
        <w:t>, 11</w:t>
      </w:r>
      <w:r>
        <w:t>.</w:t>
      </w:r>
      <w:r w:rsidRPr="00985DC8">
        <w:t xml:space="preserve"> doi:10.1177/20552076251337177. </w:t>
      </w:r>
    </w:p>
    <w:p w14:paraId="5DB7B090" w14:textId="2E33F288" w:rsidR="00985DC8" w:rsidRDefault="00985DC8">
      <w:r w:rsidRPr="00985DC8">
        <w:t xml:space="preserve">Carriero, A., de </w:t>
      </w:r>
      <w:proofErr w:type="spellStart"/>
      <w:r w:rsidRPr="00985DC8">
        <w:t>Hond</w:t>
      </w:r>
      <w:proofErr w:type="spellEnd"/>
      <w:r w:rsidRPr="00985DC8">
        <w:t xml:space="preserve">, A., Cappers, B., Paulovich, F., Abeln, S., Moons, K. G., &amp; van Smeden, M. (2025). Explainable AI in healthcare: to explain, to predict, or to </w:t>
      </w:r>
      <w:proofErr w:type="gramStart"/>
      <w:r w:rsidRPr="00985DC8">
        <w:t>describe?.</w:t>
      </w:r>
      <w:proofErr w:type="gramEnd"/>
      <w:r w:rsidRPr="00985DC8">
        <w:t> </w:t>
      </w:r>
      <w:r w:rsidRPr="00985DC8">
        <w:rPr>
          <w:i/>
          <w:iCs/>
        </w:rPr>
        <w:t>Diagnostic and prognostic research</w:t>
      </w:r>
      <w:r w:rsidRPr="00985DC8">
        <w:t>, </w:t>
      </w:r>
      <w:r w:rsidRPr="00985DC8">
        <w:rPr>
          <w:i/>
          <w:iCs/>
        </w:rPr>
        <w:t>9</w:t>
      </w:r>
      <w:r w:rsidRPr="00985DC8">
        <w:t xml:space="preserve">(1), 29. </w:t>
      </w:r>
      <w:hyperlink r:id="rId6" w:history="1">
        <w:r w:rsidRPr="005C362A">
          <w:rPr>
            <w:rStyle w:val="Hyperlink"/>
          </w:rPr>
          <w:t>https://doi.org/10.1186/s41512-025-00213-8</w:t>
        </w:r>
      </w:hyperlink>
    </w:p>
    <w:p w14:paraId="3A5BCA7E" w14:textId="77777777" w:rsidR="00985DC8" w:rsidRPr="00985DC8" w:rsidRDefault="00985DC8" w:rsidP="00985DC8">
      <w:r w:rsidRPr="00985DC8">
        <w:t xml:space="preserve">Cotiviti. (n.d.). </w:t>
      </w:r>
      <w:r w:rsidRPr="00985DC8">
        <w:rPr>
          <w:i/>
          <w:iCs/>
        </w:rPr>
        <w:t>Healthcare Analytics Company | Cotiviti</w:t>
      </w:r>
      <w:r w:rsidRPr="00985DC8">
        <w:t>. Www.Cotiviti.Com. Retrieved July 9, 2026, from https://www.cotiviti.com/</w:t>
      </w:r>
    </w:p>
    <w:p w14:paraId="0CC90D38" w14:textId="3FD2EA8E" w:rsidR="00985DC8" w:rsidRDefault="00985DC8">
      <w:r w:rsidRPr="00985DC8">
        <w:t xml:space="preserve">Perkins, S. W., </w:t>
      </w:r>
      <w:proofErr w:type="spellStart"/>
      <w:r w:rsidRPr="00985DC8">
        <w:t>Muste</w:t>
      </w:r>
      <w:proofErr w:type="spellEnd"/>
      <w:r w:rsidRPr="00985DC8">
        <w:t>, J. C., Alam, T., &amp; Singh, R. P. (2024). Improving Clinical Documentation with Artificial Intelligence: A Systematic Review. </w:t>
      </w:r>
      <w:r w:rsidRPr="00985DC8">
        <w:rPr>
          <w:i/>
          <w:iCs/>
        </w:rPr>
        <w:t>Perspectives in health information management</w:t>
      </w:r>
      <w:r w:rsidRPr="00985DC8">
        <w:t>, </w:t>
      </w:r>
      <w:r w:rsidRPr="00985DC8">
        <w:rPr>
          <w:i/>
          <w:iCs/>
        </w:rPr>
        <w:t>21</w:t>
      </w:r>
      <w:r w:rsidRPr="00985DC8">
        <w:t>(2), 1d.</w:t>
      </w:r>
    </w:p>
    <w:sectPr w:rsidR="00985DC8" w:rsidSect="005D33F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D6F"/>
    <w:rsid w:val="001444EA"/>
    <w:rsid w:val="001747E7"/>
    <w:rsid w:val="005D33F9"/>
    <w:rsid w:val="00655F4A"/>
    <w:rsid w:val="00874D6F"/>
    <w:rsid w:val="008B1854"/>
    <w:rsid w:val="00985DC8"/>
    <w:rsid w:val="00C2718B"/>
    <w:rsid w:val="00F80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9186C"/>
  <w15:chartTrackingRefBased/>
  <w15:docId w15:val="{B635DD38-B38C-48ED-81E5-A255FEA46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D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D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D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D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D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D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D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D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D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D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D6F"/>
    <w:rPr>
      <w:rFonts w:eastAsiaTheme="majorEastAsia" w:cstheme="majorBidi"/>
      <w:color w:val="272727" w:themeColor="text1" w:themeTint="D8"/>
    </w:rPr>
  </w:style>
  <w:style w:type="paragraph" w:styleId="Title">
    <w:name w:val="Title"/>
    <w:basedOn w:val="Normal"/>
    <w:next w:val="Normal"/>
    <w:link w:val="TitleChar"/>
    <w:uiPriority w:val="10"/>
    <w:qFormat/>
    <w:rsid w:val="00874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D6F"/>
    <w:pPr>
      <w:spacing w:before="160"/>
      <w:jc w:val="center"/>
    </w:pPr>
    <w:rPr>
      <w:i/>
      <w:iCs/>
      <w:color w:val="404040" w:themeColor="text1" w:themeTint="BF"/>
    </w:rPr>
  </w:style>
  <w:style w:type="character" w:customStyle="1" w:styleId="QuoteChar">
    <w:name w:val="Quote Char"/>
    <w:basedOn w:val="DefaultParagraphFont"/>
    <w:link w:val="Quote"/>
    <w:uiPriority w:val="29"/>
    <w:rsid w:val="00874D6F"/>
    <w:rPr>
      <w:i/>
      <w:iCs/>
      <w:color w:val="404040" w:themeColor="text1" w:themeTint="BF"/>
    </w:rPr>
  </w:style>
  <w:style w:type="paragraph" w:styleId="ListParagraph">
    <w:name w:val="List Paragraph"/>
    <w:basedOn w:val="Normal"/>
    <w:uiPriority w:val="34"/>
    <w:qFormat/>
    <w:rsid w:val="00874D6F"/>
    <w:pPr>
      <w:ind w:left="720"/>
      <w:contextualSpacing/>
    </w:pPr>
  </w:style>
  <w:style w:type="character" w:styleId="IntenseEmphasis">
    <w:name w:val="Intense Emphasis"/>
    <w:basedOn w:val="DefaultParagraphFont"/>
    <w:uiPriority w:val="21"/>
    <w:qFormat/>
    <w:rsid w:val="00874D6F"/>
    <w:rPr>
      <w:i/>
      <w:iCs/>
      <w:color w:val="2F5496" w:themeColor="accent1" w:themeShade="BF"/>
    </w:rPr>
  </w:style>
  <w:style w:type="paragraph" w:styleId="IntenseQuote">
    <w:name w:val="Intense Quote"/>
    <w:basedOn w:val="Normal"/>
    <w:next w:val="Normal"/>
    <w:link w:val="IntenseQuoteChar"/>
    <w:uiPriority w:val="30"/>
    <w:qFormat/>
    <w:rsid w:val="00874D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D6F"/>
    <w:rPr>
      <w:i/>
      <w:iCs/>
      <w:color w:val="2F5496" w:themeColor="accent1" w:themeShade="BF"/>
    </w:rPr>
  </w:style>
  <w:style w:type="character" w:styleId="IntenseReference">
    <w:name w:val="Intense Reference"/>
    <w:basedOn w:val="DefaultParagraphFont"/>
    <w:uiPriority w:val="32"/>
    <w:qFormat/>
    <w:rsid w:val="00874D6F"/>
    <w:rPr>
      <w:b/>
      <w:bCs/>
      <w:smallCaps/>
      <w:color w:val="2F5496" w:themeColor="accent1" w:themeShade="BF"/>
      <w:spacing w:val="5"/>
    </w:rPr>
  </w:style>
  <w:style w:type="character" w:styleId="Hyperlink">
    <w:name w:val="Hyperlink"/>
    <w:basedOn w:val="DefaultParagraphFont"/>
    <w:uiPriority w:val="99"/>
    <w:unhideWhenUsed/>
    <w:rsid w:val="00874D6F"/>
    <w:rPr>
      <w:color w:val="0563C1" w:themeColor="hyperlink"/>
      <w:u w:val="single"/>
    </w:rPr>
  </w:style>
  <w:style w:type="character" w:styleId="UnresolvedMention">
    <w:name w:val="Unresolved Mention"/>
    <w:basedOn w:val="DefaultParagraphFont"/>
    <w:uiPriority w:val="99"/>
    <w:semiHidden/>
    <w:unhideWhenUsed/>
    <w:rsid w:val="00874D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86/s41512-025-00213-8" TargetMode="External"/><Relationship Id="rId5" Type="http://schemas.openxmlformats.org/officeDocument/2006/relationships/hyperlink" Target="https://doi.org/10.1056/NEJMhle2308901" TargetMode="External"/><Relationship Id="rId4" Type="http://schemas.openxmlformats.org/officeDocument/2006/relationships/hyperlink" Target="https://doi.org/10.1056/NEJMsb25039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Mainali,Mallika</dc:creator>
  <cp:keywords/>
  <dc:description/>
  <cp:lastModifiedBy>Mainali,Mallika</cp:lastModifiedBy>
  <cp:revision>1</cp:revision>
  <dcterms:created xsi:type="dcterms:W3CDTF">2026-07-09T19:08:00Z</dcterms:created>
  <dcterms:modified xsi:type="dcterms:W3CDTF">2026-07-09T19:36:00Z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ea2a65d7-5e5a-49ec-8916-3dc374a63e66</vt:lpwstr>
  </property>
</Properties>
</file>