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AI Writing Forensics &amp; Authorship Attribution System</w:t>
        <w:br/>
      </w:r>
      <w:r>
        <w:rPr>
          <w:i/>
          <w:color w:val="10B981"/>
          <w:sz w:val="26"/>
        </w:rPr>
        <w:t>Comprehensive Technical Documentation &amp; Project Justification</w:t>
        <w:br/>
      </w:r>
    </w:p>
    <w:p>
      <w:pPr>
        <w:jc w:val="center"/>
      </w:pPr>
      <w:r>
        <w:t>———————————————————————————————————————————————————————</w:t>
      </w:r>
    </w:p>
    <w:p>
      <w:pPr>
        <w:pStyle w:val="Heading1"/>
      </w:pPr>
      <w:r>
        <w:rPr>
          <w:rFonts w:ascii="Calibri" w:hAnsi="Calibri"/>
          <w:color w:val="10B981"/>
        </w:rPr>
        <w:t>1. Executive Summary &amp; Abstract</w:t>
      </w:r>
    </w:p>
    <w:p>
      <w:r>
        <w:t>The AI Writing Forensics &amp; Authorship Attribution System is an end-to-end linguistic forensics application designed to determine document origin, author authenticity, and synthetic text generation. In the modern digital era, the proliferation of generative Large Language Models (LLMs) like ChatGPT, Gemini, and Claude has drastically blurred the boundary between authentic human expression and machine-generated content. This project implements quantitative stylometric fingerprinting, TF-IDF n-gram vector analysis, paragraph-level stylistic drift detection, and burstiness cadence metrics to establish non-destructive, explainable authorship attribution.</w:t>
      </w:r>
    </w:p>
    <w:p>
      <w:pPr>
        <w:pStyle w:val="Heading1"/>
      </w:pPr>
      <w:r>
        <w:rPr>
          <w:rFonts w:ascii="Calibri" w:hAnsi="Calibri"/>
          <w:color w:val="10B981"/>
        </w:rPr>
        <w:t>2. Problem Statement &amp; Motivation</w:t>
      </w:r>
    </w:p>
    <w:p>
      <w:r>
        <w:t>Traditional plagiarism detection tools rely on verbatim substring matching and database cross-referencing. However, modern challenges require sophisticated forensic evaluation:</w:t>
        <w:br/>
        <w:t>1. AI Paraphrasing &amp; Generation: LLMs generate novel text that easily bypasses conventional similarity checkers.</w:t>
        <w:br/>
        <w:t>2. Ghostwriting &amp; Co-Authorship: A document may be written by someone other than the claimed author, leaving no external plagiarism trail.</w:t>
        <w:br/>
        <w:t>3. Document Splicing &amp; Tampering: Unauthorized sections or clauses can be inserted into legal agreements or academic papers.</w:t>
        <w:br/>
        <w:t>This project addresses these gaps by analyzing the structural, syntactic, and statistical style of the writing rather than relying on search engine databases.</w:t>
      </w:r>
    </w:p>
    <w:p>
      <w:pPr>
        <w:pStyle w:val="Heading1"/>
      </w:pPr>
      <w:r>
        <w:rPr>
          <w:rFonts w:ascii="Calibri" w:hAnsi="Calibri"/>
          <w:color w:val="10B981"/>
        </w:rPr>
        <w:t>3. System Architecture &amp; Technical Workflow</w:t>
      </w:r>
    </w:p>
    <w:p>
      <w:r>
        <w:t>The application operates across four specialized modules working in parallel:</w:t>
        <w:br/>
      </w:r>
    </w:p>
    <w:p>
      <w:pPr>
        <w:pStyle w:val="Heading2"/>
      </w:pPr>
      <w:r>
        <w:rPr>
          <w:rFonts w:ascii="Calibri" w:hAnsi="Calibri"/>
          <w:color w:val="1E293B"/>
        </w:rPr>
        <w:t>Module A: Stylometric Profiling (Linguistic Fingerprint)</w:t>
      </w:r>
    </w:p>
    <w:p>
      <w:r>
        <w:t>Every individual exhibits subconscious writing habits. The system extracts a 9-dimensional stylistic feature vector for both verified reference samples and questioned documents:</w:t>
        <w:br/>
        <w:t>• Average Word Length: Reflects vocabulary sophistication.</w:t>
        <w:br/>
        <w:t>• Average Sentence Length: Measures syntactic complexity.</w:t>
        <w:br/>
        <w:t>• Vocabulary Richness (Type-Token Ratio): Assesses lexical diversity.</w:t>
        <w:br/>
        <w:t>• Punctuation Frequency: Quantifies overall punctuation usage.</w:t>
        <w:br/>
        <w:t>• Uppercase &amp; Digit Density: Captures formatting and typographic tendencies.</w:t>
        <w:br/>
        <w:t>• Comma Frequency: Measures clause structuring and pacing.</w:t>
        <w:br/>
        <w:t>• Sentence Length Variance: Captures rhythmic diversity.</w:t>
        <w:br/>
        <w:t>• Function Word Density: Measures usage of subconscious stop words (the, of, and, in, with).</w:t>
        <w:br/>
        <w:t>The basic stylometric score is calculated via Manhattan distance across these bounded features.</w:t>
      </w:r>
    </w:p>
    <w:p>
      <w:pPr>
        <w:pStyle w:val="Heading2"/>
      </w:pPr>
      <w:r>
        <w:rPr>
          <w:rFonts w:ascii="Calibri" w:hAnsi="Calibri"/>
          <w:color w:val="1E293B"/>
        </w:rPr>
        <w:t>Module B: TF-IDF N-Gram Modeling &amp; Explainable AI (XAI)</w:t>
      </w:r>
    </w:p>
    <w:p>
      <w:r>
        <w:t>To capture deep stylistic patterns:</w:t>
        <w:br/>
        <w:t>• Word unigram and bigram (1-word and 2-word) matrices are extracted using TF-IDF.</w:t>
        <w:br/>
        <w:t>• Function words are strictly preserved (stop_words=None) because prepositions and conjunctions represent genuine syntactic fingerprints in forensic stylometry.</w:t>
        <w:br/>
        <w:t>• Cosine similarity measures the angle between the reference vectors and the target document.</w:t>
        <w:br/>
        <w:t>• Explainable AI (XAI): Identifies the exact top shared n-grams driving the score and highlights habitual author phrases missing in the questioned text.</w:t>
      </w:r>
    </w:p>
    <w:p>
      <w:pPr>
        <w:pStyle w:val="Heading2"/>
      </w:pPr>
      <w:r>
        <w:rPr>
          <w:rFonts w:ascii="Calibri" w:hAnsi="Calibri"/>
          <w:color w:val="1E293B"/>
        </w:rPr>
        <w:t>Module C: Intra-Document Style Drift Detection</w:t>
      </w:r>
    </w:p>
    <w:p>
      <w:r>
        <w:t>To detect spliced sections or multi-author documents:</w:t>
        <w:br/>
        <w:t>• The document is segmented into distinct paragraphs.</w:t>
        <w:br/>
        <w:t>• Each paragraph is evaluated using a leave-one-out baseline comparison against all other paragraphs.</w:t>
        <w:br/>
        <w:t>• Significant deviations from the baseline trigger a High Drift warning, indicating possible external insertion or ghostwriting.</w:t>
      </w:r>
    </w:p>
    <w:p>
      <w:pPr>
        <w:pStyle w:val="Heading2"/>
      </w:pPr>
      <w:r>
        <w:rPr>
          <w:rFonts w:ascii="Calibri" w:hAnsi="Calibri"/>
          <w:color w:val="1E293B"/>
        </w:rPr>
        <w:t>Module D: Synthetic AI &amp; Burstiness Detection</w:t>
      </w:r>
    </w:p>
    <w:p>
      <w:r>
        <w:t>Combines two linguistic markers to identify machine generation:</w:t>
        <w:br/>
        <w:t>1. AI Cliché Lexicon: Scans for overused LLM transitions and buzzwords (delve, testament, tapestry, multifaceted, foster, paradigm, holistic, rapidly evolving).</w:t>
        <w:br/>
        <w:t>2. Burstiness (Sentence Variance): Humans naturally write with varying sentence lengths (high variance). AI models produce uniform, monotone sentence lengths. Low burstiness triggers a synthetic uniformity penalty.</w:t>
      </w:r>
    </w:p>
    <w:p>
      <w:pPr>
        <w:pStyle w:val="Heading1"/>
      </w:pPr>
      <w:r>
        <w:rPr>
          <w:rFonts w:ascii="Calibri" w:hAnsi="Calibri"/>
          <w:color w:val="10B981"/>
        </w:rPr>
        <w:t>4. Academic &amp; Real-World Project Usefulness</w:t>
      </w:r>
    </w:p>
    <w:p>
      <w:r>
        <w:t>Why this project is valuable for academic evaluation, research, and industry:</w:t>
        <w:br/>
        <w:t>• Academic Integrity: Enables universities and educators to verify whether a student authored their thesis or relied on ghostwriters/LLMs.</w:t>
        <w:br/>
        <w:t>• Forensic Linguistics in Law: Provides quantitative evidence in court cases regarding author identity of anonymous defamatory messages or ransom notes.</w:t>
        <w:br/>
        <w:t>• Cybersecurity Threat Attribution: Helps security analysts attribute phishing campaigns, malware readmes, and hacker manifestos to specific threat actors.</w:t>
        <w:br/>
        <w:t>• Publishing &amp; Journalism: Verifies the authenticity of investigative articles and submitted manuscripts.</w:t>
        <w:br/>
        <w:t>• Explainability Over Black-Box Models: Unlike proprietary AI detectors, this project provides transparent, mathematical justifications for every score.</w:t>
      </w:r>
    </w:p>
    <w:p>
      <w:pPr>
        <w:pStyle w:val="Heading1"/>
      </w:pPr>
      <w:r>
        <w:rPr>
          <w:rFonts w:ascii="Calibri" w:hAnsi="Calibri"/>
          <w:color w:val="10B981"/>
        </w:rPr>
        <w:t>5. Technology Stack &amp; Implementation Details</w:t>
      </w:r>
    </w:p>
    <w:p>
      <w:r>
        <w:t>• Programming Language: Python 3</w:t>
        <w:br/>
        <w:t>• Machine Learning &amp; NLP: scikit-learn (TfidfVectorizer, cosine_similarity), NumPy, Pandas</w:t>
        <w:br/>
        <w:t>• PDF Forensic Reporting: ReportLab Engine</w:t>
        <w:br/>
        <w:t>• Frontend Dashboard: Streamlit with custom CSS (Black, White &amp; Mint Light Green theme)</w:t>
        <w:br/>
        <w:t>• Cloud Deployment: Streamlit Community Cloud &amp;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