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jc w:val="center"/>
      </w:pPr>
      <w:r>
        <w:rPr>
          <w:rFonts w:ascii="Calibri" w:hAnsi="Calibri"/>
          <w:b/>
          <w:color w:val="E76F51"/>
          <w:sz w:val="22"/>
        </w:rPr>
        <w:t>CCZG506 | API-DRIVEN CLOUD NATIVE SOLUTIONS</w:t>
      </w:r>
    </w:p>
    <w:p>
      <w:pPr>
        <w:spacing w:before="280" w:after="240"/>
        <w:jc w:val="center"/>
      </w:pPr>
      <w:r>
        <w:rPr>
          <w:rFonts w:ascii="Calibri" w:hAnsi="Calibri"/>
          <w:b/>
          <w:color w:val="12372A"/>
          <w:sz w:val="54"/>
        </w:rPr>
        <w:t>API-Driven Chest X-Ray</w:t>
        <w:br/>
        <w:t>Analysis and Explanation Assistant</w:t>
      </w:r>
    </w:p>
    <w:p>
      <w:pPr>
        <w:spacing w:after="480"/>
        <w:jc w:val="center"/>
      </w:pPr>
      <w:r>
        <w:rPr>
          <w:rFonts w:ascii="Calibri" w:hAnsi="Calibri"/>
          <w:i/>
          <w:color w:val="264653"/>
          <w:sz w:val="26"/>
        </w:rPr>
        <w:t>Assignment II - Integrated Computer Vision, Grounded NLP, FastAPI, Streamlit and LLMOps</w:t>
      </w:r>
    </w:p>
    <w:tbl>
      <w:tblPr>
        <w:tblW w:type="dxa" w:w="9360"/>
        <w:tblLayout w:type="fixed"/>
        <w:tblLook w:firstColumn="1" w:firstRow="1" w:lastColumn="0" w:lastRow="0" w:noHBand="0" w:noVBand="1" w:val="04A0"/>
        <w:tblInd w:w="120" w:type="dxa"/>
      </w:tblPr>
      <w:tblGrid>
        <w:gridCol w:w="3120"/>
        <w:gridCol w:w="3120"/>
        <w:gridCol w:w="3120"/>
      </w:tblGrid>
      <w:tr>
        <w:tc>
          <w:tcPr>
            <w:tcW w:type="dxa" w:w="3120"/>
            <w:tcMar>
              <w:top w:w="90" w:type="dxa"/>
              <w:start w:w="120" w:type="dxa"/>
              <w:bottom w:w="90" w:type="dxa"/>
              <w:end w:w="120" w:type="dxa"/>
            </w:tcMar>
            <w:vAlign w:val="center"/>
            <w:shd w:fill="E8F3EF"/>
          </w:tcPr>
          <w:p>
            <w:pPr>
              <w:jc w:val="center"/>
            </w:pPr>
            <w:r>
              <w:rPr>
                <w:rFonts w:ascii="Calibri" w:hAnsi="Calibri"/>
                <w:b/>
                <w:color w:val="66737F"/>
                <w:sz w:val="17"/>
              </w:rPr>
              <w:t>DOMAIN</w:t>
              <w:br/>
            </w:r>
            <w:r>
              <w:rPr>
                <w:rFonts w:ascii="Calibri" w:hAnsi="Calibri"/>
                <w:b/>
                <w:color w:val="12372A"/>
                <w:sz w:val="20"/>
              </w:rPr>
              <w:t>Healthcare / Medical Imaging</w:t>
            </w:r>
          </w:p>
        </w:tc>
        <w:tc>
          <w:tcPr>
            <w:tcW w:type="dxa" w:w="3120"/>
            <w:tcMar>
              <w:top w:w="90" w:type="dxa"/>
              <w:start w:w="120" w:type="dxa"/>
              <w:bottom w:w="90" w:type="dxa"/>
              <w:end w:w="120" w:type="dxa"/>
            </w:tcMar>
            <w:vAlign w:val="center"/>
            <w:shd w:fill="FBE9E2"/>
          </w:tcPr>
          <w:p>
            <w:pPr>
              <w:jc w:val="center"/>
            </w:pPr>
            <w:r>
              <w:rPr>
                <w:rFonts w:ascii="Calibri" w:hAnsi="Calibri"/>
                <w:b/>
                <w:color w:val="66737F"/>
                <w:sz w:val="17"/>
              </w:rPr>
              <w:t>AI CATEGORIES</w:t>
              <w:br/>
            </w:r>
            <w:r>
              <w:rPr>
                <w:rFonts w:ascii="Calibri" w:hAnsi="Calibri"/>
                <w:b/>
                <w:color w:val="12372A"/>
                <w:sz w:val="20"/>
              </w:rPr>
              <w:t>Computer Vision + NLP</w:t>
            </w:r>
          </w:p>
        </w:tc>
        <w:tc>
          <w:tcPr>
            <w:tcW w:type="dxa" w:w="3120"/>
            <w:tcMar>
              <w:top w:w="90" w:type="dxa"/>
              <w:start w:w="120" w:type="dxa"/>
              <w:bottom w:w="90" w:type="dxa"/>
              <w:end w:w="120" w:type="dxa"/>
            </w:tcMar>
            <w:vAlign w:val="center"/>
            <w:shd w:fill="FFF7D6"/>
          </w:tcPr>
          <w:p>
            <w:pPr>
              <w:jc w:val="center"/>
            </w:pPr>
            <w:r>
              <w:rPr>
                <w:rFonts w:ascii="Calibri" w:hAnsi="Calibri"/>
                <w:b/>
                <w:color w:val="66737F"/>
                <w:sz w:val="17"/>
              </w:rPr>
              <w:t>GROUP</w:t>
              <w:br/>
            </w:r>
            <w:r>
              <w:rPr>
                <w:rFonts w:ascii="Calibri" w:hAnsi="Calibri"/>
                <w:b/>
                <w:color w:val="12372A"/>
                <w:sz w:val="20"/>
              </w:rPr>
              <w:t>Group 89</w:t>
            </w:r>
          </w:p>
        </w:tc>
      </w:tr>
    </w:tbl>
    <w:p>
      <w:pPr>
        <w:spacing w:after="48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6F1E7"/>
          </w:tcPr>
          <w:p>
            <w:pPr>
              <w:spacing w:after="0"/>
            </w:pPr>
            <w:r>
              <w:rPr>
                <w:rFonts w:ascii="Calibri" w:hAnsi="Calibri"/>
                <w:b/>
                <w:color w:val="A23B3B"/>
                <w:sz w:val="21"/>
              </w:rPr>
              <w:t xml:space="preserve">Educational-use boundary: </w:t>
            </w:r>
            <w:r>
              <w:rPr>
                <w:rFonts w:ascii="Calibri" w:hAnsi="Calibri"/>
                <w:color w:val="1F2933"/>
                <w:sz w:val="21"/>
              </w:rPr>
              <w:t>This prototype supports research and educational demonstration. It is not a diagnostic system and does not replace review by a qualified healthcare professional.</w:t>
            </w:r>
          </w:p>
        </w:tc>
      </w:tr>
    </w:tbl>
    <w:p>
      <w:pPr>
        <w:spacing w:after="20"/>
      </w:pPr>
    </w:p>
    <w:p>
      <w:pPr>
        <w:spacing w:before="600"/>
        <w:jc w:val="center"/>
      </w:pPr>
      <w:r>
        <w:rPr>
          <w:rFonts w:ascii="Calibri" w:hAnsi="Calibri"/>
          <w:b/>
          <w:color w:val="66737F"/>
          <w:sz w:val="22"/>
        </w:rPr>
        <w:t>BITS Pilani Work Integrated Learning Programmes</w:t>
      </w:r>
    </w:p>
    <w:p>
      <w:r>
        <w:br w:type="page"/>
      </w:r>
    </w:p>
    <w:p>
      <w:pPr>
        <w:pStyle w:val="Heading1"/>
        <w:pBdr>
          <w:bottom w:val="single" w:sz="10" w:space="4" w:color="E9C46A"/>
        </w:pBdr>
      </w:pPr>
      <w:r>
        <w:t>0. Group Details and Contribution</w:t>
      </w:r>
    </w:p>
    <w:p>
      <w:pPr>
        <w:keepLines w:val="0"/>
        <w:spacing w:after="160" w:line="300" w:lineRule="auto"/>
        <w:jc w:val="both"/>
      </w:pPr>
      <w:r>
        <w:rPr>
          <w:rFonts w:ascii="Calibri" w:hAnsi="Calibri"/>
          <w:i w:val="0"/>
          <w:color w:val="1F2933"/>
          <w:sz w:val="22"/>
        </w:rPr>
        <w:t>The contribution allocation is balanced across five core workstreams. Each member is assigned a distinct Assignment II responsibility while the integrated deliverable remains a collective group outcome.</w:t>
      </w:r>
    </w:p>
    <w:tbl>
      <w:tblPr>
        <w:tblStyle w:val="TableGrid"/>
        <w:tblW w:type="dxa" w:w="9360"/>
        <w:tblLayout w:type="fixed"/>
        <w:tblLook w:firstColumn="1" w:firstRow="1" w:lastColumn="0" w:lastRow="0" w:noHBand="0" w:noVBand="1" w:val="04A0"/>
        <w:tblInd w:w="120" w:type="dxa"/>
      </w:tblPr>
      <w:tblGrid>
        <w:gridCol w:w="420"/>
        <w:gridCol w:w="2150"/>
        <w:gridCol w:w="1650"/>
        <w:gridCol w:w="4340"/>
        <w:gridCol w:w="800"/>
      </w:tblGrid>
      <w:tr>
        <w:trPr>
          <w:tblHeader w:val="true"/>
        </w:trPr>
        <w:tc>
          <w:tcPr>
            <w:tcW w:type="dxa" w:w="420"/>
            <w:tcMar>
              <w:top w:w="90" w:type="dxa"/>
              <w:start w:w="120" w:type="dxa"/>
              <w:bottom w:w="90" w:type="dxa"/>
              <w:end w:w="120" w:type="dxa"/>
            </w:tcMar>
            <w:vAlign w:val="center"/>
            <w:shd w:fill="12372A"/>
          </w:tcPr>
          <w:p>
            <w:pPr>
              <w:spacing w:after="0"/>
              <w:jc w:val="center"/>
            </w:pPr>
            <w:r>
              <w:rPr>
                <w:rFonts w:ascii="Calibri" w:hAnsi="Calibri"/>
                <w:b/>
                <w:color w:val="FFFFFF"/>
                <w:sz w:val="16"/>
              </w:rPr>
              <w:t>#</w:t>
            </w:r>
          </w:p>
        </w:tc>
        <w:tc>
          <w:tcPr>
            <w:tcW w:type="dxa" w:w="2150"/>
            <w:tcMar>
              <w:top w:w="90" w:type="dxa"/>
              <w:start w:w="120" w:type="dxa"/>
              <w:bottom w:w="90" w:type="dxa"/>
              <w:end w:w="120" w:type="dxa"/>
            </w:tcMar>
            <w:vAlign w:val="center"/>
            <w:shd w:fill="12372A"/>
          </w:tcPr>
          <w:p>
            <w:pPr>
              <w:spacing w:after="0"/>
              <w:jc w:val="center"/>
            </w:pPr>
            <w:r>
              <w:rPr>
                <w:rFonts w:ascii="Calibri" w:hAnsi="Calibri"/>
                <w:b/>
                <w:color w:val="FFFFFF"/>
                <w:sz w:val="16"/>
              </w:rPr>
              <w:t>BITS ID</w:t>
            </w:r>
          </w:p>
        </w:tc>
        <w:tc>
          <w:tcPr>
            <w:tcW w:type="dxa" w:w="1650"/>
            <w:tcMar>
              <w:top w:w="90" w:type="dxa"/>
              <w:start w:w="120" w:type="dxa"/>
              <w:bottom w:w="90" w:type="dxa"/>
              <w:end w:w="120" w:type="dxa"/>
            </w:tcMar>
            <w:vAlign w:val="center"/>
            <w:shd w:fill="12372A"/>
          </w:tcPr>
          <w:p>
            <w:pPr>
              <w:spacing w:after="0"/>
              <w:jc w:val="center"/>
            </w:pPr>
            <w:r>
              <w:rPr>
                <w:rFonts w:ascii="Calibri" w:hAnsi="Calibri"/>
                <w:b/>
                <w:color w:val="FFFFFF"/>
                <w:sz w:val="16"/>
              </w:rPr>
              <w:t>Name</w:t>
            </w:r>
          </w:p>
        </w:tc>
        <w:tc>
          <w:tcPr>
            <w:tcW w:type="dxa" w:w="4340"/>
            <w:tcMar>
              <w:top w:w="90" w:type="dxa"/>
              <w:start w:w="120" w:type="dxa"/>
              <w:bottom w:w="90" w:type="dxa"/>
              <w:end w:w="120" w:type="dxa"/>
            </w:tcMar>
            <w:vAlign w:val="center"/>
            <w:shd w:fill="12372A"/>
          </w:tcPr>
          <w:p>
            <w:pPr>
              <w:spacing w:after="0"/>
              <w:jc w:val="center"/>
            </w:pPr>
            <w:r>
              <w:rPr>
                <w:rFonts w:ascii="Calibri" w:hAnsi="Calibri"/>
                <w:b/>
                <w:color w:val="FFFFFF"/>
                <w:sz w:val="16"/>
              </w:rPr>
              <w:t>Assignment II contribution</w:t>
            </w:r>
          </w:p>
        </w:tc>
        <w:tc>
          <w:tcPr>
            <w:tcW w:type="dxa" w:w="800"/>
            <w:tcMar>
              <w:top w:w="90" w:type="dxa"/>
              <w:start w:w="120" w:type="dxa"/>
              <w:bottom w:w="90" w:type="dxa"/>
              <w:end w:w="120" w:type="dxa"/>
            </w:tcMar>
            <w:vAlign w:val="center"/>
            <w:shd w:fill="12372A"/>
          </w:tcPr>
          <w:p>
            <w:pPr>
              <w:spacing w:after="0"/>
              <w:jc w:val="center"/>
            </w:pPr>
            <w:r>
              <w:rPr>
                <w:rFonts w:ascii="Calibri" w:hAnsi="Calibri"/>
                <w:b/>
                <w:color w:val="FFFFFF"/>
                <w:sz w:val="16"/>
              </w:rPr>
              <w:t>Weight</w:t>
            </w:r>
          </w:p>
        </w:tc>
      </w:tr>
      <w:tr>
        <w:tc>
          <w:tcPr>
            <w:tcW w:type="dxa" w:w="420"/>
            <w:tcMar>
              <w:top w:w="90" w:type="dxa"/>
              <w:start w:w="120" w:type="dxa"/>
              <w:bottom w:w="90" w:type="dxa"/>
              <w:end w:w="120" w:type="dxa"/>
            </w:tcMar>
            <w:vAlign w:val="center"/>
          </w:tcPr>
          <w:p>
            <w:pPr>
              <w:spacing w:after="0" w:line="252" w:lineRule="auto"/>
              <w:jc w:val="center"/>
            </w:pPr>
            <w:r>
              <w:rPr>
                <w:rFonts w:ascii="Calibri" w:hAnsi="Calibri"/>
                <w:color w:val="1F2933"/>
                <w:sz w:val="16"/>
              </w:rPr>
              <w:t>1</w:t>
            </w:r>
          </w:p>
        </w:tc>
        <w:tc>
          <w:tcPr>
            <w:tcW w:type="dxa" w:w="2150"/>
            <w:tcMar>
              <w:top w:w="90" w:type="dxa"/>
              <w:start w:w="120" w:type="dxa"/>
              <w:bottom w:w="90" w:type="dxa"/>
              <w:end w:w="120" w:type="dxa"/>
            </w:tcMar>
            <w:vAlign w:val="center"/>
          </w:tcPr>
          <w:p>
            <w:pPr>
              <w:spacing w:after="0" w:line="252" w:lineRule="auto"/>
              <w:jc w:val="left"/>
            </w:pPr>
            <w:r>
              <w:rPr>
                <w:rFonts w:ascii="Calibri" w:hAnsi="Calibri"/>
                <w:color w:val="1F2933"/>
                <w:sz w:val="16"/>
              </w:rPr>
              <w:t>2024ac05968@wilp.bits-pilani.ac.in</w:t>
            </w:r>
          </w:p>
        </w:tc>
        <w:tc>
          <w:tcPr>
            <w:tcW w:type="dxa" w:w="1650"/>
            <w:tcMar>
              <w:top w:w="90" w:type="dxa"/>
              <w:start w:w="120" w:type="dxa"/>
              <w:bottom w:w="90" w:type="dxa"/>
              <w:end w:w="120" w:type="dxa"/>
            </w:tcMar>
            <w:vAlign w:val="center"/>
          </w:tcPr>
          <w:p>
            <w:pPr>
              <w:spacing w:after="0" w:line="252" w:lineRule="auto"/>
              <w:jc w:val="left"/>
            </w:pPr>
            <w:r>
              <w:rPr>
                <w:rFonts w:ascii="Calibri" w:hAnsi="Calibri"/>
                <w:color w:val="1F2933"/>
                <w:sz w:val="16"/>
              </w:rPr>
              <w:t>ADURTI SAI VENKATESH</w:t>
            </w:r>
          </w:p>
        </w:tc>
        <w:tc>
          <w:tcPr>
            <w:tcW w:type="dxa" w:w="4340"/>
            <w:tcMar>
              <w:top w:w="90" w:type="dxa"/>
              <w:start w:w="120" w:type="dxa"/>
              <w:bottom w:w="90" w:type="dxa"/>
              <w:end w:w="120" w:type="dxa"/>
            </w:tcMar>
            <w:vAlign w:val="center"/>
          </w:tcPr>
          <w:p>
            <w:pPr>
              <w:spacing w:after="0" w:line="252" w:lineRule="auto"/>
              <w:jc w:val="left"/>
            </w:pPr>
            <w:r>
              <w:rPr>
                <w:rFonts w:ascii="Calibri" w:hAnsi="Calibri"/>
                <w:color w:val="1F2933"/>
                <w:sz w:val="16"/>
              </w:rPr>
              <w:t>ChestMNIST dataset acquisition and integrity validation, multilabel exploratory analysis, preprocessing design, class-imbalance analysis, and data-engineering evidence.</w:t>
            </w:r>
          </w:p>
        </w:tc>
        <w:tc>
          <w:tcPr>
            <w:tcW w:type="dxa" w:w="800"/>
            <w:tcMar>
              <w:top w:w="90" w:type="dxa"/>
              <w:start w:w="120" w:type="dxa"/>
              <w:bottom w:w="90" w:type="dxa"/>
              <w:end w:w="120" w:type="dxa"/>
            </w:tcMar>
            <w:vAlign w:val="center"/>
          </w:tcPr>
          <w:p>
            <w:pPr>
              <w:spacing w:after="0" w:line="252" w:lineRule="auto"/>
              <w:jc w:val="center"/>
            </w:pPr>
            <w:r>
              <w:rPr>
                <w:rFonts w:ascii="Calibri" w:hAnsi="Calibri"/>
                <w:color w:val="1F2933"/>
                <w:sz w:val="16"/>
              </w:rPr>
              <w:t>20%</w:t>
            </w:r>
          </w:p>
        </w:tc>
      </w:tr>
      <w:tr>
        <w:tc>
          <w:tcPr>
            <w:tcW w:type="dxa" w:w="42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6"/>
              </w:rPr>
              <w:t>2</w:t>
            </w:r>
          </w:p>
        </w:tc>
        <w:tc>
          <w:tcPr>
            <w:tcW w:type="dxa" w:w="2150"/>
            <w:shd w:fill="F5F7F6"/>
            <w:tcMar>
              <w:top w:w="90" w:type="dxa"/>
              <w:start w:w="120" w:type="dxa"/>
              <w:bottom w:w="90" w:type="dxa"/>
              <w:end w:w="120" w:type="dxa"/>
            </w:tcMar>
            <w:vAlign w:val="center"/>
          </w:tcPr>
          <w:p>
            <w:pPr>
              <w:spacing w:after="0" w:line="252" w:lineRule="auto"/>
              <w:jc w:val="left"/>
            </w:pPr>
            <w:r>
              <w:rPr>
                <w:rFonts w:ascii="Calibri" w:hAnsi="Calibri"/>
                <w:color w:val="1F2933"/>
                <w:sz w:val="16"/>
              </w:rPr>
              <w:t>2024ac05284@wilp.bits-pilani.ac.in</w:t>
            </w:r>
          </w:p>
        </w:tc>
        <w:tc>
          <w:tcPr>
            <w:tcW w:type="dxa" w:w="165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6"/>
              </w:rPr>
              <w:t>ANKITA TOMAR</w:t>
            </w:r>
          </w:p>
        </w:tc>
        <w:tc>
          <w:tcPr>
            <w:tcW w:type="dxa" w:w="4340"/>
            <w:shd w:fill="F5F7F6"/>
            <w:tcMar>
              <w:top w:w="90" w:type="dxa"/>
              <w:start w:w="120" w:type="dxa"/>
              <w:bottom w:w="90" w:type="dxa"/>
              <w:end w:w="120" w:type="dxa"/>
            </w:tcMar>
            <w:vAlign w:val="center"/>
          </w:tcPr>
          <w:p>
            <w:pPr>
              <w:spacing w:after="0" w:line="252" w:lineRule="auto"/>
              <w:jc w:val="left"/>
            </w:pPr>
            <w:r>
              <w:rPr>
                <w:rFonts w:ascii="Calibri" w:hAnsi="Calibri"/>
                <w:color w:val="1F2933"/>
                <w:sz w:val="16"/>
              </w:rPr>
              <w:t>ResNet-18 multilabel model development, training-strategy review, checkpoint analysis, finding-specific threshold calibration, and model-development evidence.</w:t>
            </w:r>
          </w:p>
        </w:tc>
        <w:tc>
          <w:tcPr>
            <w:tcW w:type="dxa" w:w="8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6"/>
              </w:rPr>
              <w:t>20%</w:t>
            </w:r>
          </w:p>
        </w:tc>
      </w:tr>
      <w:tr>
        <w:tc>
          <w:tcPr>
            <w:tcW w:type="dxa" w:w="420"/>
            <w:tcMar>
              <w:top w:w="90" w:type="dxa"/>
              <w:start w:w="120" w:type="dxa"/>
              <w:bottom w:w="90" w:type="dxa"/>
              <w:end w:w="120" w:type="dxa"/>
            </w:tcMar>
            <w:vAlign w:val="center"/>
          </w:tcPr>
          <w:p>
            <w:pPr>
              <w:spacing w:after="0" w:line="252" w:lineRule="auto"/>
              <w:jc w:val="center"/>
            </w:pPr>
            <w:r>
              <w:rPr>
                <w:rFonts w:ascii="Calibri" w:hAnsi="Calibri"/>
                <w:color w:val="1F2933"/>
                <w:sz w:val="16"/>
              </w:rPr>
              <w:t>3</w:t>
            </w:r>
          </w:p>
        </w:tc>
        <w:tc>
          <w:tcPr>
            <w:tcW w:type="dxa" w:w="2150"/>
            <w:tcMar>
              <w:top w:w="90" w:type="dxa"/>
              <w:start w:w="120" w:type="dxa"/>
              <w:bottom w:w="90" w:type="dxa"/>
              <w:end w:w="120" w:type="dxa"/>
            </w:tcMar>
            <w:vAlign w:val="center"/>
          </w:tcPr>
          <w:p>
            <w:pPr>
              <w:spacing w:after="0" w:line="252" w:lineRule="auto"/>
              <w:jc w:val="left"/>
            </w:pPr>
            <w:r>
              <w:rPr>
                <w:rFonts w:ascii="Calibri" w:hAnsi="Calibri"/>
                <w:color w:val="1F2933"/>
                <w:sz w:val="16"/>
              </w:rPr>
              <w:t>2024ac05653@wilp.bits-pilani.ac.in</w:t>
            </w:r>
          </w:p>
        </w:tc>
        <w:tc>
          <w:tcPr>
            <w:tcW w:type="dxa" w:w="1650"/>
            <w:tcMar>
              <w:top w:w="90" w:type="dxa"/>
              <w:start w:w="120" w:type="dxa"/>
              <w:bottom w:w="90" w:type="dxa"/>
              <w:end w:w="120" w:type="dxa"/>
            </w:tcMar>
            <w:vAlign w:val="center"/>
          </w:tcPr>
          <w:p>
            <w:pPr>
              <w:spacing w:after="0" w:line="252" w:lineRule="auto"/>
              <w:jc w:val="left"/>
            </w:pPr>
            <w:r>
              <w:rPr>
                <w:rFonts w:ascii="Calibri" w:hAnsi="Calibri"/>
                <w:color w:val="1F2933"/>
                <w:sz w:val="16"/>
              </w:rPr>
              <w:t>D MALLIKARJUNA REDDY</w:t>
            </w:r>
          </w:p>
        </w:tc>
        <w:tc>
          <w:tcPr>
            <w:tcW w:type="dxa" w:w="4340"/>
            <w:tcMar>
              <w:top w:w="90" w:type="dxa"/>
              <w:start w:w="120" w:type="dxa"/>
              <w:bottom w:w="90" w:type="dxa"/>
              <w:end w:w="120" w:type="dxa"/>
            </w:tcMar>
            <w:vAlign w:val="center"/>
          </w:tcPr>
          <w:p>
            <w:pPr>
              <w:spacing w:after="0" w:line="252" w:lineRule="auto"/>
              <w:jc w:val="left"/>
            </w:pPr>
            <w:r>
              <w:rPr>
                <w:rFonts w:ascii="Calibri" w:hAnsi="Calibri"/>
                <w:color w:val="1F2933"/>
                <w:sz w:val="16"/>
              </w:rPr>
              <w:t>FastAPI contract and service integration, Streamlit HTTP-client workflow, end-to-end interface orchestration, packaging coordination, and deployment validation.</w:t>
            </w:r>
          </w:p>
        </w:tc>
        <w:tc>
          <w:tcPr>
            <w:tcW w:type="dxa" w:w="800"/>
            <w:tcMar>
              <w:top w:w="90" w:type="dxa"/>
              <w:start w:w="120" w:type="dxa"/>
              <w:bottom w:w="90" w:type="dxa"/>
              <w:end w:w="120" w:type="dxa"/>
            </w:tcMar>
            <w:vAlign w:val="center"/>
          </w:tcPr>
          <w:p>
            <w:pPr>
              <w:spacing w:after="0" w:line="252" w:lineRule="auto"/>
              <w:jc w:val="center"/>
            </w:pPr>
            <w:r>
              <w:rPr>
                <w:rFonts w:ascii="Calibri" w:hAnsi="Calibri"/>
                <w:color w:val="1F2933"/>
                <w:sz w:val="16"/>
              </w:rPr>
              <w:t>20%</w:t>
            </w:r>
          </w:p>
        </w:tc>
      </w:tr>
      <w:tr>
        <w:tc>
          <w:tcPr>
            <w:tcW w:type="dxa" w:w="42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6"/>
              </w:rPr>
              <w:t>4</w:t>
            </w:r>
          </w:p>
        </w:tc>
        <w:tc>
          <w:tcPr>
            <w:tcW w:type="dxa" w:w="2150"/>
            <w:shd w:fill="F5F7F6"/>
            <w:tcMar>
              <w:top w:w="90" w:type="dxa"/>
              <w:start w:w="120" w:type="dxa"/>
              <w:bottom w:w="90" w:type="dxa"/>
              <w:end w:w="120" w:type="dxa"/>
            </w:tcMar>
            <w:vAlign w:val="center"/>
          </w:tcPr>
          <w:p>
            <w:pPr>
              <w:spacing w:after="0" w:line="252" w:lineRule="auto"/>
              <w:jc w:val="left"/>
            </w:pPr>
            <w:r>
              <w:rPr>
                <w:rFonts w:ascii="Calibri" w:hAnsi="Calibri"/>
                <w:color w:val="1F2933"/>
                <w:sz w:val="16"/>
              </w:rPr>
              <w:t>2024ad05005@wilp.bits-pilani.ac.in</w:t>
            </w:r>
          </w:p>
        </w:tc>
        <w:tc>
          <w:tcPr>
            <w:tcW w:type="dxa" w:w="1650"/>
            <w:shd w:fill="F5F7F6"/>
            <w:tcMar>
              <w:top w:w="90" w:type="dxa"/>
              <w:start w:w="120" w:type="dxa"/>
              <w:bottom w:w="90" w:type="dxa"/>
              <w:end w:w="120" w:type="dxa"/>
            </w:tcMar>
            <w:vAlign w:val="center"/>
          </w:tcPr>
          <w:p>
            <w:pPr>
              <w:spacing w:after="0" w:line="252" w:lineRule="auto"/>
              <w:jc w:val="left"/>
            </w:pPr>
            <w:r>
              <w:rPr>
                <w:rFonts w:ascii="Calibri" w:hAnsi="Calibri"/>
                <w:color w:val="1F2933"/>
                <w:sz w:val="16"/>
              </w:rPr>
              <w:t>KSHIRSAGAR RUTUJA VILAS</w:t>
            </w:r>
          </w:p>
        </w:tc>
        <w:tc>
          <w:tcPr>
            <w:tcW w:type="dxa" w:w="4340"/>
            <w:shd w:fill="F5F7F6"/>
            <w:tcMar>
              <w:top w:w="90" w:type="dxa"/>
              <w:start w:w="120" w:type="dxa"/>
              <w:bottom w:w="90" w:type="dxa"/>
              <w:end w:w="120" w:type="dxa"/>
            </w:tcMar>
            <w:vAlign w:val="center"/>
          </w:tcPr>
          <w:p>
            <w:pPr>
              <w:spacing w:after="0" w:line="252" w:lineRule="auto"/>
              <w:jc w:val="left"/>
            </w:pPr>
            <w:r>
              <w:rPr>
                <w:rFonts w:ascii="Calibri" w:hAnsi="Calibri"/>
                <w:color w:val="1F2933"/>
                <w:sz w:val="16"/>
              </w:rPr>
              <w:t>Isolated test evaluation, multilabel error analysis, Grad-CAM explainability validation, representative evidence review, and interpretation of model limitations.</w:t>
            </w:r>
          </w:p>
        </w:tc>
        <w:tc>
          <w:tcPr>
            <w:tcW w:type="dxa" w:w="8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6"/>
              </w:rPr>
              <w:t>20%</w:t>
            </w:r>
          </w:p>
        </w:tc>
      </w:tr>
      <w:tr>
        <w:tc>
          <w:tcPr>
            <w:tcW w:type="dxa" w:w="420"/>
            <w:tcMar>
              <w:top w:w="90" w:type="dxa"/>
              <w:start w:w="120" w:type="dxa"/>
              <w:bottom w:w="90" w:type="dxa"/>
              <w:end w:w="120" w:type="dxa"/>
            </w:tcMar>
            <w:vAlign w:val="center"/>
          </w:tcPr>
          <w:p>
            <w:pPr>
              <w:spacing w:after="0" w:line="252" w:lineRule="auto"/>
              <w:jc w:val="center"/>
            </w:pPr>
            <w:r>
              <w:rPr>
                <w:rFonts w:ascii="Calibri" w:hAnsi="Calibri"/>
                <w:color w:val="1F2933"/>
                <w:sz w:val="16"/>
              </w:rPr>
              <w:t>5</w:t>
            </w:r>
          </w:p>
        </w:tc>
        <w:tc>
          <w:tcPr>
            <w:tcW w:type="dxa" w:w="2150"/>
            <w:tcMar>
              <w:top w:w="90" w:type="dxa"/>
              <w:start w:w="120" w:type="dxa"/>
              <w:bottom w:w="90" w:type="dxa"/>
              <w:end w:w="120" w:type="dxa"/>
            </w:tcMar>
            <w:vAlign w:val="center"/>
          </w:tcPr>
          <w:p>
            <w:pPr>
              <w:spacing w:after="0" w:line="252" w:lineRule="auto"/>
              <w:jc w:val="left"/>
            </w:pPr>
            <w:r>
              <w:rPr>
                <w:rFonts w:ascii="Calibri" w:hAnsi="Calibri"/>
                <w:color w:val="1F2933"/>
                <w:sz w:val="16"/>
              </w:rPr>
              <w:t>2024aa05099@wilp.bits-pilani.ac.in</w:t>
            </w:r>
          </w:p>
        </w:tc>
        <w:tc>
          <w:tcPr>
            <w:tcW w:type="dxa" w:w="1650"/>
            <w:tcMar>
              <w:top w:w="90" w:type="dxa"/>
              <w:start w:w="120" w:type="dxa"/>
              <w:bottom w:w="90" w:type="dxa"/>
              <w:end w:w="120" w:type="dxa"/>
            </w:tcMar>
            <w:vAlign w:val="center"/>
          </w:tcPr>
          <w:p>
            <w:pPr>
              <w:spacing w:after="0" w:line="252" w:lineRule="auto"/>
              <w:jc w:val="left"/>
            </w:pPr>
            <w:r>
              <w:rPr>
                <w:rFonts w:ascii="Calibri" w:hAnsi="Calibri"/>
                <w:color w:val="1F2933"/>
                <w:sz w:val="16"/>
              </w:rPr>
              <w:t>MISHRA SUDHAKAR RAMNAWAL LALIT</w:t>
            </w:r>
          </w:p>
        </w:tc>
        <w:tc>
          <w:tcPr>
            <w:tcW w:type="dxa" w:w="4340"/>
            <w:tcMar>
              <w:top w:w="90" w:type="dxa"/>
              <w:start w:w="120" w:type="dxa"/>
              <w:bottom w:w="90" w:type="dxa"/>
              <w:end w:w="120" w:type="dxa"/>
            </w:tcMar>
            <w:vAlign w:val="center"/>
          </w:tcPr>
          <w:p>
            <w:pPr>
              <w:spacing w:after="0" w:line="252" w:lineRule="auto"/>
              <w:jc w:val="left"/>
            </w:pPr>
            <w:r>
              <w:rPr>
                <w:rFonts w:ascii="Calibri" w:hAnsi="Calibri"/>
                <w:color w:val="1F2933"/>
                <w:sz w:val="16"/>
              </w:rPr>
              <w:t>Grounded-language task design, prompt and guardrail review, language evaluation, LLMOps and MLflow evidence, documentation checks, and demonstration support.</w:t>
            </w:r>
          </w:p>
        </w:tc>
        <w:tc>
          <w:tcPr>
            <w:tcW w:type="dxa" w:w="800"/>
            <w:tcMar>
              <w:top w:w="90" w:type="dxa"/>
              <w:start w:w="120" w:type="dxa"/>
              <w:bottom w:w="90" w:type="dxa"/>
              <w:end w:w="120" w:type="dxa"/>
            </w:tcMar>
            <w:vAlign w:val="center"/>
          </w:tcPr>
          <w:p>
            <w:pPr>
              <w:spacing w:after="0" w:line="252" w:lineRule="auto"/>
              <w:jc w:val="center"/>
            </w:pPr>
            <w:r>
              <w:rPr>
                <w:rFonts w:ascii="Calibri" w:hAnsi="Calibri"/>
                <w:color w:val="1F2933"/>
                <w:sz w:val="16"/>
              </w:rPr>
              <w:t>20%</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F3EF"/>
          </w:tcPr>
          <w:p>
            <w:pPr>
              <w:spacing w:after="0"/>
            </w:pPr>
            <w:r>
              <w:rPr>
                <w:rFonts w:ascii="Calibri" w:hAnsi="Calibri"/>
                <w:b/>
                <w:color w:val="12372A"/>
                <w:sz w:val="21"/>
              </w:rPr>
              <w:t xml:space="preserve">Contribution total: </w:t>
            </w:r>
            <w:r>
              <w:rPr>
                <w:rFonts w:ascii="Calibri" w:hAnsi="Calibri"/>
                <w:color w:val="1F2933"/>
                <w:sz w:val="21"/>
              </w:rPr>
              <w:t>5 members x 20% = 100% of the Assignment II work allocation.</w:t>
            </w:r>
          </w:p>
        </w:tc>
      </w:tr>
    </w:tbl>
    <w:p>
      <w:pPr>
        <w:spacing w:after="20"/>
      </w:pPr>
    </w:p>
    <w:p>
      <w:r>
        <w:br w:type="page"/>
      </w:r>
    </w:p>
    <w:p>
      <w:pPr>
        <w:pStyle w:val="Heading1"/>
        <w:pBdr>
          <w:bottom w:val="single" w:sz="10" w:space="4" w:color="E9C46A"/>
        </w:pBdr>
      </w:pPr>
      <w:r>
        <w:t>Table of Contents</w:t>
      </w:r>
    </w:p>
    <w:p>
      <w:pPr>
        <w:pStyle w:val="ListNumber"/>
        <w:spacing w:after="60"/>
      </w:pPr>
      <w:r>
        <w:rPr>
          <w:rFonts w:ascii="Calibri" w:hAnsi="Calibri"/>
          <w:color w:val="264653"/>
          <w:sz w:val="21"/>
        </w:rPr>
        <w:t>1. Executive Summary</w:t>
      </w:r>
    </w:p>
    <w:p>
      <w:pPr>
        <w:pStyle w:val="ListNumber"/>
        <w:spacing w:after="60"/>
      </w:pPr>
      <w:r>
        <w:rPr>
          <w:rFonts w:ascii="Calibri" w:hAnsi="Calibri"/>
          <w:color w:val="264653"/>
          <w:sz w:val="21"/>
        </w:rPr>
        <w:t>2. Assignment Alignment and Unified Objective</w:t>
      </w:r>
    </w:p>
    <w:p>
      <w:pPr>
        <w:pStyle w:val="ListNumber"/>
        <w:spacing w:after="60"/>
      </w:pPr>
      <w:r>
        <w:rPr>
          <w:rFonts w:ascii="Calibri" w:hAnsi="Calibri"/>
          <w:color w:val="264653"/>
          <w:sz w:val="21"/>
        </w:rPr>
        <w:t>3. Architecture and End-to-End Workflow</w:t>
      </w:r>
    </w:p>
    <w:p>
      <w:pPr>
        <w:pStyle w:val="ListNumber"/>
        <w:spacing w:after="60"/>
      </w:pPr>
      <w:r>
        <w:rPr>
          <w:rFonts w:ascii="Calibri" w:hAnsi="Calibri"/>
          <w:color w:val="264653"/>
          <w:sz w:val="21"/>
        </w:rPr>
        <w:t>4. Development Method and Notebook Traceability</w:t>
      </w:r>
    </w:p>
    <w:p>
      <w:pPr>
        <w:pStyle w:val="ListNumber"/>
        <w:spacing w:after="60"/>
      </w:pPr>
      <w:r>
        <w:rPr>
          <w:rFonts w:ascii="Calibri" w:hAnsi="Calibri"/>
          <w:color w:val="264653"/>
          <w:sz w:val="21"/>
        </w:rPr>
        <w:t>5. Platform Readiness and Reproducibility</w:t>
      </w:r>
    </w:p>
    <w:p>
      <w:pPr>
        <w:pStyle w:val="ListNumber"/>
        <w:spacing w:after="60"/>
      </w:pPr>
      <w:r>
        <w:rPr>
          <w:rFonts w:ascii="Calibri" w:hAnsi="Calibri"/>
          <w:color w:val="264653"/>
          <w:sz w:val="21"/>
        </w:rPr>
        <w:t>6. Dataset Engineering and Exploratory Analysis</w:t>
      </w:r>
    </w:p>
    <w:p>
      <w:pPr>
        <w:pStyle w:val="ListNumber"/>
        <w:spacing w:after="60"/>
      </w:pPr>
      <w:r>
        <w:rPr>
          <w:rFonts w:ascii="Calibri" w:hAnsi="Calibri"/>
          <w:color w:val="264653"/>
          <w:sz w:val="21"/>
        </w:rPr>
        <w:t>7. Computer-Vision Model Development</w:t>
      </w:r>
    </w:p>
    <w:p>
      <w:pPr>
        <w:pStyle w:val="ListNumber"/>
        <w:spacing w:after="60"/>
      </w:pPr>
      <w:r>
        <w:rPr>
          <w:rFonts w:ascii="Calibri" w:hAnsi="Calibri"/>
          <w:color w:val="264653"/>
          <w:sz w:val="21"/>
        </w:rPr>
        <w:t>8. Isolated Test Evaluation and Error Analysis</w:t>
      </w:r>
    </w:p>
    <w:p>
      <w:pPr>
        <w:pStyle w:val="ListNumber"/>
        <w:spacing w:after="60"/>
      </w:pPr>
      <w:r>
        <w:rPr>
          <w:rFonts w:ascii="Calibri" w:hAnsi="Calibri"/>
          <w:color w:val="264653"/>
          <w:sz w:val="21"/>
        </w:rPr>
        <w:t>9. Visual Explainability with Grad-CAM</w:t>
      </w:r>
    </w:p>
    <w:p>
      <w:pPr>
        <w:pStyle w:val="ListNumber"/>
        <w:spacing w:after="60"/>
      </w:pPr>
      <w:r>
        <w:rPr>
          <w:rFonts w:ascii="Calibri" w:hAnsi="Calibri"/>
          <w:color w:val="264653"/>
          <w:sz w:val="21"/>
        </w:rPr>
        <w:t>10. Grounded Language Model and Guardrails</w:t>
      </w:r>
    </w:p>
    <w:p>
      <w:pPr>
        <w:pStyle w:val="ListNumber"/>
        <w:spacing w:after="60"/>
      </w:pPr>
      <w:r>
        <w:rPr>
          <w:rFonts w:ascii="Calibri" w:hAnsi="Calibri"/>
          <w:color w:val="264653"/>
          <w:sz w:val="21"/>
        </w:rPr>
        <w:t>11. FastAPI Service and OpenAPI Contract</w:t>
      </w:r>
    </w:p>
    <w:p>
      <w:pPr>
        <w:pStyle w:val="ListNumber"/>
        <w:spacing w:after="60"/>
      </w:pPr>
      <w:r>
        <w:rPr>
          <w:rFonts w:ascii="Calibri" w:hAnsi="Calibri"/>
          <w:color w:val="264653"/>
          <w:sz w:val="21"/>
        </w:rPr>
        <w:t>12. Streamlit Interface and Live Demonstration</w:t>
      </w:r>
    </w:p>
    <w:p>
      <w:pPr>
        <w:pStyle w:val="ListNumber"/>
        <w:spacing w:after="60"/>
      </w:pPr>
      <w:r>
        <w:rPr>
          <w:rFonts w:ascii="Calibri" w:hAnsi="Calibri"/>
          <w:color w:val="264653"/>
          <w:sz w:val="21"/>
        </w:rPr>
        <w:t>13. LLMOps, Testing and Operational Evidence</w:t>
      </w:r>
    </w:p>
    <w:p>
      <w:pPr>
        <w:pStyle w:val="ListNumber"/>
        <w:spacing w:after="60"/>
      </w:pPr>
      <w:r>
        <w:rPr>
          <w:rFonts w:ascii="Calibri" w:hAnsi="Calibri"/>
          <w:color w:val="264653"/>
          <w:sz w:val="21"/>
        </w:rPr>
        <w:t>14. Packaging and Deployment</w:t>
      </w:r>
    </w:p>
    <w:p>
      <w:pPr>
        <w:pStyle w:val="ListNumber"/>
        <w:spacing w:after="60"/>
      </w:pPr>
      <w:r>
        <w:rPr>
          <w:rFonts w:ascii="Calibri" w:hAnsi="Calibri"/>
          <w:color w:val="264653"/>
          <w:sz w:val="21"/>
        </w:rPr>
        <w:t>15. Safety, Limitations and Responsible Use</w:t>
      </w:r>
    </w:p>
    <w:p>
      <w:pPr>
        <w:pStyle w:val="ListNumber"/>
        <w:spacing w:after="60"/>
      </w:pPr>
      <w:r>
        <w:rPr>
          <w:rFonts w:ascii="Calibri" w:hAnsi="Calibri"/>
          <w:color w:val="264653"/>
          <w:sz w:val="21"/>
        </w:rPr>
        <w:t>16. Assignment Compliance Matrix</w:t>
      </w:r>
    </w:p>
    <w:p>
      <w:pPr>
        <w:pStyle w:val="ListNumber"/>
        <w:spacing w:after="60"/>
      </w:pPr>
      <w:r>
        <w:rPr>
          <w:rFonts w:ascii="Calibri" w:hAnsi="Calibri"/>
          <w:color w:val="264653"/>
          <w:sz w:val="21"/>
        </w:rPr>
        <w:t>17. Conclusions and Future Work</w:t>
      </w:r>
    </w:p>
    <w:p>
      <w:pPr>
        <w:pStyle w:val="ListBullet"/>
        <w:spacing w:after="60"/>
      </w:pPr>
      <w:r>
        <w:rPr>
          <w:rFonts w:ascii="Calibri" w:hAnsi="Calibri"/>
          <w:color w:val="264653"/>
          <w:sz w:val="21"/>
        </w:rPr>
        <w:t>Appendix A. Endpoint Catalogue</w:t>
      </w:r>
    </w:p>
    <w:p>
      <w:pPr>
        <w:pStyle w:val="ListBullet"/>
        <w:spacing w:after="60"/>
      </w:pPr>
      <w:r>
        <w:rPr>
          <w:rFonts w:ascii="Calibri" w:hAnsi="Calibri"/>
          <w:color w:val="264653"/>
          <w:sz w:val="21"/>
        </w:rPr>
        <w:t>Appendix B. Notebook and Artifact Traceability</w:t>
      </w:r>
    </w:p>
    <w:p>
      <w:pPr>
        <w:pStyle w:val="ListBullet"/>
        <w:spacing w:after="60"/>
      </w:pPr>
      <w:r>
        <w:rPr>
          <w:rFonts w:ascii="Calibri" w:hAnsi="Calibri"/>
          <w:color w:val="264653"/>
          <w:sz w:val="21"/>
        </w:rPr>
        <w:t>References</w:t>
      </w:r>
    </w:p>
    <w:p>
      <w:r>
        <w:br w:type="page"/>
      </w:r>
    </w:p>
    <w:p>
      <w:pPr>
        <w:pStyle w:val="Heading1"/>
        <w:pBdr>
          <w:bottom w:val="single" w:sz="10" w:space="4" w:color="E9C46A"/>
        </w:pBdr>
      </w:pPr>
      <w:r>
        <w:t>1. Executive Summary</w:t>
      </w:r>
    </w:p>
    <w:p>
      <w:pPr>
        <w:keepLines w:val="0"/>
        <w:spacing w:after="160" w:line="300" w:lineRule="auto"/>
        <w:jc w:val="both"/>
      </w:pPr>
      <w:r>
        <w:rPr>
          <w:rFonts w:ascii="Calibri" w:hAnsi="Calibri"/>
          <w:i w:val="0"/>
          <w:color w:val="1F2933"/>
          <w:sz w:val="22"/>
        </w:rPr>
        <w:t>This project designs and implements an interactive, API-driven educational assistant for chest X-ray analysis. It combines a fine-tuned multilabel computer-vision model, finding-specific Grad-CAM attribution, a fine-tuned grounded language model, deterministic safety guardrails, a versioned FastAPI service, and a Streamlit demonstration interface. The unifying principle is that every language response must be derived from structured computer-vision evidence rather than independent image interpretation.</w:t>
      </w:r>
    </w:p>
    <w:p>
      <w:pPr>
        <w:keepLines w:val="0"/>
        <w:spacing w:after="160" w:line="300" w:lineRule="auto"/>
        <w:jc w:val="both"/>
      </w:pPr>
      <w:r>
        <w:rPr>
          <w:rFonts w:ascii="Calibri" w:hAnsi="Calibri"/>
          <w:i w:val="0"/>
          <w:color w:val="1F2933"/>
          <w:sz w:val="22"/>
        </w:rPr>
        <w:t>The computer-vision component fine-tunes ImageNet-pretrained ResNet-18 on ChestMNIST at 224 x 224 resolution. It produces fourteen independent probabilities and applies frozen, finding-specific thresholds selected on validation data. The isolated test set contains 22,433 images. Final test performance includes macro ROC-AUC 0.8175, micro ROC-AUC 0.8226, macro F1 0.2816, micro F1 0.3391 and Hamming loss 0.0988.</w:t>
      </w:r>
    </w:p>
    <w:p>
      <w:pPr>
        <w:keepLines w:val="0"/>
        <w:spacing w:after="160" w:line="300" w:lineRule="auto"/>
        <w:jc w:val="both"/>
      </w:pPr>
      <w:r>
        <w:rPr>
          <w:rFonts w:ascii="Calibri" w:hAnsi="Calibri"/>
          <w:i w:val="0"/>
          <w:color w:val="1F2933"/>
          <w:sz w:val="22"/>
        </w:rPr>
        <w:t>The natural-language component performs full sequence-to-sequence fine-tuning of FLAN-T5-small on 4,800 grounded records spanning structured reports, plain-language explanations, question answering and educational follow-up. Held-out evaluation on 600 records produced ROUGE-L F1 0.8489 and smoothed BLEU-4 0.7393. A deterministic guardrail processed all generations and achieved complete post-guardrail contract compliance, including a zero unsupported-finding rate.</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F3EF"/>
          </w:tcPr>
          <w:p>
            <w:pPr>
              <w:spacing w:after="0"/>
            </w:pPr>
            <w:r>
              <w:rPr>
                <w:rFonts w:ascii="Calibri" w:hAnsi="Calibri"/>
                <w:b/>
                <w:color w:val="12372A"/>
                <w:sz w:val="21"/>
              </w:rPr>
              <w:t xml:space="preserve">Result: </w:t>
            </w:r>
            <w:r>
              <w:rPr>
                <w:rFonts w:ascii="Calibri" w:hAnsi="Calibri"/>
                <w:color w:val="1F2933"/>
                <w:sz w:val="21"/>
              </w:rPr>
              <w:t>The final readiness gate passed all 20 checks, with 49 checksum-registered artifacts, 23 passing API tests, 5 passing HTTP-client tests, 5 passing UI state tests, and an operational live workflow.</w:t>
            </w:r>
          </w:p>
        </w:tc>
      </w:tr>
    </w:tbl>
    <w:p>
      <w:pPr>
        <w:spacing w:after="20"/>
      </w:pPr>
    </w:p>
    <w:p>
      <w:pPr>
        <w:keepNext/>
        <w:spacing w:after="0"/>
        <w:jc w:val="center"/>
      </w:pPr>
      <w:r>
        <w:drawing>
          <wp:inline xmlns:a="http://schemas.openxmlformats.org/drawingml/2006/main" xmlns:pic="http://schemas.openxmlformats.org/drawingml/2006/picture">
            <wp:extent cx="5715000" cy="3191141"/>
            <wp:docPr id="1" name="Picture 1" title="Report figure: The six cohesive AI subtasks and their shared evidence flow." descr="The six cohesive AI subtasks and their shared evidence flow."/>
            <wp:cNvGraphicFramePr>
              <a:graphicFrameLocks noChangeAspect="1"/>
            </wp:cNvGraphicFramePr>
            <a:graphic>
              <a:graphicData uri="http://schemas.openxmlformats.org/drawingml/2006/picture">
                <pic:pic>
                  <pic:nvPicPr>
                    <pic:cNvPr id="0" name="task_flow.png"/>
                    <pic:cNvPicPr/>
                  </pic:nvPicPr>
                  <pic:blipFill>
                    <a:blip r:embed="rId11"/>
                    <a:stretch>
                      <a:fillRect/>
                    </a:stretch>
                  </pic:blipFill>
                  <pic:spPr>
                    <a:xfrm>
                      <a:off x="0" y="0"/>
                      <a:ext cx="5715000" cy="3191141"/>
                    </a:xfrm>
                    <a:prstGeom prst="rect"/>
                  </pic:spPr>
                </pic:pic>
              </a:graphicData>
            </a:graphic>
          </wp:inline>
        </w:drawing>
      </w:r>
    </w:p>
    <w:p>
      <w:pPr>
        <w:pStyle w:val="Caption"/>
        <w:jc w:val="center"/>
      </w:pPr>
      <w:r>
        <w:rPr>
          <w:rFonts w:ascii="Calibri" w:hAnsi="Calibri"/>
          <w:i/>
          <w:color w:val="66737F"/>
          <w:sz w:val="18"/>
        </w:rPr>
        <w:t>Figure 1. The six cohesive AI subtasks and their shared evidence flow. Source: Project design synthesized from Notebooks 2-8.</w:t>
      </w:r>
    </w:p>
    <w:p>
      <w:pPr>
        <w:pStyle w:val="Heading1"/>
        <w:pBdr>
          <w:bottom w:val="single" w:sz="10" w:space="4" w:color="E9C46A"/>
        </w:pBdr>
      </w:pPr>
      <w:r>
        <w:t>2. Assignment Alignment and Unified Objective</w:t>
      </w:r>
    </w:p>
    <w:p>
      <w:pPr>
        <w:keepLines w:val="0"/>
        <w:spacing w:after="160" w:line="300" w:lineRule="auto"/>
        <w:jc w:val="both"/>
      </w:pPr>
      <w:r>
        <w:rPr>
          <w:rFonts w:ascii="Calibri" w:hAnsi="Calibri"/>
          <w:i w:val="0"/>
          <w:color w:val="1F2933"/>
          <w:sz w:val="22"/>
        </w:rPr>
        <w:t>The selected domain is healthcare and medical imaging. The chosen AI categories are Computer Vision and Natural Language Processing. Six cohesive subtasks are delivered, exceeding the minimum requirement of five. They are integrated through a single evidence contract and exposed as an interactive API-based application.</w:t>
      </w:r>
    </w:p>
    <w:tbl>
      <w:tblPr>
        <w:tblStyle w:val="TableGrid"/>
        <w:tblW w:type="dxa" w:w="9360"/>
        <w:tblLayout w:type="fixed"/>
        <w:tblLook w:firstColumn="1" w:firstRow="1" w:lastColumn="0" w:lastRow="0" w:noHBand="0" w:noVBand="1" w:val="04A0"/>
        <w:tblInd w:w="120" w:type="dxa"/>
      </w:tblPr>
      <w:tblGrid>
        <w:gridCol w:w="1500"/>
        <w:gridCol w:w="2300"/>
        <w:gridCol w:w="1900"/>
        <w:gridCol w:w="3660"/>
      </w:tblGrid>
      <w:tr>
        <w:trPr>
          <w:tblHeader w:val="true"/>
        </w:trPr>
        <w:tc>
          <w:tcPr>
            <w:tcW w:type="dxa" w:w="1500"/>
            <w:tcMar>
              <w:top w:w="90" w:type="dxa"/>
              <w:start w:w="120" w:type="dxa"/>
              <w:bottom w:w="90" w:type="dxa"/>
              <w:end w:w="120" w:type="dxa"/>
            </w:tcMar>
            <w:vAlign w:val="center"/>
            <w:shd w:fill="12372A"/>
          </w:tcPr>
          <w:p>
            <w:pPr>
              <w:spacing w:after="0"/>
              <w:jc w:val="center"/>
            </w:pPr>
            <w:r>
              <w:rPr>
                <w:rFonts w:ascii="Calibri" w:hAnsi="Calibri"/>
                <w:b/>
                <w:color w:val="FFFFFF"/>
                <w:sz w:val="17"/>
              </w:rPr>
              <w:t>Category</w:t>
            </w:r>
          </w:p>
        </w:tc>
        <w:tc>
          <w:tcPr>
            <w:tcW w:type="dxa" w:w="2300"/>
            <w:tcMar>
              <w:top w:w="90" w:type="dxa"/>
              <w:start w:w="120" w:type="dxa"/>
              <w:bottom w:w="90" w:type="dxa"/>
              <w:end w:w="120" w:type="dxa"/>
            </w:tcMar>
            <w:vAlign w:val="center"/>
            <w:shd w:fill="12372A"/>
          </w:tcPr>
          <w:p>
            <w:pPr>
              <w:spacing w:after="0"/>
              <w:jc w:val="center"/>
            </w:pPr>
            <w:r>
              <w:rPr>
                <w:rFonts w:ascii="Calibri" w:hAnsi="Calibri"/>
                <w:b/>
                <w:color w:val="FFFFFF"/>
                <w:sz w:val="17"/>
              </w:rPr>
              <w:t>Subtask</w:t>
            </w:r>
          </w:p>
        </w:tc>
        <w:tc>
          <w:tcPr>
            <w:tcW w:type="dxa" w:w="1900"/>
            <w:tcMar>
              <w:top w:w="90" w:type="dxa"/>
              <w:start w:w="120" w:type="dxa"/>
              <w:bottom w:w="90" w:type="dxa"/>
              <w:end w:w="120" w:type="dxa"/>
            </w:tcMar>
            <w:vAlign w:val="center"/>
            <w:shd w:fill="12372A"/>
          </w:tcPr>
          <w:p>
            <w:pPr>
              <w:spacing w:after="0"/>
              <w:jc w:val="center"/>
            </w:pPr>
            <w:r>
              <w:rPr>
                <w:rFonts w:ascii="Calibri" w:hAnsi="Calibri"/>
                <w:b/>
                <w:color w:val="FFFFFF"/>
                <w:sz w:val="17"/>
              </w:rPr>
              <w:t>Model/service</w:t>
            </w:r>
          </w:p>
        </w:tc>
        <w:tc>
          <w:tcPr>
            <w:tcW w:type="dxa" w:w="3660"/>
            <w:tcMar>
              <w:top w:w="90" w:type="dxa"/>
              <w:start w:w="120" w:type="dxa"/>
              <w:bottom w:w="90" w:type="dxa"/>
              <w:end w:w="120" w:type="dxa"/>
            </w:tcMar>
            <w:vAlign w:val="center"/>
            <w:shd w:fill="12372A"/>
          </w:tcPr>
          <w:p>
            <w:pPr>
              <w:spacing w:after="0"/>
              <w:jc w:val="center"/>
            </w:pPr>
            <w:r>
              <w:rPr>
                <w:rFonts w:ascii="Calibri" w:hAnsi="Calibri"/>
                <w:b/>
                <w:color w:val="FFFFFF"/>
                <w:sz w:val="17"/>
              </w:rPr>
              <w:t>Integrated output</w:t>
            </w:r>
          </w:p>
        </w:tc>
      </w:tr>
      <w:tr>
        <w:tc>
          <w:tcPr>
            <w:tcW w:type="dxa" w:w="1500"/>
            <w:tcMar>
              <w:top w:w="90" w:type="dxa"/>
              <w:start w:w="120" w:type="dxa"/>
              <w:bottom w:w="90" w:type="dxa"/>
              <w:end w:w="120" w:type="dxa"/>
            </w:tcMar>
            <w:vAlign w:val="center"/>
          </w:tcPr>
          <w:p>
            <w:pPr>
              <w:spacing w:after="0" w:line="252" w:lineRule="auto"/>
              <w:jc w:val="left"/>
            </w:pPr>
            <w:r>
              <w:rPr>
                <w:rFonts w:ascii="Calibri" w:hAnsi="Calibri"/>
                <w:color w:val="1F2933"/>
                <w:sz w:val="17"/>
              </w:rPr>
              <w:t>Computer Vision</w:t>
            </w:r>
          </w:p>
        </w:tc>
        <w:tc>
          <w:tcPr>
            <w:tcW w:type="dxa" w:w="2300"/>
            <w:tcMar>
              <w:top w:w="90" w:type="dxa"/>
              <w:start w:w="120" w:type="dxa"/>
              <w:bottom w:w="90" w:type="dxa"/>
              <w:end w:w="120" w:type="dxa"/>
            </w:tcMar>
            <w:vAlign w:val="center"/>
          </w:tcPr>
          <w:p>
            <w:pPr>
              <w:spacing w:after="0" w:line="252" w:lineRule="auto"/>
              <w:jc w:val="left"/>
            </w:pPr>
            <w:r>
              <w:rPr>
                <w:rFonts w:ascii="Calibri" w:hAnsi="Calibri"/>
                <w:color w:val="1F2933"/>
                <w:sz w:val="17"/>
              </w:rPr>
              <w:t>Multilabel image classification</w:t>
            </w:r>
          </w:p>
        </w:tc>
        <w:tc>
          <w:tcPr>
            <w:tcW w:type="dxa" w:w="1900"/>
            <w:tcMar>
              <w:top w:w="90" w:type="dxa"/>
              <w:start w:w="120" w:type="dxa"/>
              <w:bottom w:w="90" w:type="dxa"/>
              <w:end w:w="120" w:type="dxa"/>
            </w:tcMar>
            <w:vAlign w:val="center"/>
          </w:tcPr>
          <w:p>
            <w:pPr>
              <w:spacing w:after="0" w:line="252" w:lineRule="auto"/>
              <w:jc w:val="center"/>
            </w:pPr>
            <w:r>
              <w:rPr>
                <w:rFonts w:ascii="Calibri" w:hAnsi="Calibri"/>
                <w:color w:val="1F2933"/>
                <w:sz w:val="17"/>
              </w:rPr>
              <w:t>ResNet-18</w:t>
            </w:r>
          </w:p>
        </w:tc>
        <w:tc>
          <w:tcPr>
            <w:tcW w:type="dxa" w:w="3660"/>
            <w:tcMar>
              <w:top w:w="90" w:type="dxa"/>
              <w:start w:w="120" w:type="dxa"/>
              <w:bottom w:w="90" w:type="dxa"/>
              <w:end w:w="120" w:type="dxa"/>
            </w:tcMar>
            <w:vAlign w:val="center"/>
          </w:tcPr>
          <w:p>
            <w:pPr>
              <w:spacing w:after="0" w:line="252" w:lineRule="auto"/>
              <w:jc w:val="left"/>
            </w:pPr>
            <w:r>
              <w:rPr>
                <w:rFonts w:ascii="Calibri" w:hAnsi="Calibri"/>
                <w:color w:val="1F2933"/>
                <w:sz w:val="17"/>
              </w:rPr>
              <w:t>Fourteen finding probabilities and frozen decisions</w:t>
            </w:r>
          </w:p>
        </w:tc>
      </w:tr>
      <w:tr>
        <w:tc>
          <w:tcPr>
            <w:tcW w:type="dxa" w:w="15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Computer Vision</w:t>
            </w:r>
          </w:p>
        </w:tc>
        <w:tc>
          <w:tcPr>
            <w:tcW w:type="dxa" w:w="23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Visual explainability</w:t>
            </w:r>
          </w:p>
        </w:tc>
        <w:tc>
          <w:tcPr>
            <w:tcW w:type="dxa" w:w="19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LayerGradCam</w:t>
            </w:r>
          </w:p>
        </w:tc>
        <w:tc>
          <w:tcPr>
            <w:tcW w:type="dxa" w:w="36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Finding-specific overlays and attribution heatmaps</w:t>
            </w:r>
          </w:p>
        </w:tc>
      </w:tr>
      <w:tr>
        <w:tc>
          <w:tcPr>
            <w:tcW w:type="dxa" w:w="1500"/>
            <w:tcMar>
              <w:top w:w="90" w:type="dxa"/>
              <w:start w:w="120" w:type="dxa"/>
              <w:bottom w:w="90" w:type="dxa"/>
              <w:end w:w="120" w:type="dxa"/>
            </w:tcMar>
            <w:vAlign w:val="center"/>
          </w:tcPr>
          <w:p>
            <w:pPr>
              <w:spacing w:after="0" w:line="252" w:lineRule="auto"/>
              <w:jc w:val="center"/>
            </w:pPr>
            <w:r>
              <w:rPr>
                <w:rFonts w:ascii="Calibri" w:hAnsi="Calibri"/>
                <w:color w:val="1F2933"/>
                <w:sz w:val="17"/>
              </w:rPr>
              <w:t>NLP</w:t>
            </w:r>
          </w:p>
        </w:tc>
        <w:tc>
          <w:tcPr>
            <w:tcW w:type="dxa" w:w="2300"/>
            <w:tcMar>
              <w:top w:w="90" w:type="dxa"/>
              <w:start w:w="120" w:type="dxa"/>
              <w:bottom w:w="90" w:type="dxa"/>
              <w:end w:w="120" w:type="dxa"/>
            </w:tcMar>
            <w:vAlign w:val="center"/>
          </w:tcPr>
          <w:p>
            <w:pPr>
              <w:spacing w:after="0" w:line="252" w:lineRule="auto"/>
              <w:jc w:val="left"/>
            </w:pPr>
            <w:r>
              <w:rPr>
                <w:rFonts w:ascii="Calibri" w:hAnsi="Calibri"/>
                <w:color w:val="1F2933"/>
                <w:sz w:val="17"/>
              </w:rPr>
              <w:t>Structured report generation</w:t>
            </w:r>
          </w:p>
        </w:tc>
        <w:tc>
          <w:tcPr>
            <w:tcW w:type="dxa" w:w="1900"/>
            <w:tcMar>
              <w:top w:w="90" w:type="dxa"/>
              <w:start w:w="120" w:type="dxa"/>
              <w:bottom w:w="90" w:type="dxa"/>
              <w:end w:w="120" w:type="dxa"/>
            </w:tcMar>
            <w:vAlign w:val="center"/>
          </w:tcPr>
          <w:p>
            <w:pPr>
              <w:spacing w:after="0" w:line="252" w:lineRule="auto"/>
              <w:jc w:val="left"/>
            </w:pPr>
            <w:r>
              <w:rPr>
                <w:rFonts w:ascii="Calibri" w:hAnsi="Calibri"/>
                <w:color w:val="1F2933"/>
                <w:sz w:val="17"/>
              </w:rPr>
              <w:t>FLAN-T5-small</w:t>
            </w:r>
          </w:p>
        </w:tc>
        <w:tc>
          <w:tcPr>
            <w:tcW w:type="dxa" w:w="3660"/>
            <w:tcMar>
              <w:top w:w="90" w:type="dxa"/>
              <w:start w:w="120" w:type="dxa"/>
              <w:bottom w:w="90" w:type="dxa"/>
              <w:end w:w="120" w:type="dxa"/>
            </w:tcMar>
            <w:vAlign w:val="center"/>
          </w:tcPr>
          <w:p>
            <w:pPr>
              <w:spacing w:after="0" w:line="252" w:lineRule="auto"/>
              <w:jc w:val="left"/>
            </w:pPr>
            <w:r>
              <w:rPr>
                <w:rFonts w:ascii="Calibri" w:hAnsi="Calibri"/>
                <w:color w:val="1F2933"/>
                <w:sz w:val="17"/>
              </w:rPr>
              <w:t>Evidence-oriented preliminary report</w:t>
            </w:r>
          </w:p>
        </w:tc>
      </w:tr>
      <w:tr>
        <w:tc>
          <w:tcPr>
            <w:tcW w:type="dxa" w:w="15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NLP</w:t>
            </w:r>
          </w:p>
        </w:tc>
        <w:tc>
          <w:tcPr>
            <w:tcW w:type="dxa" w:w="23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Plain-language explanation</w:t>
            </w:r>
          </w:p>
        </w:tc>
        <w:tc>
          <w:tcPr>
            <w:tcW w:type="dxa" w:w="19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FLAN-T5-small</w:t>
            </w:r>
          </w:p>
        </w:tc>
        <w:tc>
          <w:tcPr>
            <w:tcW w:type="dxa" w:w="36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Accessible grounded explanation</w:t>
            </w:r>
          </w:p>
        </w:tc>
      </w:tr>
      <w:tr>
        <w:tc>
          <w:tcPr>
            <w:tcW w:type="dxa" w:w="1500"/>
            <w:tcMar>
              <w:top w:w="90" w:type="dxa"/>
              <w:start w:w="120" w:type="dxa"/>
              <w:bottom w:w="90" w:type="dxa"/>
              <w:end w:w="120" w:type="dxa"/>
            </w:tcMar>
            <w:vAlign w:val="center"/>
          </w:tcPr>
          <w:p>
            <w:pPr>
              <w:spacing w:after="0" w:line="252" w:lineRule="auto"/>
              <w:jc w:val="center"/>
            </w:pPr>
            <w:r>
              <w:rPr>
                <w:rFonts w:ascii="Calibri" w:hAnsi="Calibri"/>
                <w:color w:val="1F2933"/>
                <w:sz w:val="17"/>
              </w:rPr>
              <w:t>NLP</w:t>
            </w:r>
          </w:p>
        </w:tc>
        <w:tc>
          <w:tcPr>
            <w:tcW w:type="dxa" w:w="2300"/>
            <w:tcMar>
              <w:top w:w="90" w:type="dxa"/>
              <w:start w:w="120" w:type="dxa"/>
              <w:bottom w:w="90" w:type="dxa"/>
              <w:end w:w="120" w:type="dxa"/>
            </w:tcMar>
            <w:vAlign w:val="center"/>
          </w:tcPr>
          <w:p>
            <w:pPr>
              <w:spacing w:after="0" w:line="252" w:lineRule="auto"/>
              <w:jc w:val="left"/>
            </w:pPr>
            <w:r>
              <w:rPr>
                <w:rFonts w:ascii="Calibri" w:hAnsi="Calibri"/>
                <w:color w:val="1F2933"/>
                <w:sz w:val="17"/>
              </w:rPr>
              <w:t>Grounded question answering</w:t>
            </w:r>
          </w:p>
        </w:tc>
        <w:tc>
          <w:tcPr>
            <w:tcW w:type="dxa" w:w="1900"/>
            <w:tcMar>
              <w:top w:w="90" w:type="dxa"/>
              <w:start w:w="120" w:type="dxa"/>
              <w:bottom w:w="90" w:type="dxa"/>
              <w:end w:w="120" w:type="dxa"/>
            </w:tcMar>
            <w:vAlign w:val="center"/>
          </w:tcPr>
          <w:p>
            <w:pPr>
              <w:spacing w:after="0" w:line="252" w:lineRule="auto"/>
              <w:jc w:val="left"/>
            </w:pPr>
            <w:r>
              <w:rPr>
                <w:rFonts w:ascii="Calibri" w:hAnsi="Calibri"/>
                <w:color w:val="1F2933"/>
                <w:sz w:val="17"/>
              </w:rPr>
              <w:t>FLAN-T5-small + guardrail</w:t>
            </w:r>
          </w:p>
        </w:tc>
        <w:tc>
          <w:tcPr>
            <w:tcW w:type="dxa" w:w="3660"/>
            <w:tcMar>
              <w:top w:w="90" w:type="dxa"/>
              <w:start w:w="120" w:type="dxa"/>
              <w:bottom w:w="90" w:type="dxa"/>
              <w:end w:w="120" w:type="dxa"/>
            </w:tcMar>
            <w:vAlign w:val="center"/>
          </w:tcPr>
          <w:p>
            <w:pPr>
              <w:spacing w:after="0" w:line="252" w:lineRule="auto"/>
              <w:jc w:val="left"/>
            </w:pPr>
            <w:r>
              <w:rPr>
                <w:rFonts w:ascii="Calibri" w:hAnsi="Calibri"/>
                <w:color w:val="1F2933"/>
                <w:sz w:val="17"/>
              </w:rPr>
              <w:t>Prediction-bound answer</w:t>
            </w:r>
          </w:p>
        </w:tc>
      </w:tr>
      <w:tr>
        <w:tc>
          <w:tcPr>
            <w:tcW w:type="dxa" w:w="15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NLP</w:t>
            </w:r>
          </w:p>
        </w:tc>
        <w:tc>
          <w:tcPr>
            <w:tcW w:type="dxa" w:w="23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Educational follow-up</w:t>
            </w:r>
          </w:p>
        </w:tc>
        <w:tc>
          <w:tcPr>
            <w:tcW w:type="dxa" w:w="19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FLAN-T5-small + guardrail</w:t>
            </w:r>
          </w:p>
        </w:tc>
        <w:tc>
          <w:tcPr>
            <w:tcW w:type="dxa" w:w="36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Controlled next-step guidance</w:t>
            </w:r>
          </w:p>
        </w:tc>
      </w:tr>
    </w:tbl>
    <w:p>
      <w:pPr>
        <w:spacing w:after="40"/>
      </w:pPr>
    </w:p>
    <w:p>
      <w:pPr>
        <w:keepLines w:val="0"/>
        <w:spacing w:after="160" w:line="300" w:lineRule="auto"/>
        <w:jc w:val="both"/>
      </w:pPr>
      <w:r>
        <w:rPr>
          <w:rFonts w:ascii="Calibri" w:hAnsi="Calibri"/>
          <w:i w:val="0"/>
          <w:color w:val="1F2933"/>
          <w:sz w:val="22"/>
        </w:rPr>
        <w:t>Cohesion is enforced technically. The vision service emits a strict finding-evidence schema containing label identity, probability, calibrated threshold, threshold decision, confidence category and approved description. The language serializer consumes this schema and the guardrail prohibits unsupported finding names, ungrounded numeric claims, diagnostic language and omission of required limitations.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6F1E7"/>
          </w:tcPr>
          <w:p>
            <w:pPr>
              <w:spacing w:after="0"/>
            </w:pPr>
            <w:r>
              <w:rPr>
                <w:rFonts w:ascii="Calibri" w:hAnsi="Calibri"/>
                <w:b/>
                <w:color w:val="E76F51"/>
                <w:sz w:val="21"/>
              </w:rPr>
              <w:t xml:space="preserve">Ground truth: </w:t>
            </w:r>
            <w:r>
              <w:rPr>
                <w:rFonts w:ascii="Calibri" w:hAnsi="Calibri"/>
                <w:color w:val="1F2933"/>
                <w:sz w:val="21"/>
              </w:rPr>
              <w:t>Ground truth refers to the reference labels supplied by ChestMNIST for training and evaluation. It is not the application's prediction and is not equivalent to a new clinical diagnosis.</w:t>
            </w:r>
          </w:p>
        </w:tc>
      </w:tr>
    </w:tbl>
    <w:p>
      <w:pPr>
        <w:spacing w:after="20"/>
      </w:pPr>
    </w:p>
    <w:p>
      <w:pPr>
        <w:pStyle w:val="Heading1"/>
        <w:pBdr>
          <w:bottom w:val="single" w:sz="10" w:space="4" w:color="E9C46A"/>
        </w:pBdr>
      </w:pPr>
      <w:r>
        <w:t>3. Architecture and End-to-End Workflow</w:t>
      </w:r>
    </w:p>
    <w:p>
      <w:pPr>
        <w:keepNext/>
        <w:spacing w:after="0"/>
        <w:jc w:val="center"/>
      </w:pPr>
      <w:r>
        <w:drawing>
          <wp:inline xmlns:a="http://schemas.openxmlformats.org/drawingml/2006/main" xmlns:pic="http://schemas.openxmlformats.org/drawingml/2006/picture">
            <wp:extent cx="5715000" cy="3191141"/>
            <wp:docPr id="2" name="Picture 2" title="Report figure: Layered architecture separating interface, API orchestration, model services and persisted evidence." descr="Layered architecture separating interface, API orchestration, model services and persisted evidence."/>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715000" cy="3191141"/>
                    </a:xfrm>
                    <a:prstGeom prst="rect"/>
                  </pic:spPr>
                </pic:pic>
              </a:graphicData>
            </a:graphic>
          </wp:inline>
        </w:drawing>
      </w:r>
    </w:p>
    <w:p>
      <w:pPr>
        <w:pStyle w:val="Caption"/>
        <w:jc w:val="center"/>
      </w:pPr>
      <w:r>
        <w:rPr>
          <w:rFonts w:ascii="Calibri" w:hAnsi="Calibri"/>
          <w:i/>
          <w:color w:val="66737F"/>
          <w:sz w:val="18"/>
        </w:rPr>
        <w:t>Figure 2. Layered architecture separating interface, API orchestration, model services and persisted evidence.</w:t>
      </w:r>
    </w:p>
    <w:p>
      <w:pPr>
        <w:keepLines w:val="0"/>
        <w:spacing w:after="160" w:line="300" w:lineRule="auto"/>
        <w:jc w:val="both"/>
      </w:pPr>
      <w:r>
        <w:rPr>
          <w:rFonts w:ascii="Calibri" w:hAnsi="Calibri"/>
          <w:i w:val="0"/>
          <w:color w:val="1F2933"/>
          <w:sz w:val="22"/>
        </w:rPr>
        <w:t>The Streamlit interface is intentionally thin. It validates only the immediate user-experience contract, such as accepted file extensions and preview availability. Authoritative validation, model loading, inference, threshold application, Grad-CAM generation, language generation, guardrail auditing and prediction persistence occur in FastAPI services.</w:t>
      </w:r>
    </w:p>
    <w:p>
      <w:pPr>
        <w:keepNext/>
        <w:spacing w:after="0"/>
        <w:jc w:val="center"/>
      </w:pPr>
      <w:r>
        <w:drawing>
          <wp:inline xmlns:a="http://schemas.openxmlformats.org/drawingml/2006/main" xmlns:pic="http://schemas.openxmlformats.org/drawingml/2006/picture">
            <wp:extent cx="5715000" cy="3191141"/>
            <wp:docPr id="3" name="Picture 3" title="Report figure: Complete-analysis sequence and prediction reuse." descr="Complete-analysis sequence and prediction reuse."/>
            <wp:cNvGraphicFramePr>
              <a:graphicFrameLocks noChangeAspect="1"/>
            </wp:cNvGraphicFramePr>
            <a:graphic>
              <a:graphicData uri="http://schemas.openxmlformats.org/drawingml/2006/picture">
                <pic:pic>
                  <pic:nvPicPr>
                    <pic:cNvPr id="0" name="api_sequence.png"/>
                    <pic:cNvPicPr/>
                  </pic:nvPicPr>
                  <pic:blipFill>
                    <a:blip r:embed="rId13"/>
                    <a:stretch>
                      <a:fillRect/>
                    </a:stretch>
                  </pic:blipFill>
                  <pic:spPr>
                    <a:xfrm>
                      <a:off x="0" y="0"/>
                      <a:ext cx="5715000" cy="3191141"/>
                    </a:xfrm>
                    <a:prstGeom prst="rect"/>
                  </pic:spPr>
                </pic:pic>
              </a:graphicData>
            </a:graphic>
          </wp:inline>
        </w:drawing>
      </w:r>
    </w:p>
    <w:p>
      <w:pPr>
        <w:pStyle w:val="Caption"/>
        <w:jc w:val="center"/>
      </w:pPr>
      <w:r>
        <w:rPr>
          <w:rFonts w:ascii="Calibri" w:hAnsi="Calibri"/>
          <w:i/>
          <w:color w:val="66737F"/>
          <w:sz w:val="18"/>
        </w:rPr>
        <w:t>Figure 3. Complete-analysis sequence and prediction reuse.</w:t>
      </w:r>
    </w:p>
    <w:p>
      <w:pPr>
        <w:keepLines w:val="0"/>
        <w:spacing w:after="160" w:line="300" w:lineRule="auto"/>
        <w:jc w:val="both"/>
      </w:pPr>
      <w:r>
        <w:rPr>
          <w:rFonts w:ascii="Calibri" w:hAnsi="Calibri"/>
          <w:i w:val="0"/>
          <w:color w:val="1F2933"/>
          <w:sz w:val="22"/>
        </w:rPr>
        <w:t>A single POST request to /api/v1/analyze-complete triggers the full workflow. The response contains request and prediction identifiers, image metadata, all fourteen findings, explainability metadata, optional visual evidence, multiple language outputs, versions, warnings and latency. Follow-up endpoints receive only the prediction identifier and question; the client cannot supply or modify grounding evidence.</w:t>
      </w:r>
    </w:p>
    <w:p>
      <w:pPr>
        <w:pStyle w:val="Heading1"/>
        <w:pBdr>
          <w:bottom w:val="single" w:sz="10" w:space="4" w:color="E9C46A"/>
        </w:pBdr>
      </w:pPr>
      <w:r>
        <w:t>4. Development Method and Notebook Traceability</w:t>
      </w:r>
    </w:p>
    <w:p>
      <w:pPr>
        <w:keepNext/>
        <w:spacing w:after="0"/>
        <w:jc w:val="center"/>
      </w:pPr>
      <w:r>
        <w:drawing>
          <wp:inline xmlns:a="http://schemas.openxmlformats.org/drawingml/2006/main" xmlns:pic="http://schemas.openxmlformats.org/drawingml/2006/picture">
            <wp:extent cx="5715000" cy="3191141"/>
            <wp:docPr id="4" name="Picture 4" title="Report figure: Nine-notebook progression from platform validation to packaging readiness." descr="Nine-notebook progression from platform validation to packaging readiness."/>
            <wp:cNvGraphicFramePr>
              <a:graphicFrameLocks noChangeAspect="1"/>
            </wp:cNvGraphicFramePr>
            <a:graphic>
              <a:graphicData uri="http://schemas.openxmlformats.org/drawingml/2006/picture">
                <pic:pic>
                  <pic:nvPicPr>
                    <pic:cNvPr id="0" name="notebook_map.png"/>
                    <pic:cNvPicPr/>
                  </pic:nvPicPr>
                  <pic:blipFill>
                    <a:blip r:embed="rId14"/>
                    <a:stretch>
                      <a:fillRect/>
                    </a:stretch>
                  </pic:blipFill>
                  <pic:spPr>
                    <a:xfrm>
                      <a:off x="0" y="0"/>
                      <a:ext cx="5715000" cy="3191141"/>
                    </a:xfrm>
                    <a:prstGeom prst="rect"/>
                  </pic:spPr>
                </pic:pic>
              </a:graphicData>
            </a:graphic>
          </wp:inline>
        </w:drawing>
      </w:r>
    </w:p>
    <w:p>
      <w:pPr>
        <w:pStyle w:val="Caption"/>
        <w:jc w:val="center"/>
      </w:pPr>
      <w:r>
        <w:rPr>
          <w:rFonts w:ascii="Calibri" w:hAnsi="Calibri"/>
          <w:i/>
          <w:color w:val="66737F"/>
          <w:sz w:val="18"/>
        </w:rPr>
        <w:t>Figure 4. Nine-notebook progression from platform validation to packaging readiness.</w:t>
      </w:r>
    </w:p>
    <w:tbl>
      <w:tblPr>
        <w:tblStyle w:val="TableGrid"/>
        <w:tblW w:type="dxa" w:w="9360"/>
        <w:tblLayout w:type="fixed"/>
        <w:tblLook w:firstColumn="1" w:firstRow="1" w:lastColumn="0" w:lastRow="0" w:noHBand="0" w:noVBand="1" w:val="04A0"/>
        <w:tblInd w:w="120" w:type="dxa"/>
      </w:tblPr>
      <w:tblGrid>
        <w:gridCol w:w="900"/>
        <w:gridCol w:w="1800"/>
        <w:gridCol w:w="4200"/>
        <w:gridCol w:w="2460"/>
      </w:tblGrid>
      <w:tr>
        <w:trPr>
          <w:tblHeader w:val="true"/>
        </w:trPr>
        <w:tc>
          <w:tcPr>
            <w:tcW w:type="dxa" w:w="900"/>
            <w:tcMar>
              <w:top w:w="90" w:type="dxa"/>
              <w:start w:w="120" w:type="dxa"/>
              <w:bottom w:w="90" w:type="dxa"/>
              <w:end w:w="120" w:type="dxa"/>
            </w:tcMar>
            <w:vAlign w:val="center"/>
            <w:shd w:fill="12372A"/>
          </w:tcPr>
          <w:p>
            <w:pPr>
              <w:spacing w:after="0"/>
              <w:jc w:val="center"/>
            </w:pPr>
            <w:r>
              <w:rPr>
                <w:rFonts w:ascii="Calibri" w:hAnsi="Calibri"/>
                <w:b/>
                <w:color w:val="FFFFFF"/>
                <w:sz w:val="17"/>
              </w:rPr>
              <w:t>Notebook</w:t>
            </w:r>
          </w:p>
        </w:tc>
        <w:tc>
          <w:tcPr>
            <w:tcW w:type="dxa" w:w="1800"/>
            <w:tcMar>
              <w:top w:w="90" w:type="dxa"/>
              <w:start w:w="120" w:type="dxa"/>
              <w:bottom w:w="90" w:type="dxa"/>
              <w:end w:w="120" w:type="dxa"/>
            </w:tcMar>
            <w:vAlign w:val="center"/>
            <w:shd w:fill="12372A"/>
          </w:tcPr>
          <w:p>
            <w:pPr>
              <w:spacing w:after="0"/>
              <w:jc w:val="center"/>
            </w:pPr>
            <w:r>
              <w:rPr>
                <w:rFonts w:ascii="Calibri" w:hAnsi="Calibri"/>
                <w:b/>
                <w:color w:val="FFFFFF"/>
                <w:sz w:val="17"/>
              </w:rPr>
              <w:t>Focus</w:t>
            </w:r>
          </w:p>
        </w:tc>
        <w:tc>
          <w:tcPr>
            <w:tcW w:type="dxa" w:w="4200"/>
            <w:tcMar>
              <w:top w:w="90" w:type="dxa"/>
              <w:start w:w="120" w:type="dxa"/>
              <w:bottom w:w="90" w:type="dxa"/>
              <w:end w:w="120" w:type="dxa"/>
            </w:tcMar>
            <w:vAlign w:val="center"/>
            <w:shd w:fill="12372A"/>
          </w:tcPr>
          <w:p>
            <w:pPr>
              <w:spacing w:after="0"/>
              <w:jc w:val="center"/>
            </w:pPr>
            <w:r>
              <w:rPr>
                <w:rFonts w:ascii="Calibri" w:hAnsi="Calibri"/>
                <w:b/>
                <w:color w:val="FFFFFF"/>
                <w:sz w:val="17"/>
              </w:rPr>
              <w:t>Primary work</w:t>
            </w:r>
          </w:p>
        </w:tc>
        <w:tc>
          <w:tcPr>
            <w:tcW w:type="dxa" w:w="2460"/>
            <w:tcMar>
              <w:top w:w="90" w:type="dxa"/>
              <w:start w:w="120" w:type="dxa"/>
              <w:bottom w:w="90" w:type="dxa"/>
              <w:end w:w="120" w:type="dxa"/>
            </w:tcMar>
            <w:vAlign w:val="center"/>
            <w:shd w:fill="12372A"/>
          </w:tcPr>
          <w:p>
            <w:pPr>
              <w:spacing w:after="0"/>
              <w:jc w:val="center"/>
            </w:pPr>
            <w:r>
              <w:rPr>
                <w:rFonts w:ascii="Calibri" w:hAnsi="Calibri"/>
                <w:b/>
                <w:color w:val="FFFFFF"/>
                <w:sz w:val="17"/>
              </w:rPr>
              <w:t>Gate/output</w:t>
            </w:r>
          </w:p>
        </w:tc>
      </w:tr>
      <w:tr>
        <w:tc>
          <w:tcPr>
            <w:tcW w:type="dxa" w:w="900"/>
            <w:tcMar>
              <w:top w:w="90" w:type="dxa"/>
              <w:start w:w="120" w:type="dxa"/>
              <w:bottom w:w="90" w:type="dxa"/>
              <w:end w:w="120" w:type="dxa"/>
            </w:tcMar>
            <w:vAlign w:val="center"/>
          </w:tcPr>
          <w:p>
            <w:pPr>
              <w:spacing w:after="0" w:line="252" w:lineRule="auto"/>
              <w:jc w:val="center"/>
            </w:pPr>
            <w:r>
              <w:rPr>
                <w:rFonts w:ascii="Calibri" w:hAnsi="Calibri"/>
                <w:color w:val="1F2933"/>
                <w:sz w:val="17"/>
              </w:rPr>
              <w:t>01</w:t>
            </w:r>
          </w:p>
        </w:tc>
        <w:tc>
          <w:tcPr>
            <w:tcW w:type="dxa" w:w="1800"/>
            <w:tcMar>
              <w:top w:w="90" w:type="dxa"/>
              <w:start w:w="120" w:type="dxa"/>
              <w:bottom w:w="90" w:type="dxa"/>
              <w:end w:w="120" w:type="dxa"/>
            </w:tcMar>
            <w:vAlign w:val="center"/>
          </w:tcPr>
          <w:p>
            <w:pPr>
              <w:spacing w:after="0" w:line="252" w:lineRule="auto"/>
              <w:jc w:val="left"/>
            </w:pPr>
            <w:r>
              <w:rPr>
                <w:rFonts w:ascii="Calibri" w:hAnsi="Calibri"/>
                <w:color w:val="1F2933"/>
                <w:sz w:val="17"/>
              </w:rPr>
              <w:t>Platform readiness</w:t>
            </w:r>
          </w:p>
        </w:tc>
        <w:tc>
          <w:tcPr>
            <w:tcW w:type="dxa" w:w="4200"/>
            <w:tcMar>
              <w:top w:w="90" w:type="dxa"/>
              <w:start w:w="120" w:type="dxa"/>
              <w:bottom w:w="90" w:type="dxa"/>
              <w:end w:w="120" w:type="dxa"/>
            </w:tcMar>
            <w:vAlign w:val="center"/>
          </w:tcPr>
          <w:p>
            <w:pPr>
              <w:spacing w:after="0" w:line="252" w:lineRule="auto"/>
              <w:jc w:val="left"/>
            </w:pPr>
            <w:r>
              <w:rPr>
                <w:rFonts w:ascii="Calibri" w:hAnsi="Calibri"/>
                <w:color w:val="1F2933"/>
                <w:sz w:val="17"/>
              </w:rPr>
              <w:t>Runtime, GPU, storage, dependencies and paths</w:t>
            </w:r>
          </w:p>
        </w:tc>
        <w:tc>
          <w:tcPr>
            <w:tcW w:type="dxa" w:w="2460"/>
            <w:tcMar>
              <w:top w:w="90" w:type="dxa"/>
              <w:start w:w="120" w:type="dxa"/>
              <w:bottom w:w="90" w:type="dxa"/>
              <w:end w:w="120" w:type="dxa"/>
            </w:tcMar>
            <w:vAlign w:val="center"/>
          </w:tcPr>
          <w:p>
            <w:pPr>
              <w:spacing w:after="0" w:line="252" w:lineRule="auto"/>
              <w:jc w:val="left"/>
            </w:pPr>
            <w:r>
              <w:rPr>
                <w:rFonts w:ascii="Calibri" w:hAnsi="Calibri"/>
                <w:color w:val="1F2933"/>
                <w:sz w:val="17"/>
              </w:rPr>
              <w:t>Environment readiness</w:t>
            </w:r>
          </w:p>
        </w:tc>
      </w:tr>
      <w:tr>
        <w:tc>
          <w:tcPr>
            <w:tcW w:type="dxa" w:w="9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02</w:t>
            </w:r>
          </w:p>
        </w:tc>
        <w:tc>
          <w:tcPr>
            <w:tcW w:type="dxa" w:w="18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Data engineering</w:t>
            </w:r>
          </w:p>
        </w:tc>
        <w:tc>
          <w:tcPr>
            <w:tcW w:type="dxa" w:w="42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Integrity, EDA, transformations and class weights</w:t>
            </w:r>
          </w:p>
        </w:tc>
        <w:tc>
          <w:tcPr>
            <w:tcW w:type="dxa" w:w="24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Data readiness</w:t>
            </w:r>
          </w:p>
        </w:tc>
      </w:tr>
      <w:tr>
        <w:tc>
          <w:tcPr>
            <w:tcW w:type="dxa" w:w="900"/>
            <w:tcMar>
              <w:top w:w="90" w:type="dxa"/>
              <w:start w:w="120" w:type="dxa"/>
              <w:bottom w:w="90" w:type="dxa"/>
              <w:end w:w="120" w:type="dxa"/>
            </w:tcMar>
            <w:vAlign w:val="center"/>
          </w:tcPr>
          <w:p>
            <w:pPr>
              <w:spacing w:after="0" w:line="252" w:lineRule="auto"/>
              <w:jc w:val="center"/>
            </w:pPr>
            <w:r>
              <w:rPr>
                <w:rFonts w:ascii="Calibri" w:hAnsi="Calibri"/>
                <w:color w:val="1F2933"/>
                <w:sz w:val="17"/>
              </w:rPr>
              <w:t>03</w:t>
            </w:r>
          </w:p>
        </w:tc>
        <w:tc>
          <w:tcPr>
            <w:tcW w:type="dxa" w:w="1800"/>
            <w:tcMar>
              <w:top w:w="90" w:type="dxa"/>
              <w:start w:w="120" w:type="dxa"/>
              <w:bottom w:w="90" w:type="dxa"/>
              <w:end w:w="120" w:type="dxa"/>
            </w:tcMar>
            <w:vAlign w:val="center"/>
          </w:tcPr>
          <w:p>
            <w:pPr>
              <w:spacing w:after="0" w:line="252" w:lineRule="auto"/>
              <w:jc w:val="left"/>
            </w:pPr>
            <w:r>
              <w:rPr>
                <w:rFonts w:ascii="Calibri" w:hAnsi="Calibri"/>
                <w:color w:val="1F2933"/>
                <w:sz w:val="17"/>
              </w:rPr>
              <w:t>Model development</w:t>
            </w:r>
          </w:p>
        </w:tc>
        <w:tc>
          <w:tcPr>
            <w:tcW w:type="dxa" w:w="4200"/>
            <w:tcMar>
              <w:top w:w="90" w:type="dxa"/>
              <w:start w:w="120" w:type="dxa"/>
              <w:bottom w:w="90" w:type="dxa"/>
              <w:end w:w="120" w:type="dxa"/>
            </w:tcMar>
            <w:vAlign w:val="center"/>
          </w:tcPr>
          <w:p>
            <w:pPr>
              <w:spacing w:after="0" w:line="252" w:lineRule="auto"/>
              <w:jc w:val="left"/>
            </w:pPr>
            <w:r>
              <w:rPr>
                <w:rFonts w:ascii="Calibri" w:hAnsi="Calibri"/>
                <w:color w:val="1F2933"/>
                <w:sz w:val="17"/>
              </w:rPr>
              <w:t>ResNet-18 training, checkpointing and thresholds</w:t>
            </w:r>
          </w:p>
        </w:tc>
        <w:tc>
          <w:tcPr>
            <w:tcW w:type="dxa" w:w="2460"/>
            <w:tcMar>
              <w:top w:w="90" w:type="dxa"/>
              <w:start w:w="120" w:type="dxa"/>
              <w:bottom w:w="90" w:type="dxa"/>
              <w:end w:w="120" w:type="dxa"/>
            </w:tcMar>
            <w:vAlign w:val="center"/>
          </w:tcPr>
          <w:p>
            <w:pPr>
              <w:spacing w:after="0" w:line="252" w:lineRule="auto"/>
              <w:jc w:val="center"/>
            </w:pPr>
            <w:r>
              <w:rPr>
                <w:rFonts w:ascii="Calibri" w:hAnsi="Calibri"/>
                <w:color w:val="1F2933"/>
                <w:sz w:val="17"/>
              </w:rPr>
              <w:t>Model bundle</w:t>
            </w:r>
          </w:p>
        </w:tc>
      </w:tr>
      <w:tr>
        <w:tc>
          <w:tcPr>
            <w:tcW w:type="dxa" w:w="9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04</w:t>
            </w:r>
          </w:p>
        </w:tc>
        <w:tc>
          <w:tcPr>
            <w:tcW w:type="dxa" w:w="18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Evaluation</w:t>
            </w:r>
          </w:p>
        </w:tc>
        <w:tc>
          <w:tcPr>
            <w:tcW w:type="dxa" w:w="42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Isolated test inference, metrics and errors</w:t>
            </w:r>
          </w:p>
        </w:tc>
        <w:tc>
          <w:tcPr>
            <w:tcW w:type="dxa" w:w="24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Frozen test evidence</w:t>
            </w:r>
          </w:p>
        </w:tc>
      </w:tr>
      <w:tr>
        <w:tc>
          <w:tcPr>
            <w:tcW w:type="dxa" w:w="900"/>
            <w:tcMar>
              <w:top w:w="90" w:type="dxa"/>
              <w:start w:w="120" w:type="dxa"/>
              <w:bottom w:w="90" w:type="dxa"/>
              <w:end w:w="120" w:type="dxa"/>
            </w:tcMar>
            <w:vAlign w:val="center"/>
          </w:tcPr>
          <w:p>
            <w:pPr>
              <w:spacing w:after="0" w:line="252" w:lineRule="auto"/>
              <w:jc w:val="center"/>
            </w:pPr>
            <w:r>
              <w:rPr>
                <w:rFonts w:ascii="Calibri" w:hAnsi="Calibri"/>
                <w:color w:val="1F2933"/>
                <w:sz w:val="17"/>
              </w:rPr>
              <w:t>05</w:t>
            </w:r>
          </w:p>
        </w:tc>
        <w:tc>
          <w:tcPr>
            <w:tcW w:type="dxa" w:w="1800"/>
            <w:tcMar>
              <w:top w:w="90" w:type="dxa"/>
              <w:start w:w="120" w:type="dxa"/>
              <w:bottom w:w="90" w:type="dxa"/>
              <w:end w:w="120" w:type="dxa"/>
            </w:tcMar>
            <w:vAlign w:val="center"/>
          </w:tcPr>
          <w:p>
            <w:pPr>
              <w:spacing w:after="0" w:line="252" w:lineRule="auto"/>
              <w:jc w:val="left"/>
            </w:pPr>
            <w:r>
              <w:rPr>
                <w:rFonts w:ascii="Calibri" w:hAnsi="Calibri"/>
                <w:color w:val="1F2933"/>
                <w:sz w:val="17"/>
              </w:rPr>
              <w:t>Explainability</w:t>
            </w:r>
          </w:p>
        </w:tc>
        <w:tc>
          <w:tcPr>
            <w:tcW w:type="dxa" w:w="4200"/>
            <w:tcMar>
              <w:top w:w="90" w:type="dxa"/>
              <w:start w:w="120" w:type="dxa"/>
              <w:bottom w:w="90" w:type="dxa"/>
              <w:end w:w="120" w:type="dxa"/>
            </w:tcMar>
            <w:vAlign w:val="center"/>
          </w:tcPr>
          <w:p>
            <w:pPr>
              <w:spacing w:after="0" w:line="252" w:lineRule="auto"/>
              <w:jc w:val="left"/>
            </w:pPr>
            <w:r>
              <w:rPr>
                <w:rFonts w:ascii="Calibri" w:hAnsi="Calibri"/>
                <w:color w:val="1F2933"/>
                <w:sz w:val="17"/>
              </w:rPr>
              <w:t>LayerGradCam and representative cases</w:t>
            </w:r>
          </w:p>
        </w:tc>
        <w:tc>
          <w:tcPr>
            <w:tcW w:type="dxa" w:w="2460"/>
            <w:tcMar>
              <w:top w:w="90" w:type="dxa"/>
              <w:start w:w="120" w:type="dxa"/>
              <w:bottom w:w="90" w:type="dxa"/>
              <w:end w:w="120" w:type="dxa"/>
            </w:tcMar>
            <w:vAlign w:val="center"/>
          </w:tcPr>
          <w:p>
            <w:pPr>
              <w:spacing w:after="0" w:line="252" w:lineRule="auto"/>
              <w:jc w:val="left"/>
            </w:pPr>
            <w:r>
              <w:rPr>
                <w:rFonts w:ascii="Calibri" w:hAnsi="Calibri"/>
                <w:color w:val="1F2933"/>
                <w:sz w:val="17"/>
              </w:rPr>
              <w:t>Visual evidence registry</w:t>
            </w:r>
          </w:p>
        </w:tc>
      </w:tr>
      <w:tr>
        <w:tc>
          <w:tcPr>
            <w:tcW w:type="dxa" w:w="9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06</w:t>
            </w:r>
          </w:p>
        </w:tc>
        <w:tc>
          <w:tcPr>
            <w:tcW w:type="dxa" w:w="18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Grounded language</w:t>
            </w:r>
          </w:p>
        </w:tc>
        <w:tc>
          <w:tcPr>
            <w:tcW w:type="dxa" w:w="42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FLAN-T5 fine-tuning, evaluation and guardrail</w:t>
            </w:r>
          </w:p>
        </w:tc>
        <w:tc>
          <w:tcPr>
            <w:tcW w:type="dxa" w:w="24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Language bundle</w:t>
            </w:r>
          </w:p>
        </w:tc>
      </w:tr>
      <w:tr>
        <w:tc>
          <w:tcPr>
            <w:tcW w:type="dxa" w:w="900"/>
            <w:tcMar>
              <w:top w:w="90" w:type="dxa"/>
              <w:start w:w="120" w:type="dxa"/>
              <w:bottom w:w="90" w:type="dxa"/>
              <w:end w:w="120" w:type="dxa"/>
            </w:tcMar>
            <w:vAlign w:val="center"/>
          </w:tcPr>
          <w:p>
            <w:pPr>
              <w:spacing w:after="0" w:line="252" w:lineRule="auto"/>
              <w:jc w:val="center"/>
            </w:pPr>
            <w:r>
              <w:rPr>
                <w:rFonts w:ascii="Calibri" w:hAnsi="Calibri"/>
                <w:color w:val="1F2933"/>
                <w:sz w:val="17"/>
              </w:rPr>
              <w:t>07</w:t>
            </w:r>
          </w:p>
        </w:tc>
        <w:tc>
          <w:tcPr>
            <w:tcW w:type="dxa" w:w="1800"/>
            <w:tcMar>
              <w:top w:w="90" w:type="dxa"/>
              <w:start w:w="120" w:type="dxa"/>
              <w:bottom w:w="90" w:type="dxa"/>
              <w:end w:w="120" w:type="dxa"/>
            </w:tcMar>
            <w:vAlign w:val="center"/>
          </w:tcPr>
          <w:p>
            <w:pPr>
              <w:spacing w:after="0" w:line="252" w:lineRule="auto"/>
              <w:jc w:val="center"/>
            </w:pPr>
            <w:r>
              <w:rPr>
                <w:rFonts w:ascii="Calibri" w:hAnsi="Calibri"/>
                <w:color w:val="1F2933"/>
                <w:sz w:val="17"/>
              </w:rPr>
              <w:t>FastAPI</w:t>
            </w:r>
          </w:p>
        </w:tc>
        <w:tc>
          <w:tcPr>
            <w:tcW w:type="dxa" w:w="4200"/>
            <w:tcMar>
              <w:top w:w="90" w:type="dxa"/>
              <w:start w:w="120" w:type="dxa"/>
              <w:bottom w:w="90" w:type="dxa"/>
              <w:end w:w="120" w:type="dxa"/>
            </w:tcMar>
            <w:vAlign w:val="center"/>
          </w:tcPr>
          <w:p>
            <w:pPr>
              <w:spacing w:after="0" w:line="252" w:lineRule="auto"/>
              <w:jc w:val="left"/>
            </w:pPr>
            <w:r>
              <w:rPr>
                <w:rFonts w:ascii="Calibri" w:hAnsi="Calibri"/>
                <w:color w:val="1F2933"/>
                <w:sz w:val="17"/>
              </w:rPr>
              <w:t>Schemas, services, routes and tests</w:t>
            </w:r>
          </w:p>
        </w:tc>
        <w:tc>
          <w:tcPr>
            <w:tcW w:type="dxa" w:w="2460"/>
            <w:tcMar>
              <w:top w:w="90" w:type="dxa"/>
              <w:start w:w="120" w:type="dxa"/>
              <w:bottom w:w="90" w:type="dxa"/>
              <w:end w:w="120" w:type="dxa"/>
            </w:tcMar>
            <w:vAlign w:val="center"/>
          </w:tcPr>
          <w:p>
            <w:pPr>
              <w:spacing w:after="0" w:line="252" w:lineRule="auto"/>
              <w:jc w:val="center"/>
            </w:pPr>
            <w:r>
              <w:rPr>
                <w:rFonts w:ascii="Calibri" w:hAnsi="Calibri"/>
                <w:color w:val="1F2933"/>
                <w:sz w:val="17"/>
              </w:rPr>
              <w:t>12-path API</w:t>
            </w:r>
          </w:p>
        </w:tc>
      </w:tr>
      <w:tr>
        <w:tc>
          <w:tcPr>
            <w:tcW w:type="dxa" w:w="9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08</w:t>
            </w:r>
          </w:p>
        </w:tc>
        <w:tc>
          <w:tcPr>
            <w:tcW w:type="dxa" w:w="18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Streamlit</w:t>
            </w:r>
          </w:p>
        </w:tc>
        <w:tc>
          <w:tcPr>
            <w:tcW w:type="dxa" w:w="42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HTTP client, state, rendering and live validation</w:t>
            </w:r>
          </w:p>
        </w:tc>
        <w:tc>
          <w:tcPr>
            <w:tcW w:type="dxa" w:w="24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Demonstration UI</w:t>
            </w:r>
          </w:p>
        </w:tc>
      </w:tr>
      <w:tr>
        <w:tc>
          <w:tcPr>
            <w:tcW w:type="dxa" w:w="900"/>
            <w:tcMar>
              <w:top w:w="90" w:type="dxa"/>
              <w:start w:w="120" w:type="dxa"/>
              <w:bottom w:w="90" w:type="dxa"/>
              <w:end w:w="120" w:type="dxa"/>
            </w:tcMar>
            <w:vAlign w:val="center"/>
          </w:tcPr>
          <w:p>
            <w:pPr>
              <w:spacing w:after="0" w:line="252" w:lineRule="auto"/>
              <w:jc w:val="center"/>
            </w:pPr>
            <w:r>
              <w:rPr>
                <w:rFonts w:ascii="Calibri" w:hAnsi="Calibri"/>
                <w:color w:val="1F2933"/>
                <w:sz w:val="17"/>
              </w:rPr>
              <w:t>09</w:t>
            </w:r>
          </w:p>
        </w:tc>
        <w:tc>
          <w:tcPr>
            <w:tcW w:type="dxa" w:w="1800"/>
            <w:tcMar>
              <w:top w:w="90" w:type="dxa"/>
              <w:start w:w="120" w:type="dxa"/>
              <w:bottom w:w="90" w:type="dxa"/>
              <w:end w:w="120" w:type="dxa"/>
            </w:tcMar>
            <w:vAlign w:val="center"/>
          </w:tcPr>
          <w:p>
            <w:pPr>
              <w:spacing w:after="0" w:line="252" w:lineRule="auto"/>
              <w:jc w:val="center"/>
            </w:pPr>
            <w:r>
              <w:rPr>
                <w:rFonts w:ascii="Calibri" w:hAnsi="Calibri"/>
                <w:color w:val="1F2933"/>
                <w:sz w:val="17"/>
              </w:rPr>
              <w:t>Packaging</w:t>
            </w:r>
          </w:p>
        </w:tc>
        <w:tc>
          <w:tcPr>
            <w:tcW w:type="dxa" w:w="4200"/>
            <w:tcMar>
              <w:top w:w="90" w:type="dxa"/>
              <w:start w:w="120" w:type="dxa"/>
              <w:bottom w:w="90" w:type="dxa"/>
              <w:end w:w="120" w:type="dxa"/>
            </w:tcMar>
            <w:vAlign w:val="center"/>
          </w:tcPr>
          <w:p>
            <w:pPr>
              <w:spacing w:after="0" w:line="252" w:lineRule="auto"/>
              <w:jc w:val="left"/>
            </w:pPr>
            <w:r>
              <w:rPr>
                <w:rFonts w:ascii="Calibri" w:hAnsi="Calibri"/>
                <w:color w:val="1F2933"/>
                <w:sz w:val="17"/>
              </w:rPr>
              <w:t>Containers, Compose, documentation and audit</w:t>
            </w:r>
          </w:p>
        </w:tc>
        <w:tc>
          <w:tcPr>
            <w:tcW w:type="dxa" w:w="2460"/>
            <w:tcMar>
              <w:top w:w="90" w:type="dxa"/>
              <w:start w:w="120" w:type="dxa"/>
              <w:bottom w:w="90" w:type="dxa"/>
              <w:end w:w="120" w:type="dxa"/>
            </w:tcMar>
            <w:vAlign w:val="center"/>
          </w:tcPr>
          <w:p>
            <w:pPr>
              <w:spacing w:after="0" w:line="252" w:lineRule="auto"/>
              <w:jc w:val="left"/>
            </w:pPr>
            <w:r>
              <w:rPr>
                <w:rFonts w:ascii="Calibri" w:hAnsi="Calibri"/>
                <w:color w:val="1F2933"/>
                <w:sz w:val="17"/>
              </w:rPr>
              <w:t>Final readiness</w:t>
            </w:r>
          </w:p>
        </w:tc>
      </w:tr>
    </w:tbl>
    <w:p>
      <w:pPr>
        <w:spacing w:after="40"/>
      </w:pPr>
    </w:p>
    <w:p>
      <w:pPr>
        <w:pStyle w:val="Heading1"/>
        <w:pBdr>
          <w:bottom w:val="single" w:sz="10" w:space="4" w:color="E9C46A"/>
        </w:pBdr>
      </w:pPr>
      <w:r>
        <w:t>5. Platform Readiness and Reproducibility</w:t>
      </w:r>
    </w:p>
    <w:p>
      <w:pPr>
        <w:keepLines w:val="0"/>
        <w:spacing w:after="160" w:line="300" w:lineRule="auto"/>
        <w:jc w:val="both"/>
      </w:pPr>
      <w:r>
        <w:rPr>
          <w:rFonts w:ascii="Calibri" w:hAnsi="Calibri"/>
          <w:i w:val="0"/>
          <w:color w:val="1F2933"/>
          <w:sz w:val="22"/>
        </w:rPr>
        <w:t>Notebook 1 validates a Kubeflow/Jupyter runtime with Python 3.11, an NVIDIA A100-SXM4-80GB GPU, CUDA 12.1 and PyTorch 2.5.1+cu121. It separates lightweight solution source code from datasets, checkpoints, model bundles, Hugging Face caches, MLflow runs and generated outputs stored on the dedicated data volume.</w:t>
      </w:r>
    </w:p>
    <w:tbl>
      <w:tblPr>
        <w:tblStyle w:val="TableGrid"/>
        <w:tblW w:type="dxa" w:w="9360"/>
        <w:tblLayout w:type="fixed"/>
        <w:tblLook w:firstColumn="1" w:firstRow="1" w:lastColumn="0" w:lastRow="0" w:noHBand="0" w:noVBand="1" w:val="04A0"/>
        <w:tblInd w:w="120" w:type="dxa"/>
      </w:tblPr>
      <w:tblGrid>
        <w:gridCol w:w="1800"/>
        <w:gridCol w:w="4100"/>
        <w:gridCol w:w="3460"/>
      </w:tblGrid>
      <w:tr>
        <w:trPr>
          <w:tblHeader w:val="true"/>
        </w:trPr>
        <w:tc>
          <w:tcPr>
            <w:tcW w:type="dxa" w:w="1800"/>
            <w:tcMar>
              <w:top w:w="90" w:type="dxa"/>
              <w:start w:w="120" w:type="dxa"/>
              <w:bottom w:w="90" w:type="dxa"/>
              <w:end w:w="120" w:type="dxa"/>
            </w:tcMar>
            <w:vAlign w:val="center"/>
            <w:shd w:fill="12372A"/>
          </w:tcPr>
          <w:p>
            <w:pPr>
              <w:spacing w:after="0"/>
              <w:jc w:val="center"/>
            </w:pPr>
            <w:r>
              <w:rPr>
                <w:rFonts w:ascii="Calibri" w:hAnsi="Calibri"/>
                <w:b/>
                <w:color w:val="FFFFFF"/>
                <w:sz w:val="18"/>
              </w:rPr>
              <w:t>Control</w:t>
            </w:r>
          </w:p>
        </w:tc>
        <w:tc>
          <w:tcPr>
            <w:tcW w:type="dxa" w:w="4100"/>
            <w:tcMar>
              <w:top w:w="90" w:type="dxa"/>
              <w:start w:w="120" w:type="dxa"/>
              <w:bottom w:w="90" w:type="dxa"/>
              <w:end w:w="120" w:type="dxa"/>
            </w:tcMar>
            <w:vAlign w:val="center"/>
            <w:shd w:fill="12372A"/>
          </w:tcPr>
          <w:p>
            <w:pPr>
              <w:spacing w:after="0"/>
              <w:jc w:val="center"/>
            </w:pPr>
            <w:r>
              <w:rPr>
                <w:rFonts w:ascii="Calibri" w:hAnsi="Calibri"/>
                <w:b/>
                <w:color w:val="FFFFFF"/>
                <w:sz w:val="18"/>
              </w:rPr>
              <w:t>Implementation</w:t>
            </w:r>
          </w:p>
        </w:tc>
        <w:tc>
          <w:tcPr>
            <w:tcW w:type="dxa" w:w="3460"/>
            <w:tcMar>
              <w:top w:w="90" w:type="dxa"/>
              <w:start w:w="120" w:type="dxa"/>
              <w:bottom w:w="90" w:type="dxa"/>
              <w:end w:w="120" w:type="dxa"/>
            </w:tcMar>
            <w:vAlign w:val="center"/>
            <w:shd w:fill="12372A"/>
          </w:tcPr>
          <w:p>
            <w:pPr>
              <w:spacing w:after="0"/>
              <w:jc w:val="center"/>
            </w:pPr>
            <w:r>
              <w:rPr>
                <w:rFonts w:ascii="Calibri" w:hAnsi="Calibri"/>
                <w:b/>
                <w:color w:val="FFFFFF"/>
                <w:sz w:val="18"/>
              </w:rPr>
              <w:t>Evidence</w:t>
            </w:r>
          </w:p>
        </w:tc>
      </w:tr>
      <w:tr>
        <w:tc>
          <w:tcPr>
            <w:tcW w:type="dxa" w:w="1800"/>
            <w:tcMar>
              <w:top w:w="90" w:type="dxa"/>
              <w:start w:w="120" w:type="dxa"/>
              <w:bottom w:w="90" w:type="dxa"/>
              <w:end w:w="120" w:type="dxa"/>
            </w:tcMar>
            <w:vAlign w:val="center"/>
          </w:tcPr>
          <w:p>
            <w:pPr>
              <w:spacing w:after="0" w:line="252" w:lineRule="auto"/>
              <w:jc w:val="center"/>
            </w:pPr>
            <w:r>
              <w:rPr>
                <w:rFonts w:ascii="Calibri" w:hAnsi="Calibri"/>
                <w:color w:val="1F2933"/>
                <w:sz w:val="18"/>
              </w:rPr>
              <w:t>GPU</w:t>
            </w:r>
          </w:p>
        </w:tc>
        <w:tc>
          <w:tcPr>
            <w:tcW w:type="dxa" w:w="4100"/>
            <w:tcMar>
              <w:top w:w="90" w:type="dxa"/>
              <w:start w:w="120" w:type="dxa"/>
              <w:bottom w:w="90" w:type="dxa"/>
              <w:end w:w="120" w:type="dxa"/>
            </w:tcMar>
            <w:vAlign w:val="center"/>
          </w:tcPr>
          <w:p>
            <w:pPr>
              <w:spacing w:after="0" w:line="252" w:lineRule="auto"/>
              <w:jc w:val="left"/>
            </w:pPr>
            <w:r>
              <w:rPr>
                <w:rFonts w:ascii="Calibri" w:hAnsi="Calibri"/>
                <w:color w:val="1F2933"/>
                <w:sz w:val="18"/>
              </w:rPr>
              <w:t>NVIDIA A100-SXM4-80GB</w:t>
            </w:r>
          </w:p>
        </w:tc>
        <w:tc>
          <w:tcPr>
            <w:tcW w:type="dxa" w:w="3460"/>
            <w:tcMar>
              <w:top w:w="90" w:type="dxa"/>
              <w:start w:w="120" w:type="dxa"/>
              <w:bottom w:w="90" w:type="dxa"/>
              <w:end w:w="120" w:type="dxa"/>
            </w:tcMar>
            <w:vAlign w:val="center"/>
          </w:tcPr>
          <w:p>
            <w:pPr>
              <w:spacing w:after="0" w:line="252" w:lineRule="auto"/>
              <w:jc w:val="left"/>
            </w:pPr>
            <w:r>
              <w:rPr>
                <w:rFonts w:ascii="Calibri" w:hAnsi="Calibri"/>
                <w:color w:val="1F2933"/>
                <w:sz w:val="18"/>
              </w:rPr>
              <w:t>Available and CUDA-enabled</w:t>
            </w:r>
          </w:p>
        </w:tc>
      </w:tr>
      <w:tr>
        <w:tc>
          <w:tcPr>
            <w:tcW w:type="dxa" w:w="18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Precision</w:t>
            </w:r>
          </w:p>
        </w:tc>
        <w:tc>
          <w:tcPr>
            <w:tcW w:type="dxa" w:w="41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FP16/BF16 functional checks</w:t>
            </w:r>
          </w:p>
        </w:tc>
        <w:tc>
          <w:tcPr>
            <w:tcW w:type="dxa" w:w="346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Passed</w:t>
            </w:r>
          </w:p>
        </w:tc>
      </w:tr>
      <w:tr>
        <w:tc>
          <w:tcPr>
            <w:tcW w:type="dxa" w:w="1800"/>
            <w:tcMar>
              <w:top w:w="90" w:type="dxa"/>
              <w:start w:w="120" w:type="dxa"/>
              <w:bottom w:w="90" w:type="dxa"/>
              <w:end w:w="120" w:type="dxa"/>
            </w:tcMar>
            <w:vAlign w:val="center"/>
          </w:tcPr>
          <w:p>
            <w:pPr>
              <w:spacing w:after="0" w:line="252" w:lineRule="auto"/>
              <w:jc w:val="left"/>
            </w:pPr>
            <w:r>
              <w:rPr>
                <w:rFonts w:ascii="Calibri" w:hAnsi="Calibri"/>
                <w:color w:val="1F2933"/>
                <w:sz w:val="18"/>
              </w:rPr>
              <w:t>Path registry</w:t>
            </w:r>
          </w:p>
        </w:tc>
        <w:tc>
          <w:tcPr>
            <w:tcW w:type="dxa" w:w="4100"/>
            <w:tcMar>
              <w:top w:w="90" w:type="dxa"/>
              <w:start w:w="120" w:type="dxa"/>
              <w:bottom w:w="90" w:type="dxa"/>
              <w:end w:w="120" w:type="dxa"/>
            </w:tcMar>
            <w:vAlign w:val="center"/>
          </w:tcPr>
          <w:p>
            <w:pPr>
              <w:spacing w:after="0" w:line="252" w:lineRule="auto"/>
              <w:jc w:val="left"/>
            </w:pPr>
            <w:r>
              <w:rPr>
                <w:rFonts w:ascii="Calibri" w:hAnsi="Calibri"/>
                <w:color w:val="1F2933"/>
                <w:sz w:val="18"/>
              </w:rPr>
              <w:t>configs/paths.yaml</w:t>
            </w:r>
          </w:p>
        </w:tc>
        <w:tc>
          <w:tcPr>
            <w:tcW w:type="dxa" w:w="3460"/>
            <w:tcMar>
              <w:top w:w="90" w:type="dxa"/>
              <w:start w:w="120" w:type="dxa"/>
              <w:bottom w:w="90" w:type="dxa"/>
              <w:end w:w="120" w:type="dxa"/>
            </w:tcMar>
            <w:vAlign w:val="center"/>
          </w:tcPr>
          <w:p>
            <w:pPr>
              <w:spacing w:after="0" w:line="252" w:lineRule="auto"/>
              <w:jc w:val="left"/>
            </w:pPr>
            <w:r>
              <w:rPr>
                <w:rFonts w:ascii="Calibri" w:hAnsi="Calibri"/>
                <w:color w:val="1F2933"/>
                <w:sz w:val="18"/>
              </w:rPr>
              <w:t>Created and reused</w:t>
            </w:r>
          </w:p>
        </w:tc>
      </w:tr>
      <w:tr>
        <w:tc>
          <w:tcPr>
            <w:tcW w:type="dxa" w:w="18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Experiment tracking</w:t>
            </w:r>
          </w:p>
        </w:tc>
        <w:tc>
          <w:tcPr>
            <w:tcW w:type="dxa" w:w="41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File-based MLflow URI</w:t>
            </w:r>
          </w:p>
        </w:tc>
        <w:tc>
          <w:tcPr>
            <w:tcW w:type="dxa" w:w="346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Routed to persistent volume</w:t>
            </w:r>
          </w:p>
        </w:tc>
      </w:tr>
      <w:tr>
        <w:tc>
          <w:tcPr>
            <w:tcW w:type="dxa" w:w="1800"/>
            <w:tcMar>
              <w:top w:w="90" w:type="dxa"/>
              <w:start w:w="120" w:type="dxa"/>
              <w:bottom w:w="90" w:type="dxa"/>
              <w:end w:w="120" w:type="dxa"/>
            </w:tcMar>
            <w:vAlign w:val="center"/>
          </w:tcPr>
          <w:p>
            <w:pPr>
              <w:spacing w:after="0" w:line="252" w:lineRule="auto"/>
              <w:jc w:val="left"/>
            </w:pPr>
            <w:r>
              <w:rPr>
                <w:rFonts w:ascii="Calibri" w:hAnsi="Calibri"/>
                <w:color w:val="1F2933"/>
                <w:sz w:val="18"/>
              </w:rPr>
              <w:t>Storage reserve</w:t>
            </w:r>
          </w:p>
        </w:tc>
        <w:tc>
          <w:tcPr>
            <w:tcW w:type="dxa" w:w="4100"/>
            <w:tcMar>
              <w:top w:w="90" w:type="dxa"/>
              <w:start w:w="120" w:type="dxa"/>
              <w:bottom w:w="90" w:type="dxa"/>
              <w:end w:w="120" w:type="dxa"/>
            </w:tcMar>
            <w:vAlign w:val="center"/>
          </w:tcPr>
          <w:p>
            <w:pPr>
              <w:spacing w:after="0" w:line="252" w:lineRule="auto"/>
              <w:jc w:val="left"/>
            </w:pPr>
            <w:r>
              <w:rPr>
                <w:rFonts w:ascii="Calibri" w:hAnsi="Calibri"/>
                <w:color w:val="1F2933"/>
                <w:sz w:val="18"/>
              </w:rPr>
              <w:t>4.00 GiB protected</w:t>
            </w:r>
          </w:p>
        </w:tc>
        <w:tc>
          <w:tcPr>
            <w:tcW w:type="dxa" w:w="3460"/>
            <w:tcMar>
              <w:top w:w="90" w:type="dxa"/>
              <w:start w:w="120" w:type="dxa"/>
              <w:bottom w:w="90" w:type="dxa"/>
              <w:end w:w="120" w:type="dxa"/>
            </w:tcMar>
            <w:vAlign w:val="center"/>
          </w:tcPr>
          <w:p>
            <w:pPr>
              <w:spacing w:after="0" w:line="252" w:lineRule="auto"/>
              <w:jc w:val="left"/>
            </w:pPr>
            <w:r>
              <w:rPr>
                <w:rFonts w:ascii="Calibri" w:hAnsi="Calibri"/>
                <w:color w:val="1F2933"/>
                <w:sz w:val="18"/>
              </w:rPr>
              <w:t>8.71 GiB free at final audit</w:t>
            </w:r>
          </w:p>
        </w:tc>
      </w:tr>
      <w:tr>
        <w:tc>
          <w:tcPr>
            <w:tcW w:type="dxa" w:w="18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Final gate</w:t>
            </w:r>
          </w:p>
        </w:tc>
        <w:tc>
          <w:tcPr>
            <w:tcW w:type="dxa" w:w="41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Environment readiness</w:t>
            </w:r>
          </w:p>
        </w:tc>
        <w:tc>
          <w:tcPr>
            <w:tcW w:type="dxa" w:w="346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Ready for data engineering</w:t>
            </w:r>
          </w:p>
        </w:tc>
      </w:tr>
    </w:tbl>
    <w:p>
      <w:pPr>
        <w:spacing w:after="40"/>
      </w:pPr>
    </w:p>
    <w:p>
      <w:pPr>
        <w:keepLines w:val="0"/>
        <w:spacing w:after="160" w:line="300" w:lineRule="auto"/>
        <w:jc w:val="both"/>
      </w:pPr>
      <w:r>
        <w:rPr>
          <w:rFonts w:ascii="Calibri" w:hAnsi="Calibri"/>
          <w:i w:val="0"/>
          <w:color w:val="1F2933"/>
          <w:sz w:val="22"/>
        </w:rPr>
        <w:t>Centralized configuration prevents later notebooks from silently diverging on label ordering, image resolution, storage locations or model versions. Cache routing also avoids exhausting the root filesystem during model retrieval and full-model fine-tuning.</w:t>
      </w:r>
    </w:p>
    <w:p>
      <w:pPr>
        <w:pStyle w:val="Heading1"/>
        <w:pBdr>
          <w:bottom w:val="single" w:sz="10" w:space="4" w:color="E9C46A"/>
        </w:pBdr>
      </w:pPr>
      <w:r>
        <w:t>6. Dataset Engineering and Exploratory Analysis</w:t>
      </w:r>
    </w:p>
    <w:p>
      <w:pPr>
        <w:keepLines w:val="0"/>
        <w:spacing w:after="160" w:line="300" w:lineRule="auto"/>
        <w:jc w:val="both"/>
      </w:pPr>
      <w:r>
        <w:rPr>
          <w:rFonts w:ascii="Calibri" w:hAnsi="Calibri"/>
          <w:i w:val="0"/>
          <w:color w:val="1F2933"/>
          <w:sz w:val="22"/>
        </w:rPr>
        <w:t>ChestMNIST is a standardized multilabel chest X-ray dataset with fourteen binary findings. The project uses the 224 x 224 archive and preserves the official train, validation and test partitions. Every image can have zero, one or multiple positive labels; therefore the target is a fourteen-element binary vector rather than a single softmax class.</w:t>
      </w:r>
    </w:p>
    <w:p>
      <w:pPr>
        <w:keepNext/>
        <w:spacing w:after="0"/>
        <w:jc w:val="center"/>
      </w:pPr>
      <w:r>
        <w:drawing>
          <wp:inline xmlns:a="http://schemas.openxmlformats.org/drawingml/2006/main" xmlns:pic="http://schemas.openxmlformats.org/drawingml/2006/picture">
            <wp:extent cx="5715000" cy="5083406"/>
            <wp:docPr id="5" name="Picture 5" title="Report figure: Fixed ChestMNIST train, validation and isolated-test partitions." descr="Fixed ChestMNIST train, validation and isolated-test partitions."/>
            <wp:cNvGraphicFramePr>
              <a:graphicFrameLocks noChangeAspect="1"/>
            </wp:cNvGraphicFramePr>
            <a:graphic>
              <a:graphicData uri="http://schemas.openxmlformats.org/drawingml/2006/picture">
                <pic:pic>
                  <pic:nvPicPr>
                    <pic:cNvPr id="0" name="data_split.png"/>
                    <pic:cNvPicPr/>
                  </pic:nvPicPr>
                  <pic:blipFill>
                    <a:blip r:embed="rId15"/>
                    <a:stretch>
                      <a:fillRect/>
                    </a:stretch>
                  </pic:blipFill>
                  <pic:spPr>
                    <a:xfrm>
                      <a:off x="0" y="0"/>
                      <a:ext cx="5715000" cy="5083406"/>
                    </a:xfrm>
                    <a:prstGeom prst="rect"/>
                  </pic:spPr>
                </pic:pic>
              </a:graphicData>
            </a:graphic>
          </wp:inline>
        </w:drawing>
      </w:r>
    </w:p>
    <w:p>
      <w:pPr>
        <w:pStyle w:val="Caption"/>
        <w:jc w:val="center"/>
      </w:pPr>
      <w:r>
        <w:rPr>
          <w:rFonts w:ascii="Calibri" w:hAnsi="Calibri"/>
          <w:i/>
          <w:color w:val="66737F"/>
          <w:sz w:val="18"/>
        </w:rPr>
        <w:t>Figure 5. Fixed ChestMNIST train, validation and isolated-test partitions. Source: Notebook 2.</w:t>
      </w:r>
    </w:p>
    <w:tbl>
      <w:tblPr>
        <w:tblStyle w:val="TableGrid"/>
        <w:tblW w:type="dxa" w:w="9360"/>
        <w:tblLayout w:type="fixed"/>
        <w:tblLook w:firstColumn="1" w:firstRow="1" w:lastColumn="0" w:lastRow="0" w:noHBand="0" w:noVBand="1" w:val="04A0"/>
        <w:tblInd w:w="120" w:type="dxa"/>
      </w:tblPr>
      <w:tblGrid>
        <w:gridCol w:w="1600"/>
        <w:gridCol w:w="7760"/>
      </w:tblGrid>
      <w:tr>
        <w:trPr>
          <w:tblHeader w:val="true"/>
        </w:trPr>
        <w:tc>
          <w:tcPr>
            <w:tcW w:type="dxa" w:w="1600"/>
            <w:tcMar>
              <w:top w:w="90" w:type="dxa"/>
              <w:start w:w="120" w:type="dxa"/>
              <w:bottom w:w="90" w:type="dxa"/>
              <w:end w:w="120" w:type="dxa"/>
            </w:tcMar>
            <w:vAlign w:val="center"/>
            <w:shd w:fill="12372A"/>
          </w:tcPr>
          <w:p>
            <w:pPr>
              <w:spacing w:after="0"/>
              <w:jc w:val="center"/>
            </w:pPr>
            <w:r>
              <w:rPr>
                <w:rFonts w:ascii="Calibri" w:hAnsi="Calibri"/>
                <w:b/>
                <w:color w:val="FFFFFF"/>
                <w:sz w:val="18"/>
              </w:rPr>
              <w:t>Label ID</w:t>
            </w:r>
          </w:p>
        </w:tc>
        <w:tc>
          <w:tcPr>
            <w:tcW w:type="dxa" w:w="7760"/>
            <w:tcMar>
              <w:top w:w="90" w:type="dxa"/>
              <w:start w:w="120" w:type="dxa"/>
              <w:bottom w:w="90" w:type="dxa"/>
              <w:end w:w="120" w:type="dxa"/>
            </w:tcMar>
            <w:vAlign w:val="center"/>
            <w:shd w:fill="12372A"/>
          </w:tcPr>
          <w:p>
            <w:pPr>
              <w:spacing w:after="0"/>
              <w:jc w:val="center"/>
            </w:pPr>
            <w:r>
              <w:rPr>
                <w:rFonts w:ascii="Calibri" w:hAnsi="Calibri"/>
                <w:b/>
                <w:color w:val="FFFFFF"/>
                <w:sz w:val="18"/>
              </w:rPr>
              <w:t>Finding</w:t>
            </w:r>
          </w:p>
        </w:tc>
      </w:tr>
      <w:tr>
        <w:tc>
          <w:tcPr>
            <w:tcW w:type="dxa" w:w="1600"/>
            <w:tcMar>
              <w:top w:w="90" w:type="dxa"/>
              <w:start w:w="120" w:type="dxa"/>
              <w:bottom w:w="90" w:type="dxa"/>
              <w:end w:w="120" w:type="dxa"/>
            </w:tcMar>
            <w:vAlign w:val="center"/>
          </w:tcPr>
          <w:p>
            <w:pPr>
              <w:spacing w:after="0" w:line="252" w:lineRule="auto"/>
              <w:jc w:val="center"/>
            </w:pPr>
            <w:r>
              <w:rPr>
                <w:rFonts w:ascii="Calibri" w:hAnsi="Calibri"/>
                <w:color w:val="1F2933"/>
                <w:sz w:val="18"/>
              </w:rPr>
              <w:t>0</w:t>
            </w:r>
          </w:p>
        </w:tc>
        <w:tc>
          <w:tcPr>
            <w:tcW w:type="dxa" w:w="7760"/>
            <w:tcMar>
              <w:top w:w="90" w:type="dxa"/>
              <w:start w:w="120" w:type="dxa"/>
              <w:bottom w:w="90" w:type="dxa"/>
              <w:end w:w="120" w:type="dxa"/>
            </w:tcMar>
            <w:vAlign w:val="center"/>
          </w:tcPr>
          <w:p>
            <w:pPr>
              <w:spacing w:after="0" w:line="252" w:lineRule="auto"/>
              <w:jc w:val="center"/>
            </w:pPr>
            <w:r>
              <w:rPr>
                <w:rFonts w:ascii="Calibri" w:hAnsi="Calibri"/>
                <w:color w:val="1F2933"/>
                <w:sz w:val="18"/>
              </w:rPr>
              <w:t>Atelectasis</w:t>
            </w:r>
          </w:p>
        </w:tc>
      </w:tr>
      <w:tr>
        <w:tc>
          <w:tcPr>
            <w:tcW w:type="dxa" w:w="16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1</w:t>
            </w:r>
          </w:p>
        </w:tc>
        <w:tc>
          <w:tcPr>
            <w:tcW w:type="dxa" w:w="776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Cardiomegaly</w:t>
            </w:r>
          </w:p>
        </w:tc>
      </w:tr>
      <w:tr>
        <w:tc>
          <w:tcPr>
            <w:tcW w:type="dxa" w:w="1600"/>
            <w:tcMar>
              <w:top w:w="90" w:type="dxa"/>
              <w:start w:w="120" w:type="dxa"/>
              <w:bottom w:w="90" w:type="dxa"/>
              <w:end w:w="120" w:type="dxa"/>
            </w:tcMar>
            <w:vAlign w:val="center"/>
          </w:tcPr>
          <w:p>
            <w:pPr>
              <w:spacing w:after="0" w:line="252" w:lineRule="auto"/>
              <w:jc w:val="center"/>
            </w:pPr>
            <w:r>
              <w:rPr>
                <w:rFonts w:ascii="Calibri" w:hAnsi="Calibri"/>
                <w:color w:val="1F2933"/>
                <w:sz w:val="18"/>
              </w:rPr>
              <w:t>2</w:t>
            </w:r>
          </w:p>
        </w:tc>
        <w:tc>
          <w:tcPr>
            <w:tcW w:type="dxa" w:w="7760"/>
            <w:tcMar>
              <w:top w:w="90" w:type="dxa"/>
              <w:start w:w="120" w:type="dxa"/>
              <w:bottom w:w="90" w:type="dxa"/>
              <w:end w:w="120" w:type="dxa"/>
            </w:tcMar>
            <w:vAlign w:val="center"/>
          </w:tcPr>
          <w:p>
            <w:pPr>
              <w:spacing w:after="0" w:line="252" w:lineRule="auto"/>
              <w:jc w:val="center"/>
            </w:pPr>
            <w:r>
              <w:rPr>
                <w:rFonts w:ascii="Calibri" w:hAnsi="Calibri"/>
                <w:color w:val="1F2933"/>
                <w:sz w:val="18"/>
              </w:rPr>
              <w:t>Effusion</w:t>
            </w:r>
          </w:p>
        </w:tc>
      </w:tr>
      <w:tr>
        <w:tc>
          <w:tcPr>
            <w:tcW w:type="dxa" w:w="16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3</w:t>
            </w:r>
          </w:p>
        </w:tc>
        <w:tc>
          <w:tcPr>
            <w:tcW w:type="dxa" w:w="776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Infiltration</w:t>
            </w:r>
          </w:p>
        </w:tc>
      </w:tr>
      <w:tr>
        <w:tc>
          <w:tcPr>
            <w:tcW w:type="dxa" w:w="1600"/>
            <w:tcMar>
              <w:top w:w="90" w:type="dxa"/>
              <w:start w:w="120" w:type="dxa"/>
              <w:bottom w:w="90" w:type="dxa"/>
              <w:end w:w="120" w:type="dxa"/>
            </w:tcMar>
            <w:vAlign w:val="center"/>
          </w:tcPr>
          <w:p>
            <w:pPr>
              <w:spacing w:after="0" w:line="252" w:lineRule="auto"/>
              <w:jc w:val="center"/>
            </w:pPr>
            <w:r>
              <w:rPr>
                <w:rFonts w:ascii="Calibri" w:hAnsi="Calibri"/>
                <w:color w:val="1F2933"/>
                <w:sz w:val="18"/>
              </w:rPr>
              <w:t>4</w:t>
            </w:r>
          </w:p>
        </w:tc>
        <w:tc>
          <w:tcPr>
            <w:tcW w:type="dxa" w:w="7760"/>
            <w:tcMar>
              <w:top w:w="90" w:type="dxa"/>
              <w:start w:w="120" w:type="dxa"/>
              <w:bottom w:w="90" w:type="dxa"/>
              <w:end w:w="120" w:type="dxa"/>
            </w:tcMar>
            <w:vAlign w:val="center"/>
          </w:tcPr>
          <w:p>
            <w:pPr>
              <w:spacing w:after="0" w:line="252" w:lineRule="auto"/>
              <w:jc w:val="center"/>
            </w:pPr>
            <w:r>
              <w:rPr>
                <w:rFonts w:ascii="Calibri" w:hAnsi="Calibri"/>
                <w:color w:val="1F2933"/>
                <w:sz w:val="18"/>
              </w:rPr>
              <w:t>Mass</w:t>
            </w:r>
          </w:p>
        </w:tc>
      </w:tr>
      <w:tr>
        <w:tc>
          <w:tcPr>
            <w:tcW w:type="dxa" w:w="16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5</w:t>
            </w:r>
          </w:p>
        </w:tc>
        <w:tc>
          <w:tcPr>
            <w:tcW w:type="dxa" w:w="776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Nodule</w:t>
            </w:r>
          </w:p>
        </w:tc>
      </w:tr>
      <w:tr>
        <w:tc>
          <w:tcPr>
            <w:tcW w:type="dxa" w:w="1600"/>
            <w:tcMar>
              <w:top w:w="90" w:type="dxa"/>
              <w:start w:w="120" w:type="dxa"/>
              <w:bottom w:w="90" w:type="dxa"/>
              <w:end w:w="120" w:type="dxa"/>
            </w:tcMar>
            <w:vAlign w:val="center"/>
          </w:tcPr>
          <w:p>
            <w:pPr>
              <w:spacing w:after="0" w:line="252" w:lineRule="auto"/>
              <w:jc w:val="center"/>
            </w:pPr>
            <w:r>
              <w:rPr>
                <w:rFonts w:ascii="Calibri" w:hAnsi="Calibri"/>
                <w:color w:val="1F2933"/>
                <w:sz w:val="18"/>
              </w:rPr>
              <w:t>6</w:t>
            </w:r>
          </w:p>
        </w:tc>
        <w:tc>
          <w:tcPr>
            <w:tcW w:type="dxa" w:w="7760"/>
            <w:tcMar>
              <w:top w:w="90" w:type="dxa"/>
              <w:start w:w="120" w:type="dxa"/>
              <w:bottom w:w="90" w:type="dxa"/>
              <w:end w:w="120" w:type="dxa"/>
            </w:tcMar>
            <w:vAlign w:val="center"/>
          </w:tcPr>
          <w:p>
            <w:pPr>
              <w:spacing w:after="0" w:line="252" w:lineRule="auto"/>
              <w:jc w:val="center"/>
            </w:pPr>
            <w:r>
              <w:rPr>
                <w:rFonts w:ascii="Calibri" w:hAnsi="Calibri"/>
                <w:color w:val="1F2933"/>
                <w:sz w:val="18"/>
              </w:rPr>
              <w:t>Pneumonia</w:t>
            </w:r>
          </w:p>
        </w:tc>
      </w:tr>
      <w:tr>
        <w:tc>
          <w:tcPr>
            <w:tcW w:type="dxa" w:w="16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7</w:t>
            </w:r>
          </w:p>
        </w:tc>
        <w:tc>
          <w:tcPr>
            <w:tcW w:type="dxa" w:w="776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Pneumothorax</w:t>
            </w:r>
          </w:p>
        </w:tc>
      </w:tr>
      <w:tr>
        <w:tc>
          <w:tcPr>
            <w:tcW w:type="dxa" w:w="1600"/>
            <w:tcMar>
              <w:top w:w="90" w:type="dxa"/>
              <w:start w:w="120" w:type="dxa"/>
              <w:bottom w:w="90" w:type="dxa"/>
              <w:end w:w="120" w:type="dxa"/>
            </w:tcMar>
            <w:vAlign w:val="center"/>
          </w:tcPr>
          <w:p>
            <w:pPr>
              <w:spacing w:after="0" w:line="252" w:lineRule="auto"/>
              <w:jc w:val="center"/>
            </w:pPr>
            <w:r>
              <w:rPr>
                <w:rFonts w:ascii="Calibri" w:hAnsi="Calibri"/>
                <w:color w:val="1F2933"/>
                <w:sz w:val="18"/>
              </w:rPr>
              <w:t>8</w:t>
            </w:r>
          </w:p>
        </w:tc>
        <w:tc>
          <w:tcPr>
            <w:tcW w:type="dxa" w:w="7760"/>
            <w:tcMar>
              <w:top w:w="90" w:type="dxa"/>
              <w:start w:w="120" w:type="dxa"/>
              <w:bottom w:w="90" w:type="dxa"/>
              <w:end w:w="120" w:type="dxa"/>
            </w:tcMar>
            <w:vAlign w:val="center"/>
          </w:tcPr>
          <w:p>
            <w:pPr>
              <w:spacing w:after="0" w:line="252" w:lineRule="auto"/>
              <w:jc w:val="left"/>
            </w:pPr>
            <w:r>
              <w:rPr>
                <w:rFonts w:ascii="Calibri" w:hAnsi="Calibri"/>
                <w:color w:val="1F2933"/>
                <w:sz w:val="18"/>
              </w:rPr>
              <w:t>Consolidation</w:t>
            </w:r>
          </w:p>
        </w:tc>
      </w:tr>
      <w:tr>
        <w:tc>
          <w:tcPr>
            <w:tcW w:type="dxa" w:w="16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9</w:t>
            </w:r>
          </w:p>
        </w:tc>
        <w:tc>
          <w:tcPr>
            <w:tcW w:type="dxa" w:w="776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Edema</w:t>
            </w:r>
          </w:p>
        </w:tc>
      </w:tr>
      <w:tr>
        <w:tc>
          <w:tcPr>
            <w:tcW w:type="dxa" w:w="1600"/>
            <w:tcMar>
              <w:top w:w="90" w:type="dxa"/>
              <w:start w:w="120" w:type="dxa"/>
              <w:bottom w:w="90" w:type="dxa"/>
              <w:end w:w="120" w:type="dxa"/>
            </w:tcMar>
            <w:vAlign w:val="center"/>
          </w:tcPr>
          <w:p>
            <w:pPr>
              <w:spacing w:after="0" w:line="252" w:lineRule="auto"/>
              <w:jc w:val="center"/>
            </w:pPr>
            <w:r>
              <w:rPr>
                <w:rFonts w:ascii="Calibri" w:hAnsi="Calibri"/>
                <w:color w:val="1F2933"/>
                <w:sz w:val="18"/>
              </w:rPr>
              <w:t>10</w:t>
            </w:r>
          </w:p>
        </w:tc>
        <w:tc>
          <w:tcPr>
            <w:tcW w:type="dxa" w:w="7760"/>
            <w:tcMar>
              <w:top w:w="90" w:type="dxa"/>
              <w:start w:w="120" w:type="dxa"/>
              <w:bottom w:w="90" w:type="dxa"/>
              <w:end w:w="120" w:type="dxa"/>
            </w:tcMar>
            <w:vAlign w:val="center"/>
          </w:tcPr>
          <w:p>
            <w:pPr>
              <w:spacing w:after="0" w:line="252" w:lineRule="auto"/>
              <w:jc w:val="center"/>
            </w:pPr>
            <w:r>
              <w:rPr>
                <w:rFonts w:ascii="Calibri" w:hAnsi="Calibri"/>
                <w:color w:val="1F2933"/>
                <w:sz w:val="18"/>
              </w:rPr>
              <w:t>Emphysema</w:t>
            </w:r>
          </w:p>
        </w:tc>
      </w:tr>
      <w:tr>
        <w:tc>
          <w:tcPr>
            <w:tcW w:type="dxa" w:w="16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11</w:t>
            </w:r>
          </w:p>
        </w:tc>
        <w:tc>
          <w:tcPr>
            <w:tcW w:type="dxa" w:w="776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Fibrosis</w:t>
            </w:r>
          </w:p>
        </w:tc>
      </w:tr>
      <w:tr>
        <w:tc>
          <w:tcPr>
            <w:tcW w:type="dxa" w:w="1600"/>
            <w:tcMar>
              <w:top w:w="90" w:type="dxa"/>
              <w:start w:w="120" w:type="dxa"/>
              <w:bottom w:w="90" w:type="dxa"/>
              <w:end w:w="120" w:type="dxa"/>
            </w:tcMar>
            <w:vAlign w:val="center"/>
          </w:tcPr>
          <w:p>
            <w:pPr>
              <w:spacing w:after="0" w:line="252" w:lineRule="auto"/>
              <w:jc w:val="center"/>
            </w:pPr>
            <w:r>
              <w:rPr>
                <w:rFonts w:ascii="Calibri" w:hAnsi="Calibri"/>
                <w:color w:val="1F2933"/>
                <w:sz w:val="18"/>
              </w:rPr>
              <w:t>12</w:t>
            </w:r>
          </w:p>
        </w:tc>
        <w:tc>
          <w:tcPr>
            <w:tcW w:type="dxa" w:w="7760"/>
            <w:tcMar>
              <w:top w:w="90" w:type="dxa"/>
              <w:start w:w="120" w:type="dxa"/>
              <w:bottom w:w="90" w:type="dxa"/>
              <w:end w:w="120" w:type="dxa"/>
            </w:tcMar>
            <w:vAlign w:val="center"/>
          </w:tcPr>
          <w:p>
            <w:pPr>
              <w:spacing w:after="0" w:line="252" w:lineRule="auto"/>
              <w:jc w:val="left"/>
            </w:pPr>
            <w:r>
              <w:rPr>
                <w:rFonts w:ascii="Calibri" w:hAnsi="Calibri"/>
                <w:color w:val="1F2933"/>
                <w:sz w:val="18"/>
              </w:rPr>
              <w:t>Pleural abnormality</w:t>
            </w:r>
          </w:p>
        </w:tc>
      </w:tr>
      <w:tr>
        <w:tc>
          <w:tcPr>
            <w:tcW w:type="dxa" w:w="16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13</w:t>
            </w:r>
          </w:p>
        </w:tc>
        <w:tc>
          <w:tcPr>
            <w:tcW w:type="dxa" w:w="776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Hernia</w:t>
            </w:r>
          </w:p>
        </w:tc>
      </w:tr>
    </w:tbl>
    <w:p>
      <w:pPr>
        <w:spacing w:after="40"/>
      </w:pPr>
    </w:p>
    <w:p>
      <w:pPr>
        <w:keepNext/>
        <w:spacing w:after="0"/>
        <w:jc w:val="center"/>
      </w:pPr>
      <w:r>
        <w:drawing>
          <wp:inline xmlns:a="http://schemas.openxmlformats.org/drawingml/2006/main" xmlns:pic="http://schemas.openxmlformats.org/drawingml/2006/picture">
            <wp:extent cx="5715000" cy="3625814"/>
            <wp:docPr id="6" name="Picture 6" title="Report figure: Training-set prevalence across the fourteen supported findings." descr="Training-set prevalence across the fourteen supported findings."/>
            <wp:cNvGraphicFramePr>
              <a:graphicFrameLocks noChangeAspect="1"/>
            </wp:cNvGraphicFramePr>
            <a:graphic>
              <a:graphicData uri="http://schemas.openxmlformats.org/drawingml/2006/picture">
                <pic:pic>
                  <pic:nvPicPr>
                    <pic:cNvPr id="0" name="nb02_01_3_3_Finding_Prevalence_Visualization.png"/>
                    <pic:cNvPicPr/>
                  </pic:nvPicPr>
                  <pic:blipFill>
                    <a:blip r:embed="rId16"/>
                    <a:stretch>
                      <a:fillRect/>
                    </a:stretch>
                  </pic:blipFill>
                  <pic:spPr>
                    <a:xfrm>
                      <a:off x="0" y="0"/>
                      <a:ext cx="5715000" cy="3625814"/>
                    </a:xfrm>
                    <a:prstGeom prst="rect"/>
                  </pic:spPr>
                </pic:pic>
              </a:graphicData>
            </a:graphic>
          </wp:inline>
        </w:drawing>
      </w:r>
    </w:p>
    <w:p>
      <w:pPr>
        <w:pStyle w:val="Caption"/>
        <w:jc w:val="center"/>
      </w:pPr>
      <w:r>
        <w:rPr>
          <w:rFonts w:ascii="Calibri" w:hAnsi="Calibri"/>
          <w:i/>
          <w:color w:val="66737F"/>
          <w:sz w:val="18"/>
        </w:rPr>
        <w:t>Figure 6. Training-set prevalence across the fourteen supported findings. Source: Notebook 2 embedded output.</w:t>
      </w:r>
    </w:p>
    <w:p>
      <w:pPr>
        <w:keepLines w:val="0"/>
        <w:spacing w:after="160" w:line="300" w:lineRule="auto"/>
        <w:jc w:val="both"/>
      </w:pPr>
      <w:r>
        <w:rPr>
          <w:rFonts w:ascii="Calibri" w:hAnsi="Calibri"/>
          <w:i w:val="0"/>
          <w:color w:val="1F2933"/>
          <w:sz w:val="22"/>
        </w:rPr>
        <w:t>The prevalence plot demonstrates strong class imbalance. Infiltration is the most frequent training finding at 17.73%, followed by effusion at 11.80% and atelectasis at 10.19%. Hernia is extremely rare at 0.18%. Positive-class weights therefore range from 4.64 for infiltration to a raw 543.92 for hernia; the hernia weight is capped at 100 to control optimization instability.</w:t>
      </w:r>
    </w:p>
    <w:p>
      <w:pPr>
        <w:keepNext/>
        <w:spacing w:after="0"/>
        <w:jc w:val="center"/>
      </w:pPr>
      <w:r>
        <w:drawing>
          <wp:inline xmlns:a="http://schemas.openxmlformats.org/drawingml/2006/main" xmlns:pic="http://schemas.openxmlformats.org/drawingml/2006/picture">
            <wp:extent cx="5715000" cy="3403574"/>
            <wp:docPr id="7" name="Picture 7" title="Report figure: Distribution of no-target, single-finding and multiple-finding records." descr="Distribution of no-target, single-finding and multiple-finding records."/>
            <wp:cNvGraphicFramePr>
              <a:graphicFrameLocks noChangeAspect="1"/>
            </wp:cNvGraphicFramePr>
            <a:graphic>
              <a:graphicData uri="http://schemas.openxmlformats.org/drawingml/2006/picture">
                <pic:pic>
                  <pic:nvPicPr>
                    <pic:cNvPr id="0" name="nb02_02_3_5_Finding_Cardinality_Distribution.png"/>
                    <pic:cNvPicPr/>
                  </pic:nvPicPr>
                  <pic:blipFill>
                    <a:blip r:embed="rId17"/>
                    <a:stretch>
                      <a:fillRect/>
                    </a:stretch>
                  </pic:blipFill>
                  <pic:spPr>
                    <a:xfrm>
                      <a:off x="0" y="0"/>
                      <a:ext cx="5715000" cy="3403574"/>
                    </a:xfrm>
                    <a:prstGeom prst="rect"/>
                  </pic:spPr>
                </pic:pic>
              </a:graphicData>
            </a:graphic>
          </wp:inline>
        </w:drawing>
      </w:r>
    </w:p>
    <w:p>
      <w:pPr>
        <w:pStyle w:val="Caption"/>
        <w:jc w:val="center"/>
      </w:pPr>
      <w:r>
        <w:rPr>
          <w:rFonts w:ascii="Calibri" w:hAnsi="Calibri"/>
          <w:i/>
          <w:color w:val="66737F"/>
          <w:sz w:val="18"/>
        </w:rPr>
        <w:t>Figure 7. Distribution of no-target, single-finding and multiple-finding records. Source: Notebook 2 embedded output.</w:t>
      </w:r>
    </w:p>
    <w:p>
      <w:pPr>
        <w:keepLines w:val="0"/>
        <w:spacing w:after="160" w:line="300" w:lineRule="auto"/>
        <w:jc w:val="both"/>
      </w:pPr>
      <w:r>
        <w:rPr>
          <w:rFonts w:ascii="Calibri" w:hAnsi="Calibri"/>
          <w:i w:val="0"/>
          <w:color w:val="1F2933"/>
          <w:sz w:val="22"/>
        </w:rPr>
        <w:t>Within the training split, 54.04% of images have no target finding, 27.53% have exactly one finding and 18.43% contain multiple findings. The mean label cardinality is 0.720, confirming that both sparse positive labels and co-occurring findings must be handled explicitly.</w:t>
      </w:r>
    </w:p>
    <w:p>
      <w:pPr>
        <w:keepNext/>
        <w:spacing w:after="0"/>
        <w:jc w:val="center"/>
      </w:pPr>
      <w:r>
        <w:drawing>
          <wp:inline xmlns:a="http://schemas.openxmlformats.org/drawingml/2006/main" xmlns:pic="http://schemas.openxmlformats.org/drawingml/2006/picture">
            <wp:extent cx="5715000" cy="4687531"/>
            <wp:docPr id="8" name="Picture 8" title="Report figure: Finding co-occurrence counts and Jaccard association heatmap." descr="Finding co-occurrence counts and Jaccard association heatmap."/>
            <wp:cNvGraphicFramePr>
              <a:graphicFrameLocks noChangeAspect="1"/>
            </wp:cNvGraphicFramePr>
            <a:graphic>
              <a:graphicData uri="http://schemas.openxmlformats.org/drawingml/2006/picture">
                <pic:pic>
                  <pic:nvPicPr>
                    <pic:cNvPr id="0" name="nb02_03_3_7_Finding_Association_Heatmap.png"/>
                    <pic:cNvPicPr/>
                  </pic:nvPicPr>
                  <pic:blipFill>
                    <a:blip r:embed="rId18"/>
                    <a:stretch>
                      <a:fillRect/>
                    </a:stretch>
                  </pic:blipFill>
                  <pic:spPr>
                    <a:xfrm>
                      <a:off x="0" y="0"/>
                      <a:ext cx="5715000" cy="4687531"/>
                    </a:xfrm>
                    <a:prstGeom prst="rect"/>
                  </pic:spPr>
                </pic:pic>
              </a:graphicData>
            </a:graphic>
          </wp:inline>
        </w:drawing>
      </w:r>
    </w:p>
    <w:p>
      <w:pPr>
        <w:pStyle w:val="Caption"/>
        <w:jc w:val="center"/>
      </w:pPr>
      <w:r>
        <w:rPr>
          <w:rFonts w:ascii="Calibri" w:hAnsi="Calibri"/>
          <w:i/>
          <w:color w:val="66737F"/>
          <w:sz w:val="18"/>
        </w:rPr>
        <w:t>Figure 8. Finding co-occurrence counts and Jaccard association heatmap. Source: Notebook 2 embedded output.</w:t>
      </w:r>
    </w:p>
    <w:p>
      <w:pPr>
        <w:keepLines w:val="0"/>
        <w:spacing w:after="160" w:line="300" w:lineRule="auto"/>
        <w:jc w:val="both"/>
      </w:pPr>
      <w:r>
        <w:rPr>
          <w:rFonts w:ascii="Calibri" w:hAnsi="Calibri"/>
          <w:i w:val="0"/>
          <w:color w:val="1F2933"/>
          <w:sz w:val="22"/>
        </w:rPr>
        <w:t>The strongest observed pairs include atelectasis-effusion, effusion-infiltration and atelectasis-infiltration. Association analysis supports multilabel modeling because the findings are not mutually exclusive. It also motivates representative-case evaluation instead of relying only on one aggregate score.</w:t>
      </w:r>
    </w:p>
    <w:p>
      <w:pPr>
        <w:keepNext/>
        <w:spacing w:after="0"/>
        <w:jc w:val="center"/>
      </w:pPr>
      <w:r>
        <w:drawing>
          <wp:inline xmlns:a="http://schemas.openxmlformats.org/drawingml/2006/main" xmlns:pic="http://schemas.openxmlformats.org/drawingml/2006/picture">
            <wp:extent cx="5715000" cy="3897990"/>
            <wp:docPr id="9" name="Picture 9" title="Report figure: Representative ChestMNIST images covering no-target, single-finding and multiple-finding cases." descr="Representative ChestMNIST images covering no-target, single-finding and multiple-finding cases."/>
            <wp:cNvGraphicFramePr>
              <a:graphicFrameLocks noChangeAspect="1"/>
            </wp:cNvGraphicFramePr>
            <a:graphic>
              <a:graphicData uri="http://schemas.openxmlformats.org/drawingml/2006/picture">
                <pic:pic>
                  <pic:nvPicPr>
                    <pic:cNvPr id="0" name="nb02_04_4_2_Representative_Chest_X_Ray_Gallery.png"/>
                    <pic:cNvPicPr/>
                  </pic:nvPicPr>
                  <pic:blipFill>
                    <a:blip r:embed="rId19"/>
                    <a:stretch>
                      <a:fillRect/>
                    </a:stretch>
                  </pic:blipFill>
                  <pic:spPr>
                    <a:xfrm>
                      <a:off x="0" y="0"/>
                      <a:ext cx="5715000" cy="3897990"/>
                    </a:xfrm>
                    <a:prstGeom prst="rect"/>
                  </pic:spPr>
                </pic:pic>
              </a:graphicData>
            </a:graphic>
          </wp:inline>
        </w:drawing>
      </w:r>
    </w:p>
    <w:p>
      <w:pPr>
        <w:pStyle w:val="Caption"/>
        <w:jc w:val="center"/>
      </w:pPr>
      <w:r>
        <w:rPr>
          <w:rFonts w:ascii="Calibri" w:hAnsi="Calibri"/>
          <w:i/>
          <w:color w:val="66737F"/>
          <w:sz w:val="18"/>
        </w:rPr>
        <w:t>Figure 9. Representative ChestMNIST images covering no-target, single-finding and multiple-finding cases. Source: Notebook 2 embedded output.</w:t>
      </w:r>
    </w:p>
    <w:p>
      <w:pPr>
        <w:keepLines w:val="0"/>
        <w:spacing w:after="160" w:line="300" w:lineRule="auto"/>
        <w:jc w:val="both"/>
      </w:pPr>
      <w:r>
        <w:rPr>
          <w:rFonts w:ascii="Calibri" w:hAnsi="Calibri"/>
          <w:i w:val="0"/>
          <w:color w:val="1F2933"/>
          <w:sz w:val="22"/>
        </w:rPr>
        <w:t>Training augmentation is deliberately conservative for radiographs: random affine transformations are limited to +/-5 degrees, 2% translation and 0.95-1.05 scaling, while brightness and contrast jitter are limited to 0.9-1.1. All inputs are converted to three channels and normalized with ImageNet statistics to match the pretrained ResNet-18 contract.</w:t>
      </w:r>
    </w:p>
    <w:p>
      <w:pPr>
        <w:pStyle w:val="Heading1"/>
        <w:pBdr>
          <w:bottom w:val="single" w:sz="10" w:space="4" w:color="E9C46A"/>
        </w:pBdr>
      </w:pPr>
      <w:r>
        <w:t>7. Computer-Vision Model Development</w:t>
      </w:r>
    </w:p>
    <w:p>
      <w:pPr>
        <w:keepLines w:val="0"/>
        <w:spacing w:after="160" w:line="300" w:lineRule="auto"/>
        <w:jc w:val="both"/>
      </w:pPr>
      <w:r>
        <w:rPr>
          <w:rFonts w:ascii="Calibri" w:hAnsi="Calibri"/>
          <w:i w:val="0"/>
          <w:color w:val="1F2933"/>
          <w:sz w:val="22"/>
        </w:rPr>
        <w:t>The classifier starts from ImageNet-pretrained ResNet-18 and replaces the final classification layer with fourteen independent logits. Sigmoid converts each logit to a probability. BCEWithLogitsLoss receives the positive-class weights produced by Notebook 2 so rare findings contribute meaningfully during training.</w:t>
      </w:r>
    </w:p>
    <w:tbl>
      <w:tblPr>
        <w:tblStyle w:val="TableGrid"/>
        <w:tblW w:type="dxa" w:w="9360"/>
        <w:tblLayout w:type="fixed"/>
        <w:tblLook w:firstColumn="1" w:firstRow="1" w:lastColumn="0" w:lastRow="0" w:noHBand="0" w:noVBand="1" w:val="04A0"/>
        <w:tblInd w:w="120" w:type="dxa"/>
      </w:tblPr>
      <w:tblGrid>
        <w:gridCol w:w="3300"/>
        <w:gridCol w:w="6060"/>
      </w:tblGrid>
      <w:tr>
        <w:trPr>
          <w:tblHeader w:val="true"/>
        </w:trPr>
        <w:tc>
          <w:tcPr>
            <w:tcW w:type="dxa" w:w="3300"/>
            <w:tcMar>
              <w:top w:w="90" w:type="dxa"/>
              <w:start w:w="120" w:type="dxa"/>
              <w:bottom w:w="90" w:type="dxa"/>
              <w:end w:w="120" w:type="dxa"/>
            </w:tcMar>
            <w:vAlign w:val="center"/>
            <w:shd w:fill="12372A"/>
          </w:tcPr>
          <w:p>
            <w:pPr>
              <w:spacing w:after="0"/>
              <w:jc w:val="center"/>
            </w:pPr>
            <w:r>
              <w:rPr>
                <w:rFonts w:ascii="Calibri" w:hAnsi="Calibri"/>
                <w:b/>
                <w:color w:val="FFFFFF"/>
                <w:sz w:val="18"/>
              </w:rPr>
              <w:t>Model-development element</w:t>
            </w:r>
          </w:p>
        </w:tc>
        <w:tc>
          <w:tcPr>
            <w:tcW w:type="dxa" w:w="6060"/>
            <w:tcMar>
              <w:top w:w="90" w:type="dxa"/>
              <w:start w:w="120" w:type="dxa"/>
              <w:bottom w:w="90" w:type="dxa"/>
              <w:end w:w="120" w:type="dxa"/>
            </w:tcMar>
            <w:vAlign w:val="center"/>
            <w:shd w:fill="12372A"/>
          </w:tcPr>
          <w:p>
            <w:pPr>
              <w:spacing w:after="0"/>
              <w:jc w:val="center"/>
            </w:pPr>
            <w:r>
              <w:rPr>
                <w:rFonts w:ascii="Calibri" w:hAnsi="Calibri"/>
                <w:b/>
                <w:color w:val="FFFFFF"/>
                <w:sz w:val="18"/>
              </w:rPr>
              <w:t>Persisted value</w:t>
            </w:r>
          </w:p>
        </w:tc>
      </w:tr>
      <w:tr>
        <w:tc>
          <w:tcPr>
            <w:tcW w:type="dxa" w:w="3300"/>
            <w:tcMar>
              <w:top w:w="90" w:type="dxa"/>
              <w:start w:w="120" w:type="dxa"/>
              <w:bottom w:w="90" w:type="dxa"/>
              <w:end w:w="120" w:type="dxa"/>
            </w:tcMar>
            <w:vAlign w:val="center"/>
          </w:tcPr>
          <w:p>
            <w:pPr>
              <w:spacing w:after="0" w:line="252" w:lineRule="auto"/>
              <w:jc w:val="center"/>
            </w:pPr>
            <w:r>
              <w:rPr>
                <w:rFonts w:ascii="Calibri" w:hAnsi="Calibri"/>
                <w:color w:val="1F2933"/>
                <w:sz w:val="18"/>
              </w:rPr>
              <w:t>Backbone</w:t>
            </w:r>
          </w:p>
        </w:tc>
        <w:tc>
          <w:tcPr>
            <w:tcW w:type="dxa" w:w="6060"/>
            <w:tcMar>
              <w:top w:w="90" w:type="dxa"/>
              <w:start w:w="120" w:type="dxa"/>
              <w:bottom w:w="90" w:type="dxa"/>
              <w:end w:w="120" w:type="dxa"/>
            </w:tcMar>
            <w:vAlign w:val="center"/>
          </w:tcPr>
          <w:p>
            <w:pPr>
              <w:spacing w:after="0" w:line="252" w:lineRule="auto"/>
              <w:jc w:val="left"/>
            </w:pPr>
            <w:r>
              <w:rPr>
                <w:rFonts w:ascii="Calibri" w:hAnsi="Calibri"/>
                <w:color w:val="1F2933"/>
                <w:sz w:val="18"/>
              </w:rPr>
              <w:t>ResNet-18 pretrained on ImageNet</w:t>
            </w:r>
          </w:p>
        </w:tc>
      </w:tr>
      <w:tr>
        <w:tc>
          <w:tcPr>
            <w:tcW w:type="dxa" w:w="33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Output</w:t>
            </w:r>
          </w:p>
        </w:tc>
        <w:tc>
          <w:tcPr>
            <w:tcW w:type="dxa" w:w="606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14 independent logits / sigmoid probabilities</w:t>
            </w:r>
          </w:p>
        </w:tc>
      </w:tr>
      <w:tr>
        <w:tc>
          <w:tcPr>
            <w:tcW w:type="dxa" w:w="3300"/>
            <w:tcMar>
              <w:top w:w="90" w:type="dxa"/>
              <w:start w:w="120" w:type="dxa"/>
              <w:bottom w:w="90" w:type="dxa"/>
              <w:end w:w="120" w:type="dxa"/>
            </w:tcMar>
            <w:vAlign w:val="center"/>
          </w:tcPr>
          <w:p>
            <w:pPr>
              <w:spacing w:after="0" w:line="252" w:lineRule="auto"/>
              <w:jc w:val="left"/>
            </w:pPr>
            <w:r>
              <w:rPr>
                <w:rFonts w:ascii="Calibri" w:hAnsi="Calibri"/>
                <w:color w:val="1F2933"/>
                <w:sz w:val="18"/>
              </w:rPr>
              <w:t>Training records</w:t>
            </w:r>
          </w:p>
        </w:tc>
        <w:tc>
          <w:tcPr>
            <w:tcW w:type="dxa" w:w="6060"/>
            <w:tcMar>
              <w:top w:w="90" w:type="dxa"/>
              <w:start w:w="120" w:type="dxa"/>
              <w:bottom w:w="90" w:type="dxa"/>
              <w:end w:w="120" w:type="dxa"/>
            </w:tcMar>
            <w:vAlign w:val="center"/>
          </w:tcPr>
          <w:p>
            <w:pPr>
              <w:spacing w:after="0" w:line="252" w:lineRule="auto"/>
              <w:jc w:val="center"/>
            </w:pPr>
            <w:r>
              <w:rPr>
                <w:rFonts w:ascii="Calibri" w:hAnsi="Calibri"/>
                <w:color w:val="1F2933"/>
                <w:sz w:val="18"/>
              </w:rPr>
              <w:t>78,468</w:t>
            </w:r>
          </w:p>
        </w:tc>
      </w:tr>
      <w:tr>
        <w:tc>
          <w:tcPr>
            <w:tcW w:type="dxa" w:w="33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Validation records</w:t>
            </w:r>
          </w:p>
        </w:tc>
        <w:tc>
          <w:tcPr>
            <w:tcW w:type="dxa" w:w="606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11,219</w:t>
            </w:r>
          </w:p>
        </w:tc>
      </w:tr>
      <w:tr>
        <w:tc>
          <w:tcPr>
            <w:tcW w:type="dxa" w:w="3300"/>
            <w:tcMar>
              <w:top w:w="90" w:type="dxa"/>
              <w:start w:w="120" w:type="dxa"/>
              <w:bottom w:w="90" w:type="dxa"/>
              <w:end w:w="120" w:type="dxa"/>
            </w:tcMar>
            <w:vAlign w:val="center"/>
          </w:tcPr>
          <w:p>
            <w:pPr>
              <w:spacing w:after="0" w:line="252" w:lineRule="auto"/>
              <w:jc w:val="center"/>
            </w:pPr>
            <w:r>
              <w:rPr>
                <w:rFonts w:ascii="Calibri" w:hAnsi="Calibri"/>
                <w:color w:val="1F2933"/>
                <w:sz w:val="18"/>
              </w:rPr>
              <w:t>Precision</w:t>
            </w:r>
          </w:p>
        </w:tc>
        <w:tc>
          <w:tcPr>
            <w:tcW w:type="dxa" w:w="6060"/>
            <w:tcMar>
              <w:top w:w="90" w:type="dxa"/>
              <w:start w:w="120" w:type="dxa"/>
              <w:bottom w:w="90" w:type="dxa"/>
              <w:end w:w="120" w:type="dxa"/>
            </w:tcMar>
            <w:vAlign w:val="center"/>
          </w:tcPr>
          <w:p>
            <w:pPr>
              <w:spacing w:after="0" w:line="252" w:lineRule="auto"/>
              <w:jc w:val="left"/>
            </w:pPr>
            <w:r>
              <w:rPr>
                <w:rFonts w:ascii="Calibri" w:hAnsi="Calibri"/>
                <w:color w:val="1F2933"/>
                <w:sz w:val="18"/>
              </w:rPr>
              <w:t>BF16 mixed precision on A100</w:t>
            </w:r>
          </w:p>
        </w:tc>
      </w:tr>
      <w:tr>
        <w:tc>
          <w:tcPr>
            <w:tcW w:type="dxa" w:w="33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Epochs</w:t>
            </w:r>
          </w:p>
        </w:tc>
        <w:tc>
          <w:tcPr>
            <w:tcW w:type="dxa" w:w="606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5 completed; epoch 2 selected</w:t>
            </w:r>
          </w:p>
        </w:tc>
      </w:tr>
      <w:tr>
        <w:tc>
          <w:tcPr>
            <w:tcW w:type="dxa" w:w="3300"/>
            <w:tcMar>
              <w:top w:w="90" w:type="dxa"/>
              <w:start w:w="120" w:type="dxa"/>
              <w:bottom w:w="90" w:type="dxa"/>
              <w:end w:w="120" w:type="dxa"/>
            </w:tcMar>
            <w:vAlign w:val="center"/>
          </w:tcPr>
          <w:p>
            <w:pPr>
              <w:spacing w:after="0" w:line="252" w:lineRule="auto"/>
              <w:jc w:val="left"/>
            </w:pPr>
            <w:r>
              <w:rPr>
                <w:rFonts w:ascii="Calibri" w:hAnsi="Calibri"/>
                <w:color w:val="1F2933"/>
                <w:sz w:val="18"/>
              </w:rPr>
              <w:t>Best validation macro ROC-AUC</w:t>
            </w:r>
          </w:p>
        </w:tc>
        <w:tc>
          <w:tcPr>
            <w:tcW w:type="dxa" w:w="6060"/>
            <w:tcMar>
              <w:top w:w="90" w:type="dxa"/>
              <w:start w:w="120" w:type="dxa"/>
              <w:bottom w:w="90" w:type="dxa"/>
              <w:end w:w="120" w:type="dxa"/>
            </w:tcMar>
            <w:vAlign w:val="center"/>
          </w:tcPr>
          <w:p>
            <w:pPr>
              <w:spacing w:after="0" w:line="252" w:lineRule="auto"/>
              <w:jc w:val="center"/>
            </w:pPr>
            <w:r>
              <w:rPr>
                <w:rFonts w:ascii="Calibri" w:hAnsi="Calibri"/>
                <w:color w:val="1F2933"/>
                <w:sz w:val="18"/>
              </w:rPr>
              <w:t>0.8210</w:t>
            </w:r>
          </w:p>
        </w:tc>
      </w:tr>
      <w:tr>
        <w:tc>
          <w:tcPr>
            <w:tcW w:type="dxa" w:w="33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Elapsed training duration</w:t>
            </w:r>
          </w:p>
        </w:tc>
        <w:tc>
          <w:tcPr>
            <w:tcW w:type="dxa" w:w="606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7.34 minutes</w:t>
            </w:r>
          </w:p>
        </w:tc>
      </w:tr>
      <w:tr>
        <w:tc>
          <w:tcPr>
            <w:tcW w:type="dxa" w:w="3300"/>
            <w:tcMar>
              <w:top w:w="90" w:type="dxa"/>
              <w:start w:w="120" w:type="dxa"/>
              <w:bottom w:w="90" w:type="dxa"/>
              <w:end w:w="120" w:type="dxa"/>
            </w:tcMar>
            <w:vAlign w:val="center"/>
          </w:tcPr>
          <w:p>
            <w:pPr>
              <w:spacing w:after="0" w:line="252" w:lineRule="auto"/>
              <w:jc w:val="center"/>
            </w:pPr>
            <w:r>
              <w:rPr>
                <w:rFonts w:ascii="Calibri" w:hAnsi="Calibri"/>
                <w:color w:val="1F2933"/>
                <w:sz w:val="18"/>
              </w:rPr>
              <w:t>Tracking</w:t>
            </w:r>
          </w:p>
        </w:tc>
        <w:tc>
          <w:tcPr>
            <w:tcW w:type="dxa" w:w="6060"/>
            <w:tcMar>
              <w:top w:w="90" w:type="dxa"/>
              <w:start w:w="120" w:type="dxa"/>
              <w:bottom w:w="90" w:type="dxa"/>
              <w:end w:w="120" w:type="dxa"/>
            </w:tcMar>
            <w:vAlign w:val="center"/>
          </w:tcPr>
          <w:p>
            <w:pPr>
              <w:spacing w:after="0" w:line="252" w:lineRule="auto"/>
              <w:jc w:val="left"/>
            </w:pPr>
            <w:r>
              <w:rPr>
                <w:rFonts w:ascii="Calibri" w:hAnsi="Calibri"/>
                <w:color w:val="1F2933"/>
                <w:sz w:val="18"/>
              </w:rPr>
              <w:t>MLflow experiment chestmnist-resnet18-development</w:t>
            </w:r>
          </w:p>
        </w:tc>
      </w:tr>
    </w:tbl>
    <w:p>
      <w:pPr>
        <w:spacing w:after="40"/>
      </w:pPr>
    </w:p>
    <w:p>
      <w:pPr>
        <w:keepNext/>
        <w:spacing w:after="0"/>
        <w:jc w:val="center"/>
      </w:pPr>
      <w:r>
        <w:drawing>
          <wp:inline xmlns:a="http://schemas.openxmlformats.org/drawingml/2006/main" xmlns:pic="http://schemas.openxmlformats.org/drawingml/2006/picture">
            <wp:extent cx="5715000" cy="2014640"/>
            <wp:docPr id="10" name="Picture 10" title="Report figure: ResNet-18 training loss and validation macro ROC-AUC across five epochs." descr="ResNet-18 training loss and validation macro ROC-AUC across five epochs."/>
            <wp:cNvGraphicFramePr>
              <a:graphicFrameLocks noChangeAspect="1"/>
            </wp:cNvGraphicFramePr>
            <a:graphic>
              <a:graphicData uri="http://schemas.openxmlformats.org/drawingml/2006/picture">
                <pic:pic>
                  <pic:nvPicPr>
                    <pic:cNvPr id="0" name="nb03_01_6_2_Training_Dynamics_Visualization.png"/>
                    <pic:cNvPicPr/>
                  </pic:nvPicPr>
                  <pic:blipFill>
                    <a:blip r:embed="rId20"/>
                    <a:stretch>
                      <a:fillRect/>
                    </a:stretch>
                  </pic:blipFill>
                  <pic:spPr>
                    <a:xfrm>
                      <a:off x="0" y="0"/>
                      <a:ext cx="5715000" cy="2014640"/>
                    </a:xfrm>
                    <a:prstGeom prst="rect"/>
                  </pic:spPr>
                </pic:pic>
              </a:graphicData>
            </a:graphic>
          </wp:inline>
        </w:drawing>
      </w:r>
    </w:p>
    <w:p>
      <w:pPr>
        <w:pStyle w:val="Caption"/>
        <w:jc w:val="center"/>
      </w:pPr>
      <w:r>
        <w:rPr>
          <w:rFonts w:ascii="Calibri" w:hAnsi="Calibri"/>
          <w:i/>
          <w:color w:val="66737F"/>
          <w:sz w:val="18"/>
        </w:rPr>
        <w:t>Figure 10. ResNet-18 training loss and validation macro ROC-AUC across five epochs. Source: Notebook 3 embedded output.</w:t>
      </w:r>
    </w:p>
    <w:p>
      <w:pPr>
        <w:keepLines w:val="0"/>
        <w:spacing w:after="160" w:line="300" w:lineRule="auto"/>
        <w:jc w:val="both"/>
      </w:pPr>
      <w:r>
        <w:rPr>
          <w:rFonts w:ascii="Calibri" w:hAnsi="Calibri"/>
          <w:i w:val="0"/>
          <w:color w:val="1F2933"/>
          <w:sz w:val="22"/>
        </w:rPr>
        <w:t>Training loss decreases consistently, while validation loss reaches its minimum and macro ROC-AUC reaches its maximum at epoch 2. Subsequent training improves the fit to training data but reduces the selected validation objective, so the versioned checkpoint remains epoch 2. This is evidence of validation-based model selection rather than selection on the isolated test set.</w:t>
      </w:r>
    </w:p>
    <w:p>
      <w:pPr>
        <w:keepLines w:val="0"/>
        <w:spacing w:after="160" w:line="300" w:lineRule="auto"/>
        <w:jc w:val="both"/>
      </w:pPr>
      <w:r>
        <w:rPr>
          <w:rFonts w:ascii="Calibri" w:hAnsi="Calibri"/>
          <w:i w:val="0"/>
          <w:color w:val="1F2933"/>
          <w:sz w:val="22"/>
        </w:rPr>
        <w:t>Finding-specific thresholds are calibrated on validation data before test evaluation. Examples include 0.6758 for effusion, 0.8281 for pneumothorax, 0.8750 for emphysema and 0.6992 for hernia. Threshold calibration raises validation macro F1 from 0.2024 at a uniform 0.50 decision boundary to 0.2947, while Hamming loss improves from 0.2841 to 0.0949.</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F3EF"/>
          </w:tcPr>
          <w:p>
            <w:pPr>
              <w:spacing w:after="0"/>
            </w:pPr>
            <w:r>
              <w:rPr>
                <w:rFonts w:ascii="Calibri" w:hAnsi="Calibri"/>
                <w:b/>
                <w:color w:val="12372A"/>
                <w:sz w:val="21"/>
              </w:rPr>
              <w:t xml:space="preserve">Frozen inference contract: </w:t>
            </w:r>
            <w:r>
              <w:rPr>
                <w:rFonts w:ascii="Calibri" w:hAnsi="Calibri"/>
                <w:color w:val="1F2933"/>
                <w:sz w:val="21"/>
              </w:rPr>
              <w:t>Model weights, label order, preprocessing, thresholds and version metadata are exported together as resnet18-chestmnist-v1 before isolated-test evaluation.</w:t>
            </w:r>
          </w:p>
        </w:tc>
      </w:tr>
    </w:tbl>
    <w:p>
      <w:pPr>
        <w:spacing w:after="20"/>
      </w:pPr>
    </w:p>
    <w:p>
      <w:pPr>
        <w:pStyle w:val="Heading1"/>
        <w:pBdr>
          <w:bottom w:val="single" w:sz="10" w:space="4" w:color="E9C46A"/>
        </w:pBdr>
      </w:pPr>
      <w:r>
        <w:t>8. Isolated Test Evaluation and Error Analysis</w:t>
      </w:r>
    </w:p>
    <w:p>
      <w:pPr>
        <w:keepLines w:val="0"/>
        <w:spacing w:after="160" w:line="300" w:lineRule="auto"/>
        <w:jc w:val="both"/>
      </w:pPr>
      <w:r>
        <w:rPr>
          <w:rFonts w:ascii="Calibri" w:hAnsi="Calibri"/>
          <w:i w:val="0"/>
          <w:color w:val="1F2933"/>
          <w:sz w:val="22"/>
        </w:rPr>
        <w:t>Notebook 4 restores the versioned model bundle and applies it to 22,433 isolated test images without modifying weights or thresholds. The evaluation deliberately reports both ranking metrics and threshold-dependent decision metrics because class imbalance can make any single number incomplete.</w:t>
      </w:r>
    </w:p>
    <w:p>
      <w:pPr>
        <w:keepNext/>
        <w:spacing w:after="0"/>
        <w:jc w:val="center"/>
      </w:pPr>
      <w:r>
        <w:drawing>
          <wp:inline xmlns:a="http://schemas.openxmlformats.org/drawingml/2006/main" xmlns:pic="http://schemas.openxmlformats.org/drawingml/2006/picture">
            <wp:extent cx="5715000" cy="3100069"/>
            <wp:docPr id="11" name="Picture 11" title="Report figure: Overall isolated test-set performance." descr="Overall isolated test-set performance."/>
            <wp:cNvGraphicFramePr>
              <a:graphicFrameLocks noChangeAspect="1"/>
            </wp:cNvGraphicFramePr>
            <a:graphic>
              <a:graphicData uri="http://schemas.openxmlformats.org/drawingml/2006/picture">
                <pic:pic>
                  <pic:nvPicPr>
                    <pic:cNvPr id="0" name="cv_metrics.png"/>
                    <pic:cNvPicPr/>
                  </pic:nvPicPr>
                  <pic:blipFill>
                    <a:blip r:embed="rId21"/>
                    <a:stretch>
                      <a:fillRect/>
                    </a:stretch>
                  </pic:blipFill>
                  <pic:spPr>
                    <a:xfrm>
                      <a:off x="0" y="0"/>
                      <a:ext cx="5715000" cy="3100069"/>
                    </a:xfrm>
                    <a:prstGeom prst="rect"/>
                  </pic:spPr>
                </pic:pic>
              </a:graphicData>
            </a:graphic>
          </wp:inline>
        </w:drawing>
      </w:r>
    </w:p>
    <w:p>
      <w:pPr>
        <w:pStyle w:val="Caption"/>
        <w:jc w:val="center"/>
      </w:pPr>
      <w:r>
        <w:rPr>
          <w:rFonts w:ascii="Calibri" w:hAnsi="Calibri"/>
          <w:i/>
          <w:color w:val="66737F"/>
          <w:sz w:val="18"/>
        </w:rPr>
        <w:t>Figure 11. Overall isolated test-set performance. Source: Notebook 4.</w:t>
      </w:r>
    </w:p>
    <w:tbl>
      <w:tblPr>
        <w:tblStyle w:val="TableGrid"/>
        <w:tblW w:type="dxa" w:w="9360"/>
        <w:tblLayout w:type="fixed"/>
        <w:tblLook w:firstColumn="1" w:firstRow="1" w:lastColumn="0" w:lastRow="0" w:noHBand="0" w:noVBand="1" w:val="04A0"/>
        <w:tblInd w:w="120" w:type="dxa"/>
      </w:tblPr>
      <w:tblGrid>
        <w:gridCol w:w="2200"/>
        <w:gridCol w:w="1300"/>
        <w:gridCol w:w="5860"/>
      </w:tblGrid>
      <w:tr>
        <w:trPr>
          <w:tblHeader w:val="true"/>
        </w:trPr>
        <w:tc>
          <w:tcPr>
            <w:tcW w:type="dxa" w:w="2200"/>
            <w:tcMar>
              <w:top w:w="90" w:type="dxa"/>
              <w:start w:w="120" w:type="dxa"/>
              <w:bottom w:w="90" w:type="dxa"/>
              <w:end w:w="120" w:type="dxa"/>
            </w:tcMar>
            <w:vAlign w:val="center"/>
            <w:shd w:fill="12372A"/>
          </w:tcPr>
          <w:p>
            <w:pPr>
              <w:spacing w:after="0"/>
              <w:jc w:val="center"/>
            </w:pPr>
            <w:r>
              <w:rPr>
                <w:rFonts w:ascii="Calibri" w:hAnsi="Calibri"/>
                <w:b/>
                <w:color w:val="FFFFFF"/>
                <w:sz w:val="17"/>
              </w:rPr>
              <w:t>Metric</w:t>
            </w:r>
          </w:p>
        </w:tc>
        <w:tc>
          <w:tcPr>
            <w:tcW w:type="dxa" w:w="1300"/>
            <w:tcMar>
              <w:top w:w="90" w:type="dxa"/>
              <w:start w:w="120" w:type="dxa"/>
              <w:bottom w:w="90" w:type="dxa"/>
              <w:end w:w="120" w:type="dxa"/>
            </w:tcMar>
            <w:vAlign w:val="center"/>
            <w:shd w:fill="12372A"/>
          </w:tcPr>
          <w:p>
            <w:pPr>
              <w:spacing w:after="0"/>
              <w:jc w:val="center"/>
            </w:pPr>
            <w:r>
              <w:rPr>
                <w:rFonts w:ascii="Calibri" w:hAnsi="Calibri"/>
                <w:b/>
                <w:color w:val="FFFFFF"/>
                <w:sz w:val="17"/>
              </w:rPr>
              <w:t>Value</w:t>
            </w:r>
          </w:p>
        </w:tc>
        <w:tc>
          <w:tcPr>
            <w:tcW w:type="dxa" w:w="5860"/>
            <w:tcMar>
              <w:top w:w="90" w:type="dxa"/>
              <w:start w:w="120" w:type="dxa"/>
              <w:bottom w:w="90" w:type="dxa"/>
              <w:end w:w="120" w:type="dxa"/>
            </w:tcMar>
            <w:vAlign w:val="center"/>
            <w:shd w:fill="12372A"/>
          </w:tcPr>
          <w:p>
            <w:pPr>
              <w:spacing w:after="0"/>
              <w:jc w:val="center"/>
            </w:pPr>
            <w:r>
              <w:rPr>
                <w:rFonts w:ascii="Calibri" w:hAnsi="Calibri"/>
                <w:b/>
                <w:color w:val="FFFFFF"/>
                <w:sz w:val="17"/>
              </w:rPr>
              <w:t>Interpretation</w:t>
            </w:r>
          </w:p>
        </w:tc>
      </w:tr>
      <w:tr>
        <w:tc>
          <w:tcPr>
            <w:tcW w:type="dxa" w:w="2200"/>
            <w:tcMar>
              <w:top w:w="90" w:type="dxa"/>
              <w:start w:w="120" w:type="dxa"/>
              <w:bottom w:w="90" w:type="dxa"/>
              <w:end w:w="120" w:type="dxa"/>
            </w:tcMar>
            <w:vAlign w:val="center"/>
          </w:tcPr>
          <w:p>
            <w:pPr>
              <w:spacing w:after="0" w:line="252" w:lineRule="auto"/>
              <w:jc w:val="left"/>
            </w:pPr>
            <w:r>
              <w:rPr>
                <w:rFonts w:ascii="Calibri" w:hAnsi="Calibri"/>
                <w:color w:val="1F2933"/>
                <w:sz w:val="17"/>
              </w:rPr>
              <w:t>Macro ROC-AUC</w:t>
            </w:r>
          </w:p>
        </w:tc>
        <w:tc>
          <w:tcPr>
            <w:tcW w:type="dxa" w:w="1300"/>
            <w:tcMar>
              <w:top w:w="90" w:type="dxa"/>
              <w:start w:w="120" w:type="dxa"/>
              <w:bottom w:w="90" w:type="dxa"/>
              <w:end w:w="120" w:type="dxa"/>
            </w:tcMar>
            <w:vAlign w:val="center"/>
          </w:tcPr>
          <w:p>
            <w:pPr>
              <w:spacing w:after="0" w:line="252" w:lineRule="auto"/>
              <w:jc w:val="center"/>
            </w:pPr>
            <w:r>
              <w:rPr>
                <w:rFonts w:ascii="Calibri" w:hAnsi="Calibri"/>
                <w:color w:val="1F2933"/>
                <w:sz w:val="17"/>
              </w:rPr>
              <w:t>0.8175</w:t>
            </w:r>
          </w:p>
        </w:tc>
        <w:tc>
          <w:tcPr>
            <w:tcW w:type="dxa" w:w="5860"/>
            <w:tcMar>
              <w:top w:w="90" w:type="dxa"/>
              <w:start w:w="120" w:type="dxa"/>
              <w:bottom w:w="90" w:type="dxa"/>
              <w:end w:w="120" w:type="dxa"/>
            </w:tcMar>
            <w:vAlign w:val="center"/>
          </w:tcPr>
          <w:p>
            <w:pPr>
              <w:spacing w:after="0" w:line="252" w:lineRule="auto"/>
              <w:jc w:val="left"/>
            </w:pPr>
            <w:r>
              <w:rPr>
                <w:rFonts w:ascii="Calibri" w:hAnsi="Calibri"/>
                <w:color w:val="1F2933"/>
                <w:sz w:val="17"/>
              </w:rPr>
              <w:t>Equal weight to each finding's ranking quality</w:t>
            </w:r>
          </w:p>
        </w:tc>
      </w:tr>
      <w:tr>
        <w:tc>
          <w:tcPr>
            <w:tcW w:type="dxa" w:w="22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Micro ROC-AUC</w:t>
            </w:r>
          </w:p>
        </w:tc>
        <w:tc>
          <w:tcPr>
            <w:tcW w:type="dxa" w:w="13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0.8226</w:t>
            </w:r>
          </w:p>
        </w:tc>
        <w:tc>
          <w:tcPr>
            <w:tcW w:type="dxa" w:w="58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Aggregate ranking across all label decisions</w:t>
            </w:r>
          </w:p>
        </w:tc>
      </w:tr>
      <w:tr>
        <w:tc>
          <w:tcPr>
            <w:tcW w:type="dxa" w:w="2200"/>
            <w:tcMar>
              <w:top w:w="90" w:type="dxa"/>
              <w:start w:w="120" w:type="dxa"/>
              <w:bottom w:w="90" w:type="dxa"/>
              <w:end w:w="120" w:type="dxa"/>
            </w:tcMar>
            <w:vAlign w:val="center"/>
          </w:tcPr>
          <w:p>
            <w:pPr>
              <w:spacing w:after="0" w:line="252" w:lineRule="auto"/>
              <w:jc w:val="left"/>
            </w:pPr>
            <w:r>
              <w:rPr>
                <w:rFonts w:ascii="Calibri" w:hAnsi="Calibri"/>
                <w:color w:val="1F2933"/>
                <w:sz w:val="17"/>
              </w:rPr>
              <w:t>Macro average precision</w:t>
            </w:r>
          </w:p>
        </w:tc>
        <w:tc>
          <w:tcPr>
            <w:tcW w:type="dxa" w:w="1300"/>
            <w:tcMar>
              <w:top w:w="90" w:type="dxa"/>
              <w:start w:w="120" w:type="dxa"/>
              <w:bottom w:w="90" w:type="dxa"/>
              <w:end w:w="120" w:type="dxa"/>
            </w:tcMar>
            <w:vAlign w:val="center"/>
          </w:tcPr>
          <w:p>
            <w:pPr>
              <w:spacing w:after="0" w:line="252" w:lineRule="auto"/>
              <w:jc w:val="center"/>
            </w:pPr>
            <w:r>
              <w:rPr>
                <w:rFonts w:ascii="Calibri" w:hAnsi="Calibri"/>
                <w:color w:val="1F2933"/>
                <w:sz w:val="17"/>
              </w:rPr>
              <w:t>0.2216</w:t>
            </w:r>
          </w:p>
        </w:tc>
        <w:tc>
          <w:tcPr>
            <w:tcW w:type="dxa" w:w="5860"/>
            <w:tcMar>
              <w:top w:w="90" w:type="dxa"/>
              <w:start w:w="120" w:type="dxa"/>
              <w:bottom w:w="90" w:type="dxa"/>
              <w:end w:w="120" w:type="dxa"/>
            </w:tcMar>
            <w:vAlign w:val="center"/>
          </w:tcPr>
          <w:p>
            <w:pPr>
              <w:spacing w:after="0" w:line="252" w:lineRule="auto"/>
              <w:jc w:val="left"/>
            </w:pPr>
            <w:r>
              <w:rPr>
                <w:rFonts w:ascii="Calibri" w:hAnsi="Calibri"/>
                <w:color w:val="1F2933"/>
                <w:sz w:val="17"/>
              </w:rPr>
              <w:t>Imbalance-sensitive precision-recall summary</w:t>
            </w:r>
          </w:p>
        </w:tc>
      </w:tr>
      <w:tr>
        <w:tc>
          <w:tcPr>
            <w:tcW w:type="dxa" w:w="22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Macro precision</w:t>
            </w:r>
          </w:p>
        </w:tc>
        <w:tc>
          <w:tcPr>
            <w:tcW w:type="dxa" w:w="13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0.2241</w:t>
            </w:r>
          </w:p>
        </w:tc>
        <w:tc>
          <w:tcPr>
            <w:tcW w:type="dxa" w:w="58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Average positive predictive precision</w:t>
            </w:r>
          </w:p>
        </w:tc>
      </w:tr>
      <w:tr>
        <w:tc>
          <w:tcPr>
            <w:tcW w:type="dxa" w:w="2200"/>
            <w:tcMar>
              <w:top w:w="90" w:type="dxa"/>
              <w:start w:w="120" w:type="dxa"/>
              <w:bottom w:w="90" w:type="dxa"/>
              <w:end w:w="120" w:type="dxa"/>
            </w:tcMar>
            <w:vAlign w:val="center"/>
          </w:tcPr>
          <w:p>
            <w:pPr>
              <w:spacing w:after="0" w:line="252" w:lineRule="auto"/>
              <w:jc w:val="center"/>
            </w:pPr>
            <w:r>
              <w:rPr>
                <w:rFonts w:ascii="Calibri" w:hAnsi="Calibri"/>
                <w:color w:val="1F2933"/>
                <w:sz w:val="17"/>
              </w:rPr>
              <w:t>Macro recall</w:t>
            </w:r>
          </w:p>
        </w:tc>
        <w:tc>
          <w:tcPr>
            <w:tcW w:type="dxa" w:w="1300"/>
            <w:tcMar>
              <w:top w:w="90" w:type="dxa"/>
              <w:start w:w="120" w:type="dxa"/>
              <w:bottom w:w="90" w:type="dxa"/>
              <w:end w:w="120" w:type="dxa"/>
            </w:tcMar>
            <w:vAlign w:val="center"/>
          </w:tcPr>
          <w:p>
            <w:pPr>
              <w:spacing w:after="0" w:line="252" w:lineRule="auto"/>
              <w:jc w:val="center"/>
            </w:pPr>
            <w:r>
              <w:rPr>
                <w:rFonts w:ascii="Calibri" w:hAnsi="Calibri"/>
                <w:color w:val="1F2933"/>
                <w:sz w:val="17"/>
              </w:rPr>
              <w:t>0.4153</w:t>
            </w:r>
          </w:p>
        </w:tc>
        <w:tc>
          <w:tcPr>
            <w:tcW w:type="dxa" w:w="5860"/>
            <w:tcMar>
              <w:top w:w="90" w:type="dxa"/>
              <w:start w:w="120" w:type="dxa"/>
              <w:bottom w:w="90" w:type="dxa"/>
              <w:end w:w="120" w:type="dxa"/>
            </w:tcMar>
            <w:vAlign w:val="center"/>
          </w:tcPr>
          <w:p>
            <w:pPr>
              <w:spacing w:after="0" w:line="252" w:lineRule="auto"/>
              <w:jc w:val="left"/>
            </w:pPr>
            <w:r>
              <w:rPr>
                <w:rFonts w:ascii="Calibri" w:hAnsi="Calibri"/>
                <w:color w:val="1F2933"/>
                <w:sz w:val="17"/>
              </w:rPr>
              <w:t>Average sensitivity across findings</w:t>
            </w:r>
          </w:p>
        </w:tc>
      </w:tr>
      <w:tr>
        <w:tc>
          <w:tcPr>
            <w:tcW w:type="dxa" w:w="22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Macro F1</w:t>
            </w:r>
          </w:p>
        </w:tc>
        <w:tc>
          <w:tcPr>
            <w:tcW w:type="dxa" w:w="13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0.2816</w:t>
            </w:r>
          </w:p>
        </w:tc>
        <w:tc>
          <w:tcPr>
            <w:tcW w:type="dxa" w:w="58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Harmonic balance of macro precision and recall</w:t>
            </w:r>
          </w:p>
        </w:tc>
      </w:tr>
      <w:tr>
        <w:tc>
          <w:tcPr>
            <w:tcW w:type="dxa" w:w="2200"/>
            <w:tcMar>
              <w:top w:w="90" w:type="dxa"/>
              <w:start w:w="120" w:type="dxa"/>
              <w:bottom w:w="90" w:type="dxa"/>
              <w:end w:w="120" w:type="dxa"/>
            </w:tcMar>
            <w:vAlign w:val="center"/>
          </w:tcPr>
          <w:p>
            <w:pPr>
              <w:spacing w:after="0" w:line="252" w:lineRule="auto"/>
              <w:jc w:val="center"/>
            </w:pPr>
            <w:r>
              <w:rPr>
                <w:rFonts w:ascii="Calibri" w:hAnsi="Calibri"/>
                <w:color w:val="1F2933"/>
                <w:sz w:val="17"/>
              </w:rPr>
              <w:t>Micro F1</w:t>
            </w:r>
          </w:p>
        </w:tc>
        <w:tc>
          <w:tcPr>
            <w:tcW w:type="dxa" w:w="1300"/>
            <w:tcMar>
              <w:top w:w="90" w:type="dxa"/>
              <w:start w:w="120" w:type="dxa"/>
              <w:bottom w:w="90" w:type="dxa"/>
              <w:end w:w="120" w:type="dxa"/>
            </w:tcMar>
            <w:vAlign w:val="center"/>
          </w:tcPr>
          <w:p>
            <w:pPr>
              <w:spacing w:after="0" w:line="252" w:lineRule="auto"/>
              <w:jc w:val="center"/>
            </w:pPr>
            <w:r>
              <w:rPr>
                <w:rFonts w:ascii="Calibri" w:hAnsi="Calibri"/>
                <w:color w:val="1F2933"/>
                <w:sz w:val="17"/>
              </w:rPr>
              <w:t>0.3391</w:t>
            </w:r>
          </w:p>
        </w:tc>
        <w:tc>
          <w:tcPr>
            <w:tcW w:type="dxa" w:w="5860"/>
            <w:tcMar>
              <w:top w:w="90" w:type="dxa"/>
              <w:start w:w="120" w:type="dxa"/>
              <w:bottom w:w="90" w:type="dxa"/>
              <w:end w:w="120" w:type="dxa"/>
            </w:tcMar>
            <w:vAlign w:val="center"/>
          </w:tcPr>
          <w:p>
            <w:pPr>
              <w:spacing w:after="0" w:line="252" w:lineRule="auto"/>
              <w:jc w:val="left"/>
            </w:pPr>
            <w:r>
              <w:rPr>
                <w:rFonts w:ascii="Calibri" w:hAnsi="Calibri"/>
                <w:color w:val="1F2933"/>
                <w:sz w:val="17"/>
              </w:rPr>
              <w:t>Global label-level precision/recall balance</w:t>
            </w:r>
          </w:p>
        </w:tc>
      </w:tr>
      <w:tr>
        <w:tc>
          <w:tcPr>
            <w:tcW w:type="dxa" w:w="22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Hamming loss</w:t>
            </w:r>
          </w:p>
        </w:tc>
        <w:tc>
          <w:tcPr>
            <w:tcW w:type="dxa" w:w="13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0.0988</w:t>
            </w:r>
          </w:p>
        </w:tc>
        <w:tc>
          <w:tcPr>
            <w:tcW w:type="dxa" w:w="58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Fraction of incorrect individual label decisions</w:t>
            </w:r>
          </w:p>
        </w:tc>
      </w:tr>
      <w:tr>
        <w:tc>
          <w:tcPr>
            <w:tcW w:type="dxa" w:w="2200"/>
            <w:tcMar>
              <w:top w:w="90" w:type="dxa"/>
              <w:start w:w="120" w:type="dxa"/>
              <w:bottom w:w="90" w:type="dxa"/>
              <w:end w:w="120" w:type="dxa"/>
            </w:tcMar>
            <w:vAlign w:val="center"/>
          </w:tcPr>
          <w:p>
            <w:pPr>
              <w:spacing w:after="0" w:line="252" w:lineRule="auto"/>
              <w:jc w:val="left"/>
            </w:pPr>
            <w:r>
              <w:rPr>
                <w:rFonts w:ascii="Calibri" w:hAnsi="Calibri"/>
                <w:color w:val="1F2933"/>
                <w:sz w:val="17"/>
              </w:rPr>
              <w:t>Subset accuracy</w:t>
            </w:r>
          </w:p>
        </w:tc>
        <w:tc>
          <w:tcPr>
            <w:tcW w:type="dxa" w:w="1300"/>
            <w:tcMar>
              <w:top w:w="90" w:type="dxa"/>
              <w:start w:w="120" w:type="dxa"/>
              <w:bottom w:w="90" w:type="dxa"/>
              <w:end w:w="120" w:type="dxa"/>
            </w:tcMar>
            <w:vAlign w:val="center"/>
          </w:tcPr>
          <w:p>
            <w:pPr>
              <w:spacing w:after="0" w:line="252" w:lineRule="auto"/>
              <w:jc w:val="center"/>
            </w:pPr>
            <w:r>
              <w:rPr>
                <w:rFonts w:ascii="Calibri" w:hAnsi="Calibri"/>
                <w:color w:val="1F2933"/>
                <w:sz w:val="17"/>
              </w:rPr>
              <w:t>0.3642</w:t>
            </w:r>
          </w:p>
        </w:tc>
        <w:tc>
          <w:tcPr>
            <w:tcW w:type="dxa" w:w="5860"/>
            <w:tcMar>
              <w:top w:w="90" w:type="dxa"/>
              <w:start w:w="120" w:type="dxa"/>
              <w:bottom w:w="90" w:type="dxa"/>
              <w:end w:w="120" w:type="dxa"/>
            </w:tcMar>
            <w:vAlign w:val="center"/>
          </w:tcPr>
          <w:p>
            <w:pPr>
              <w:spacing w:after="0" w:line="252" w:lineRule="auto"/>
              <w:jc w:val="left"/>
            </w:pPr>
            <w:r>
              <w:rPr>
                <w:rFonts w:ascii="Calibri" w:hAnsi="Calibri"/>
                <w:color w:val="1F2933"/>
                <w:sz w:val="17"/>
              </w:rPr>
              <w:t>Exact match across all fourteen labels</w:t>
            </w:r>
          </w:p>
        </w:tc>
      </w:tr>
    </w:tbl>
    <w:p>
      <w:pPr>
        <w:spacing w:after="40"/>
      </w:pPr>
    </w:p>
    <w:p>
      <w:pPr>
        <w:keepNext/>
        <w:spacing w:after="0"/>
        <w:jc w:val="center"/>
      </w:pPr>
      <w:r>
        <w:drawing>
          <wp:inline xmlns:a="http://schemas.openxmlformats.org/drawingml/2006/main" xmlns:pic="http://schemas.openxmlformats.org/drawingml/2006/picture">
            <wp:extent cx="5715000" cy="3792375"/>
            <wp:docPr id="12" name="Picture 12" title="Report figure: Per-finding ROC-AUC, average precision and F1 comparison." descr="Per-finding ROC-AUC, average precision and F1 comparison."/>
            <wp:cNvGraphicFramePr>
              <a:graphicFrameLocks noChangeAspect="1"/>
            </wp:cNvGraphicFramePr>
            <a:graphic>
              <a:graphicData uri="http://schemas.openxmlformats.org/drawingml/2006/picture">
                <pic:pic>
                  <pic:nvPicPr>
                    <pic:cNvPr id="0" name="nb04_01_4_3_Per_Finding_Performance_Comparison.png"/>
                    <pic:cNvPicPr/>
                  </pic:nvPicPr>
                  <pic:blipFill>
                    <a:blip r:embed="rId22"/>
                    <a:stretch>
                      <a:fillRect/>
                    </a:stretch>
                  </pic:blipFill>
                  <pic:spPr>
                    <a:xfrm>
                      <a:off x="0" y="0"/>
                      <a:ext cx="5715000" cy="3792375"/>
                    </a:xfrm>
                    <a:prstGeom prst="rect"/>
                  </pic:spPr>
                </pic:pic>
              </a:graphicData>
            </a:graphic>
          </wp:inline>
        </w:drawing>
      </w:r>
    </w:p>
    <w:p>
      <w:pPr>
        <w:pStyle w:val="Caption"/>
        <w:jc w:val="center"/>
      </w:pPr>
      <w:r>
        <w:rPr>
          <w:rFonts w:ascii="Calibri" w:hAnsi="Calibri"/>
          <w:i/>
          <w:color w:val="66737F"/>
          <w:sz w:val="18"/>
        </w:rPr>
        <w:t>Figure 12. Per-finding ROC-AUC, average precision and F1 comparison. Source: Notebook 4 embedded output.</w:t>
      </w:r>
    </w:p>
    <w:p>
      <w:pPr>
        <w:keepLines w:val="0"/>
        <w:spacing w:after="160" w:line="300" w:lineRule="auto"/>
        <w:jc w:val="both"/>
      </w:pPr>
      <w:r>
        <w:rPr>
          <w:rFonts w:ascii="Calibri" w:hAnsi="Calibri"/>
          <w:i w:val="0"/>
          <w:color w:val="1F2933"/>
          <w:sz w:val="22"/>
        </w:rPr>
        <w:t>Per-finding discrimination is strongest for hernia (ROC-AUC 0.9385), cardiomegaly (0.9046), emphysema (0.9011), edema (0.8799) and effusion (0.8687). Infiltration has the lowest ROC-AUC at 0.6944. Average precision is substantially lower for rare labels, demonstrating why prevalence-aware interpretation is required.</w:t>
      </w:r>
    </w:p>
    <w:p>
      <w:pPr>
        <w:keepNext/>
        <w:spacing w:after="0"/>
        <w:jc w:val="center"/>
      </w:pPr>
      <w:r>
        <w:drawing>
          <wp:inline xmlns:a="http://schemas.openxmlformats.org/drawingml/2006/main" xmlns:pic="http://schemas.openxmlformats.org/drawingml/2006/picture">
            <wp:extent cx="5715000" cy="2388809"/>
            <wp:docPr id="13" name="Picture 13" title="Report figure: ROC and precision-recall curves for all fourteen findings." descr="ROC and precision-recall curves for all fourteen findings."/>
            <wp:cNvGraphicFramePr>
              <a:graphicFrameLocks noChangeAspect="1"/>
            </wp:cNvGraphicFramePr>
            <a:graphic>
              <a:graphicData uri="http://schemas.openxmlformats.org/drawingml/2006/picture">
                <pic:pic>
                  <pic:nvPicPr>
                    <pic:cNvPr id="0" name="nb04_02_4_4_ROC_and_Precision_Recall_Curves.png"/>
                    <pic:cNvPicPr/>
                  </pic:nvPicPr>
                  <pic:blipFill>
                    <a:blip r:embed="rId23"/>
                    <a:stretch>
                      <a:fillRect/>
                    </a:stretch>
                  </pic:blipFill>
                  <pic:spPr>
                    <a:xfrm>
                      <a:off x="0" y="0"/>
                      <a:ext cx="5715000" cy="2388809"/>
                    </a:xfrm>
                    <a:prstGeom prst="rect"/>
                  </pic:spPr>
                </pic:pic>
              </a:graphicData>
            </a:graphic>
          </wp:inline>
        </w:drawing>
      </w:r>
    </w:p>
    <w:p>
      <w:pPr>
        <w:pStyle w:val="Caption"/>
        <w:jc w:val="center"/>
      </w:pPr>
      <w:r>
        <w:rPr>
          <w:rFonts w:ascii="Calibri" w:hAnsi="Calibri"/>
          <w:i/>
          <w:color w:val="66737F"/>
          <w:sz w:val="18"/>
        </w:rPr>
        <w:t>Figure 13. ROC and precision-recall curves for all fourteen findings. Source: Notebook 4 embedded output.</w:t>
      </w:r>
    </w:p>
    <w:p>
      <w:pPr>
        <w:keepLines w:val="0"/>
        <w:spacing w:after="160" w:line="300" w:lineRule="auto"/>
        <w:jc w:val="both"/>
      </w:pPr>
      <w:r>
        <w:rPr>
          <w:rFonts w:ascii="Calibri" w:hAnsi="Calibri"/>
          <w:i w:val="0"/>
          <w:color w:val="1F2933"/>
          <w:sz w:val="22"/>
        </w:rPr>
        <w:t>ROC curves show ranking performance across thresholds, whereas precision-recall curves expose the practical difficulty of rare positive findings. The divergence between ROC-AUC and average precision for several findings is expected under severe class imbalance and prevents overstating performance.</w:t>
      </w:r>
    </w:p>
    <w:p>
      <w:pPr>
        <w:keepNext/>
        <w:spacing w:after="0"/>
        <w:jc w:val="center"/>
      </w:pPr>
      <w:r>
        <w:drawing>
          <wp:inline xmlns:a="http://schemas.openxmlformats.org/drawingml/2006/main" xmlns:pic="http://schemas.openxmlformats.org/drawingml/2006/picture">
            <wp:extent cx="5715000" cy="5466834"/>
            <wp:docPr id="14" name="Picture 14" title="Report figure: Finding-specific confusion matrices under frozen calibrated thresholds." descr="Finding-specific confusion matrices under frozen calibrated thresholds."/>
            <wp:cNvGraphicFramePr>
              <a:graphicFrameLocks noChangeAspect="1"/>
            </wp:cNvGraphicFramePr>
            <a:graphic>
              <a:graphicData uri="http://schemas.openxmlformats.org/drawingml/2006/picture">
                <pic:pic>
                  <pic:nvPicPr>
                    <pic:cNvPr id="0" name="nb04_03_4_5_Per_Finding_Confusion_Matrices.png"/>
                    <pic:cNvPicPr/>
                  </pic:nvPicPr>
                  <pic:blipFill>
                    <a:blip r:embed="rId24"/>
                    <a:stretch>
                      <a:fillRect/>
                    </a:stretch>
                  </pic:blipFill>
                  <pic:spPr>
                    <a:xfrm>
                      <a:off x="0" y="0"/>
                      <a:ext cx="5715000" cy="5466834"/>
                    </a:xfrm>
                    <a:prstGeom prst="rect"/>
                  </pic:spPr>
                </pic:pic>
              </a:graphicData>
            </a:graphic>
          </wp:inline>
        </w:drawing>
      </w:r>
    </w:p>
    <w:p>
      <w:pPr>
        <w:pStyle w:val="Caption"/>
        <w:jc w:val="center"/>
      </w:pPr>
      <w:r>
        <w:rPr>
          <w:rFonts w:ascii="Calibri" w:hAnsi="Calibri"/>
          <w:i/>
          <w:color w:val="66737F"/>
          <w:sz w:val="18"/>
        </w:rPr>
        <w:t>Figure 14. Finding-specific confusion matrices under frozen calibrated thresholds. Source: Notebook 4 embedded output.</w:t>
      </w:r>
    </w:p>
    <w:p>
      <w:pPr>
        <w:keepLines w:val="0"/>
        <w:spacing w:after="160" w:line="300" w:lineRule="auto"/>
        <w:jc w:val="both"/>
      </w:pPr>
      <w:r>
        <w:rPr>
          <w:rFonts w:ascii="Calibri" w:hAnsi="Calibri"/>
          <w:i w:val="0"/>
          <w:color w:val="1F2933"/>
          <w:sz w:val="22"/>
        </w:rPr>
        <w:t>The confusion matrices make operating-point trade-offs explicit. For example, effusion achieves 1,920 true positives and 2,806 false positives, while pneumonia achieves only 55 true positives against 1,407 false positives because it is rare and difficult. These results are reported transparently rather than hidden behind aggregate metrics.</w:t>
      </w:r>
    </w:p>
    <w:p>
      <w:pPr>
        <w:keepNext/>
        <w:spacing w:after="0"/>
        <w:jc w:val="center"/>
      </w:pPr>
      <w:r>
        <w:drawing>
          <wp:inline xmlns:a="http://schemas.openxmlformats.org/drawingml/2006/main" xmlns:pic="http://schemas.openxmlformats.org/drawingml/2006/picture">
            <wp:extent cx="5715000" cy="3096280"/>
            <wp:docPr id="15" name="Picture 15" title="Report figure: Recorded versus predicted finding-cardinality distribution." descr="Recorded versus predicted finding-cardinality distribution."/>
            <wp:cNvGraphicFramePr>
              <a:graphicFrameLocks noChangeAspect="1"/>
            </wp:cNvGraphicFramePr>
            <a:graphic>
              <a:graphicData uri="http://schemas.openxmlformats.org/drawingml/2006/picture">
                <pic:pic>
                  <pic:nvPicPr>
                    <pic:cNvPr id="0" name="nb04_04_5_3_Finding_Cardinality_Distribution.png"/>
                    <pic:cNvPicPr/>
                  </pic:nvPicPr>
                  <pic:blipFill>
                    <a:blip r:embed="rId25"/>
                    <a:stretch>
                      <a:fillRect/>
                    </a:stretch>
                  </pic:blipFill>
                  <pic:spPr>
                    <a:xfrm>
                      <a:off x="0" y="0"/>
                      <a:ext cx="5715000" cy="3096280"/>
                    </a:xfrm>
                    <a:prstGeom prst="rect"/>
                  </pic:spPr>
                </pic:pic>
              </a:graphicData>
            </a:graphic>
          </wp:inline>
        </w:drawing>
      </w:r>
    </w:p>
    <w:p>
      <w:pPr>
        <w:pStyle w:val="Caption"/>
        <w:jc w:val="center"/>
      </w:pPr>
      <w:r>
        <w:rPr>
          <w:rFonts w:ascii="Calibri" w:hAnsi="Calibri"/>
          <w:i/>
          <w:color w:val="66737F"/>
          <w:sz w:val="18"/>
        </w:rPr>
        <w:t>Figure 15. Recorded versus predicted finding-cardinality distribution. Source: Notebook 4 embedded output.</w:t>
      </w:r>
    </w:p>
    <w:p>
      <w:pPr>
        <w:keepLines w:val="0"/>
        <w:spacing w:after="160" w:line="300" w:lineRule="auto"/>
        <w:jc w:val="both"/>
      </w:pPr>
      <w:r>
        <w:rPr>
          <w:rFonts w:ascii="Calibri" w:hAnsi="Calibri"/>
          <w:i w:val="0"/>
          <w:color w:val="1F2933"/>
          <w:sz w:val="22"/>
        </w:rPr>
        <w:t>The classifier predicts no finding for 44.59% of test images versus 53.17% in the reference labels, and predicts two or more findings more frequently than recorded. Exact fourteen-label agreement is 36.42%; 37.27% of reference no-finding images receive at least one model alert. This error profile reinforces the educational-use limitation and the need for qualified review.</w:t>
      </w:r>
    </w:p>
    <w:p>
      <w:pPr>
        <w:pStyle w:val="Heading1"/>
        <w:pBdr>
          <w:bottom w:val="single" w:sz="10" w:space="4" w:color="E9C46A"/>
        </w:pBdr>
      </w:pPr>
      <w:r>
        <w:t>9. Visual Explainability with Grad-CAM</w:t>
      </w:r>
    </w:p>
    <w:p>
      <w:pPr>
        <w:keepLines w:val="0"/>
        <w:spacing w:after="160" w:line="300" w:lineRule="auto"/>
        <w:jc w:val="both"/>
      </w:pPr>
      <w:r>
        <w:rPr>
          <w:rFonts w:ascii="Calibri" w:hAnsi="Calibri"/>
          <w:i w:val="0"/>
          <w:color w:val="1F2933"/>
          <w:sz w:val="22"/>
        </w:rPr>
        <w:t>Notebook 5 uses Captum LayerGradCam on the final convolutional layer, layer4[-1].conv2. The attribution target is finding-specific: gradients are computed for one selected output logit rather than for a generic image-level decision. Positive attributions are normalized and rendered as heatmaps and overlays.</w:t>
      </w:r>
    </w:p>
    <w:p>
      <w:pPr>
        <w:keepNext/>
        <w:spacing w:after="0"/>
        <w:jc w:val="center"/>
      </w:pPr>
      <w:r>
        <w:drawing>
          <wp:inline xmlns:a="http://schemas.openxmlformats.org/drawingml/2006/main" xmlns:pic="http://schemas.openxmlformats.org/drawingml/2006/picture">
            <wp:extent cx="5715000" cy="1906600"/>
            <wp:docPr id="16" name="Picture 16" title="Report figure: Attribution integrity smoke test showing source image, heatmap and overlay." descr="Attribution integrity smoke test showing source image, heatmap and overlay."/>
            <wp:cNvGraphicFramePr>
              <a:graphicFrameLocks noChangeAspect="1"/>
            </wp:cNvGraphicFramePr>
            <a:graphic>
              <a:graphicData uri="http://schemas.openxmlformats.org/drawingml/2006/picture">
                <pic:pic>
                  <pic:nvPicPr>
                    <pic:cNvPr id="0" name="nb05_01_3_2_Attribution_Integrity_and_Visual_Smoke_Test.png"/>
                    <pic:cNvPicPr/>
                  </pic:nvPicPr>
                  <pic:blipFill>
                    <a:blip r:embed="rId26"/>
                    <a:stretch>
                      <a:fillRect/>
                    </a:stretch>
                  </pic:blipFill>
                  <pic:spPr>
                    <a:xfrm>
                      <a:off x="0" y="0"/>
                      <a:ext cx="5715000" cy="1906600"/>
                    </a:xfrm>
                    <a:prstGeom prst="rect"/>
                  </pic:spPr>
                </pic:pic>
              </a:graphicData>
            </a:graphic>
          </wp:inline>
        </w:drawing>
      </w:r>
    </w:p>
    <w:p>
      <w:pPr>
        <w:pStyle w:val="Caption"/>
        <w:jc w:val="center"/>
      </w:pPr>
      <w:r>
        <w:rPr>
          <w:rFonts w:ascii="Calibri" w:hAnsi="Calibri"/>
          <w:i/>
          <w:color w:val="66737F"/>
          <w:sz w:val="18"/>
        </w:rPr>
        <w:t>Figure 16. Attribution integrity smoke test showing source image, heatmap and overlay. Source: Notebook 5 embedded output.</w:t>
      </w:r>
    </w:p>
    <w:p>
      <w:pPr>
        <w:keepLines w:val="0"/>
        <w:spacing w:after="160" w:line="300" w:lineRule="auto"/>
        <w:jc w:val="both"/>
      </w:pPr>
      <w:r>
        <w:rPr>
          <w:rFonts w:ascii="Calibri" w:hAnsi="Calibri"/>
          <w:i w:val="0"/>
          <w:color w:val="1F2933"/>
          <w:sz w:val="22"/>
        </w:rPr>
        <w:t>Integrity checks verify output dimensions, finite attribution values, normalization bounds and preservation of the frozen inference contract. The visual is interpreted only as evidence of regions that influenced the model output.</w:t>
      </w:r>
    </w:p>
    <w:tbl>
      <w:tblPr>
        <w:tblStyle w:val="TableGrid"/>
        <w:tblW w:type="dxa" w:w="9360"/>
        <w:tblLayout w:type="fixed"/>
        <w:tblLook w:firstColumn="1" w:firstRow="1" w:lastColumn="0" w:lastRow="0" w:noHBand="0" w:noVBand="1" w:val="04A0"/>
        <w:tblInd w:w="120" w:type="dxa"/>
      </w:tblPr>
      <w:tblGrid>
        <w:gridCol w:w="4680"/>
        <w:gridCol w:w="4680"/>
      </w:tblGrid>
      <w:tr>
        <w:tc>
          <w:tcPr>
            <w:tcW w:type="dxa" w:w="4680"/>
            <w:tcMar>
              <w:top w:w="90" w:type="dxa"/>
              <w:start w:w="120" w:type="dxa"/>
              <w:bottom w:w="90" w:type="dxa"/>
              <w:end w:w="120" w:type="dxa"/>
            </w:tcMar>
            <w:vAlign w:val="center"/>
            <w:shd w:fill="FFFFFF"/>
          </w:tcPr>
          <w:p>
            <w:pPr>
              <w:keepNext/>
              <w:jc w:val="center"/>
            </w:pPr>
            <w:r>
              <w:drawing>
                <wp:inline xmlns:a="http://schemas.openxmlformats.org/drawingml/2006/main" xmlns:pic="http://schemas.openxmlformats.org/drawingml/2006/picture">
                  <wp:extent cx="2651760" cy="6160654"/>
                  <wp:docPr id="17" name="Picture 17" title="Left panel: Complete cross-outcome Grad-CAM galleries covering representative true-positive, false-positive and false-negative evidence for all fourteen findings." descr="Left panel of Complete cross-outcome Grad-CAM galleries covering representative true-positive, false-positive and false-negative evidence for all fourteen findings."/>
                  <wp:cNvGraphicFramePr>
                    <a:graphicFrameLocks noChangeAspect="1"/>
                  </wp:cNvGraphicFramePr>
                  <a:graphic>
                    <a:graphicData uri="http://schemas.openxmlformats.org/drawingml/2006/picture">
                      <pic:pic>
                        <pic:nvPicPr>
                          <pic:cNvPr id="0" name="nb05_02_4_1_Cross_Outcome_Grad_CAM_Galleries.png"/>
                          <pic:cNvPicPr/>
                        </pic:nvPicPr>
                        <pic:blipFill>
                          <a:blip r:embed="rId27"/>
                          <a:stretch>
                            <a:fillRect/>
                          </a:stretch>
                        </pic:blipFill>
                        <pic:spPr>
                          <a:xfrm>
                            <a:off x="0" y="0"/>
                            <a:ext cx="2651760" cy="6160654"/>
                          </a:xfrm>
                          <a:prstGeom prst="rect"/>
                        </pic:spPr>
                      </pic:pic>
                    </a:graphicData>
                  </a:graphic>
                </wp:inline>
              </w:drawing>
            </w:r>
          </w:p>
        </w:tc>
        <w:tc>
          <w:tcPr>
            <w:tcW w:type="dxa" w:w="4680"/>
            <w:tcMar>
              <w:top w:w="90" w:type="dxa"/>
              <w:start w:w="120" w:type="dxa"/>
              <w:bottom w:w="90" w:type="dxa"/>
              <w:end w:w="120" w:type="dxa"/>
            </w:tcMar>
            <w:vAlign w:val="center"/>
            <w:shd w:fill="FFFFFF"/>
          </w:tcPr>
          <w:p>
            <w:pPr>
              <w:keepNext/>
              <w:jc w:val="center"/>
            </w:pPr>
            <w:r>
              <w:drawing>
                <wp:inline xmlns:a="http://schemas.openxmlformats.org/drawingml/2006/main" xmlns:pic="http://schemas.openxmlformats.org/drawingml/2006/picture">
                  <wp:extent cx="2651760" cy="6160654"/>
                  <wp:docPr id="18" name="Picture 18" title="Right panel: Complete cross-outcome Grad-CAM galleries covering representative true-positive, false-positive and false-negative evidence for all fourteen findings." descr="Right panel of Complete cross-outcome Grad-CAM galleries covering representative true-positive, false-positive and false-negative evidence for all fourteen findings."/>
                  <wp:cNvGraphicFramePr>
                    <a:graphicFrameLocks noChangeAspect="1"/>
                  </wp:cNvGraphicFramePr>
                  <a:graphic>
                    <a:graphicData uri="http://schemas.openxmlformats.org/drawingml/2006/picture">
                      <pic:pic>
                        <pic:nvPicPr>
                          <pic:cNvPr id="0" name="nb05_03_4_1_Cross_Outcome_Grad_CAM_Galleries.png"/>
                          <pic:cNvPicPr/>
                        </pic:nvPicPr>
                        <pic:blipFill>
                          <a:blip r:embed="rId28"/>
                          <a:stretch>
                            <a:fillRect/>
                          </a:stretch>
                        </pic:blipFill>
                        <pic:spPr>
                          <a:xfrm>
                            <a:off x="0" y="0"/>
                            <a:ext cx="2651760" cy="6160654"/>
                          </a:xfrm>
                          <a:prstGeom prst="rect"/>
                        </pic:spPr>
                      </pic:pic>
                    </a:graphicData>
                  </a:graphic>
                </wp:inline>
              </w:drawing>
            </w:r>
          </w:p>
        </w:tc>
      </w:tr>
    </w:tbl>
    <w:p>
      <w:pPr>
        <w:pStyle w:val="Caption"/>
        <w:jc w:val="center"/>
      </w:pPr>
      <w:r>
        <w:rPr>
          <w:rFonts w:ascii="Calibri" w:hAnsi="Calibri"/>
          <w:i/>
          <w:color w:val="66737F"/>
          <w:sz w:val="18"/>
        </w:rPr>
        <w:t>Figure 17. Complete cross-outcome Grad-CAM galleries covering representative true-positive, false-positive and false-negative evidence for all fourteen findings. Source: Notebook 5 persisted outputs.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6F1E7"/>
          </w:tcPr>
          <w:p>
            <w:pPr>
              <w:spacing w:after="0"/>
            </w:pPr>
            <w:r>
              <w:rPr>
                <w:rFonts w:ascii="Calibri" w:hAnsi="Calibri"/>
                <w:b/>
                <w:color w:val="A23B3B"/>
                <w:sz w:val="21"/>
              </w:rPr>
              <w:t xml:space="preserve">Interpretation boundary: </w:t>
            </w:r>
            <w:r>
              <w:rPr>
                <w:rFonts w:ascii="Calibri" w:hAnsi="Calibri"/>
                <w:color w:val="1F2933"/>
                <w:sz w:val="21"/>
              </w:rPr>
              <w:t>Grad-CAM does not segment a lesion, confirm an anatomical abnormality, establish causality or provide a clinical diagnosis. It explains model influence, not medical truth.</w:t>
            </w:r>
          </w:p>
        </w:tc>
      </w:tr>
    </w:tbl>
    <w:p>
      <w:pPr>
        <w:spacing w:after="20"/>
      </w:pPr>
    </w:p>
    <w:p>
      <w:pPr>
        <w:pStyle w:val="Heading1"/>
        <w:pBdr>
          <w:bottom w:val="single" w:sz="10" w:space="4" w:color="E9C46A"/>
        </w:pBdr>
      </w:pPr>
      <w:r>
        <w:t>10. Grounded Language Model and Guardrails</w:t>
      </w:r>
    </w:p>
    <w:p>
      <w:pPr>
        <w:keepLines w:val="0"/>
        <w:spacing w:after="160" w:line="300" w:lineRule="auto"/>
        <w:jc w:val="both"/>
      </w:pPr>
      <w:r>
        <w:rPr>
          <w:rFonts w:ascii="Calibri" w:hAnsi="Calibri"/>
          <w:i w:val="0"/>
          <w:color w:val="1F2933"/>
          <w:sz w:val="22"/>
        </w:rPr>
        <w:t>Notebook 6 defines a versioned ontology, prompt registry and four language tasks. A leakage-resistant dataset of 4,800 records is split into 3,600 training, 600 validation and 600 held-out test records. FLAN-T5-small is fully fine-tuned for five epochs; the best validation loss is 0.1574.</w:t>
      </w:r>
    </w:p>
    <w:tbl>
      <w:tblPr>
        <w:tblStyle w:val="TableGrid"/>
        <w:tblW w:type="dxa" w:w="9360"/>
        <w:tblLayout w:type="fixed"/>
        <w:tblLook w:firstColumn="1" w:firstRow="1" w:lastColumn="0" w:lastRow="0" w:noHBand="0" w:noVBand="1" w:val="04A0"/>
        <w:tblInd w:w="120" w:type="dxa"/>
      </w:tblPr>
      <w:tblGrid>
        <w:gridCol w:w="2500"/>
        <w:gridCol w:w="1600"/>
        <w:gridCol w:w="5260"/>
      </w:tblGrid>
      <w:tr>
        <w:trPr>
          <w:tblHeader w:val="true"/>
        </w:trPr>
        <w:tc>
          <w:tcPr>
            <w:tcW w:type="dxa" w:w="2500"/>
            <w:tcMar>
              <w:top w:w="90" w:type="dxa"/>
              <w:start w:w="120" w:type="dxa"/>
              <w:bottom w:w="90" w:type="dxa"/>
              <w:end w:w="120" w:type="dxa"/>
            </w:tcMar>
            <w:vAlign w:val="center"/>
            <w:shd w:fill="12372A"/>
          </w:tcPr>
          <w:p>
            <w:pPr>
              <w:spacing w:after="0"/>
              <w:jc w:val="center"/>
            </w:pPr>
            <w:r>
              <w:rPr>
                <w:rFonts w:ascii="Calibri" w:hAnsi="Calibri"/>
                <w:b/>
                <w:color w:val="FFFFFF"/>
                <w:sz w:val="18"/>
              </w:rPr>
              <w:t>Task</w:t>
            </w:r>
          </w:p>
        </w:tc>
        <w:tc>
          <w:tcPr>
            <w:tcW w:type="dxa" w:w="1600"/>
            <w:tcMar>
              <w:top w:w="90" w:type="dxa"/>
              <w:start w:w="120" w:type="dxa"/>
              <w:bottom w:w="90" w:type="dxa"/>
              <w:end w:w="120" w:type="dxa"/>
            </w:tcMar>
            <w:vAlign w:val="center"/>
            <w:shd w:fill="12372A"/>
          </w:tcPr>
          <w:p>
            <w:pPr>
              <w:spacing w:after="0"/>
              <w:jc w:val="center"/>
            </w:pPr>
            <w:r>
              <w:rPr>
                <w:rFonts w:ascii="Calibri" w:hAnsi="Calibri"/>
                <w:b/>
                <w:color w:val="FFFFFF"/>
                <w:sz w:val="18"/>
              </w:rPr>
              <w:t>Evaluation records</w:t>
            </w:r>
          </w:p>
        </w:tc>
        <w:tc>
          <w:tcPr>
            <w:tcW w:type="dxa" w:w="5260"/>
            <w:tcMar>
              <w:top w:w="90" w:type="dxa"/>
              <w:start w:w="120" w:type="dxa"/>
              <w:bottom w:w="90" w:type="dxa"/>
              <w:end w:w="120" w:type="dxa"/>
            </w:tcMar>
            <w:vAlign w:val="center"/>
            <w:shd w:fill="12372A"/>
          </w:tcPr>
          <w:p>
            <w:pPr>
              <w:spacing w:after="0"/>
              <w:jc w:val="center"/>
            </w:pPr>
            <w:r>
              <w:rPr>
                <w:rFonts w:ascii="Calibri" w:hAnsi="Calibri"/>
                <w:b/>
                <w:color w:val="FFFFFF"/>
                <w:sz w:val="18"/>
              </w:rPr>
              <w:t>Contract objective</w:t>
            </w:r>
          </w:p>
        </w:tc>
      </w:tr>
      <w:tr>
        <w:tc>
          <w:tcPr>
            <w:tcW w:type="dxa" w:w="2500"/>
            <w:tcMar>
              <w:top w:w="90" w:type="dxa"/>
              <w:start w:w="120" w:type="dxa"/>
              <w:bottom w:w="90" w:type="dxa"/>
              <w:end w:w="120" w:type="dxa"/>
            </w:tcMar>
            <w:vAlign w:val="center"/>
          </w:tcPr>
          <w:p>
            <w:pPr>
              <w:spacing w:after="0" w:line="252" w:lineRule="auto"/>
              <w:jc w:val="left"/>
            </w:pPr>
            <w:r>
              <w:rPr>
                <w:rFonts w:ascii="Calibri" w:hAnsi="Calibri"/>
                <w:color w:val="1F2933"/>
                <w:sz w:val="18"/>
              </w:rPr>
              <w:t>Structured report</w:t>
            </w:r>
          </w:p>
        </w:tc>
        <w:tc>
          <w:tcPr>
            <w:tcW w:type="dxa" w:w="1600"/>
            <w:tcMar>
              <w:top w:w="90" w:type="dxa"/>
              <w:start w:w="120" w:type="dxa"/>
              <w:bottom w:w="90" w:type="dxa"/>
              <w:end w:w="120" w:type="dxa"/>
            </w:tcMar>
            <w:vAlign w:val="center"/>
          </w:tcPr>
          <w:p>
            <w:pPr>
              <w:spacing w:after="0" w:line="252" w:lineRule="auto"/>
              <w:jc w:val="center"/>
            </w:pPr>
            <w:r>
              <w:rPr>
                <w:rFonts w:ascii="Calibri" w:hAnsi="Calibri"/>
                <w:color w:val="1F2933"/>
                <w:sz w:val="18"/>
              </w:rPr>
              <w:t>150 held-out</w:t>
            </w:r>
          </w:p>
        </w:tc>
        <w:tc>
          <w:tcPr>
            <w:tcW w:type="dxa" w:w="5260"/>
            <w:tcMar>
              <w:top w:w="90" w:type="dxa"/>
              <w:start w:w="120" w:type="dxa"/>
              <w:bottom w:w="90" w:type="dxa"/>
              <w:end w:w="120" w:type="dxa"/>
            </w:tcMar>
            <w:vAlign w:val="center"/>
          </w:tcPr>
          <w:p>
            <w:pPr>
              <w:spacing w:after="0" w:line="252" w:lineRule="auto"/>
              <w:jc w:val="left"/>
            </w:pPr>
            <w:r>
              <w:rPr>
                <w:rFonts w:ascii="Calibri" w:hAnsi="Calibri"/>
                <w:color w:val="1F2933"/>
                <w:sz w:val="18"/>
              </w:rPr>
              <w:t>Ordered finding evidence and limitations</w:t>
            </w:r>
          </w:p>
        </w:tc>
      </w:tr>
      <w:tr>
        <w:tc>
          <w:tcPr>
            <w:tcW w:type="dxa" w:w="25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Plain-language explanation</w:t>
            </w:r>
          </w:p>
        </w:tc>
        <w:tc>
          <w:tcPr>
            <w:tcW w:type="dxa" w:w="16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150 held-out</w:t>
            </w:r>
          </w:p>
        </w:tc>
        <w:tc>
          <w:tcPr>
            <w:tcW w:type="dxa" w:w="526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Accessible description of thresholds and meaning</w:t>
            </w:r>
          </w:p>
        </w:tc>
      </w:tr>
      <w:tr>
        <w:tc>
          <w:tcPr>
            <w:tcW w:type="dxa" w:w="2500"/>
            <w:tcMar>
              <w:top w:w="90" w:type="dxa"/>
              <w:start w:w="120" w:type="dxa"/>
              <w:bottom w:w="90" w:type="dxa"/>
              <w:end w:w="120" w:type="dxa"/>
            </w:tcMar>
            <w:vAlign w:val="center"/>
          </w:tcPr>
          <w:p>
            <w:pPr>
              <w:spacing w:after="0" w:line="252" w:lineRule="auto"/>
              <w:jc w:val="left"/>
            </w:pPr>
            <w:r>
              <w:rPr>
                <w:rFonts w:ascii="Calibri" w:hAnsi="Calibri"/>
                <w:color w:val="1F2933"/>
                <w:sz w:val="18"/>
              </w:rPr>
              <w:t>Grounded question answering</w:t>
            </w:r>
          </w:p>
        </w:tc>
        <w:tc>
          <w:tcPr>
            <w:tcW w:type="dxa" w:w="1600"/>
            <w:tcMar>
              <w:top w:w="90" w:type="dxa"/>
              <w:start w:w="120" w:type="dxa"/>
              <w:bottom w:w="90" w:type="dxa"/>
              <w:end w:w="120" w:type="dxa"/>
            </w:tcMar>
            <w:vAlign w:val="center"/>
          </w:tcPr>
          <w:p>
            <w:pPr>
              <w:spacing w:after="0" w:line="252" w:lineRule="auto"/>
              <w:jc w:val="center"/>
            </w:pPr>
            <w:r>
              <w:rPr>
                <w:rFonts w:ascii="Calibri" w:hAnsi="Calibri"/>
                <w:color w:val="1F2933"/>
                <w:sz w:val="18"/>
              </w:rPr>
              <w:t>150 held-out</w:t>
            </w:r>
          </w:p>
        </w:tc>
        <w:tc>
          <w:tcPr>
            <w:tcW w:type="dxa" w:w="5260"/>
            <w:tcMar>
              <w:top w:w="90" w:type="dxa"/>
              <w:start w:w="120" w:type="dxa"/>
              <w:bottom w:w="90" w:type="dxa"/>
              <w:end w:w="120" w:type="dxa"/>
            </w:tcMar>
            <w:vAlign w:val="center"/>
          </w:tcPr>
          <w:p>
            <w:pPr>
              <w:spacing w:after="0" w:line="252" w:lineRule="auto"/>
              <w:jc w:val="left"/>
            </w:pPr>
            <w:r>
              <w:rPr>
                <w:rFonts w:ascii="Calibri" w:hAnsi="Calibri"/>
                <w:color w:val="1F2933"/>
                <w:sz w:val="18"/>
              </w:rPr>
              <w:t>Question answered only from stored prediction evidence</w:t>
            </w:r>
          </w:p>
        </w:tc>
      </w:tr>
      <w:tr>
        <w:tc>
          <w:tcPr>
            <w:tcW w:type="dxa" w:w="25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Educational follow-up</w:t>
            </w:r>
          </w:p>
        </w:tc>
        <w:tc>
          <w:tcPr>
            <w:tcW w:type="dxa" w:w="16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150 held-out</w:t>
            </w:r>
          </w:p>
        </w:tc>
        <w:tc>
          <w:tcPr>
            <w:tcW w:type="dxa" w:w="526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Controlled professional-review guidance</w:t>
            </w:r>
          </w:p>
        </w:tc>
      </w:tr>
    </w:tbl>
    <w:p>
      <w:pPr>
        <w:spacing w:after="40"/>
      </w:pPr>
    </w:p>
    <w:p>
      <w:pPr>
        <w:keepNext/>
        <w:spacing w:after="0"/>
        <w:jc w:val="center"/>
      </w:pPr>
      <w:r>
        <w:drawing>
          <wp:inline xmlns:a="http://schemas.openxmlformats.org/drawingml/2006/main" xmlns:pic="http://schemas.openxmlformats.org/drawingml/2006/picture">
            <wp:extent cx="5715000" cy="2974705"/>
            <wp:docPr id="19" name="Picture 19" title="Report figure: Held-out language quality, grounding and safety metrics." descr="Held-out language quality, grounding and safety metrics."/>
            <wp:cNvGraphicFramePr>
              <a:graphicFrameLocks noChangeAspect="1"/>
            </wp:cNvGraphicFramePr>
            <a:graphic>
              <a:graphicData uri="http://schemas.openxmlformats.org/drawingml/2006/picture">
                <pic:pic>
                  <pic:nvPicPr>
                    <pic:cNvPr id="0" name="language_metrics.png"/>
                    <pic:cNvPicPr/>
                  </pic:nvPicPr>
                  <pic:blipFill>
                    <a:blip r:embed="rId29"/>
                    <a:stretch>
                      <a:fillRect/>
                    </a:stretch>
                  </pic:blipFill>
                  <pic:spPr>
                    <a:xfrm>
                      <a:off x="0" y="0"/>
                      <a:ext cx="5715000" cy="2974705"/>
                    </a:xfrm>
                    <a:prstGeom prst="rect"/>
                  </pic:spPr>
                </pic:pic>
              </a:graphicData>
            </a:graphic>
          </wp:inline>
        </w:drawing>
      </w:r>
    </w:p>
    <w:p>
      <w:pPr>
        <w:pStyle w:val="Caption"/>
        <w:jc w:val="center"/>
      </w:pPr>
      <w:r>
        <w:rPr>
          <w:rFonts w:ascii="Calibri" w:hAnsi="Calibri"/>
          <w:i/>
          <w:color w:val="66737F"/>
          <w:sz w:val="18"/>
        </w:rPr>
        <w:t>Figure 18. Held-out language quality, grounding and safety metrics. Source: Notebook 6.</w:t>
      </w:r>
    </w:p>
    <w:p>
      <w:pPr>
        <w:keepLines w:val="0"/>
        <w:spacing w:after="160" w:line="300" w:lineRule="auto"/>
        <w:jc w:val="both"/>
      </w:pPr>
      <w:r>
        <w:rPr>
          <w:rFonts w:ascii="Calibri" w:hAnsi="Calibri"/>
          <w:i w:val="0"/>
          <w:color w:val="1F2933"/>
          <w:sz w:val="22"/>
        </w:rPr>
        <w:t>Text-overlap quality is high across the controlled reference contract: ROUGE-1 F1 is 0.8574, ROUGE-2 F1 is 0.8106, ROUGE-L F1 is 0.8489 and smoothed BLEU-4 is 0.7393. Exact match is zero because the task permits valid wording variation. More importantly, the unsupported-finding rate is zero, safety-boundary compliance is 1.0000 and forbidden-claim-free rate is 1.0000.</w:t>
      </w:r>
    </w:p>
    <w:p>
      <w:pPr>
        <w:keepLines w:val="0"/>
        <w:spacing w:after="160" w:line="300" w:lineRule="auto"/>
        <w:jc w:val="both"/>
      </w:pPr>
      <w:r>
        <w:rPr>
          <w:rFonts w:ascii="Calibri" w:hAnsi="Calibri"/>
          <w:i w:val="0"/>
          <w:color w:val="1F2933"/>
          <w:sz w:val="22"/>
        </w:rPr>
        <w:t>Raw generation still exposes contract weaknesses: finding-grounding compliance is 0.9183 and numeric-grounding compliance is 0.8117. Error analysis identifies 164 of 600 generations with at least one issue, dominated by numeric-grounding issues (113 records) and missing-required-finding issues (49 records).</w:t>
      </w:r>
    </w:p>
    <w:p>
      <w:pPr>
        <w:keepNext/>
        <w:spacing w:after="0"/>
        <w:jc w:val="center"/>
      </w:pPr>
      <w:r>
        <w:drawing>
          <wp:inline xmlns:a="http://schemas.openxmlformats.org/drawingml/2006/main" xmlns:pic="http://schemas.openxmlformats.org/drawingml/2006/picture">
            <wp:extent cx="5715000" cy="2698502"/>
            <wp:docPr id="20" name="Picture 20" title="Report figure: Guardrail disposition and contract compliance before and after deterministic control." descr="Guardrail disposition and contract compliance before and after deterministic control."/>
            <wp:cNvGraphicFramePr>
              <a:graphicFrameLocks noChangeAspect="1"/>
            </wp:cNvGraphicFramePr>
            <a:graphic>
              <a:graphicData uri="http://schemas.openxmlformats.org/drawingml/2006/picture">
                <pic:pic>
                  <pic:nvPicPr>
                    <pic:cNvPr id="0" name="guardrail_effect.png"/>
                    <pic:cNvPicPr/>
                  </pic:nvPicPr>
                  <pic:blipFill>
                    <a:blip r:embed="rId30"/>
                    <a:stretch>
                      <a:fillRect/>
                    </a:stretch>
                  </pic:blipFill>
                  <pic:spPr>
                    <a:xfrm>
                      <a:off x="0" y="0"/>
                      <a:ext cx="5715000" cy="2698502"/>
                    </a:xfrm>
                    <a:prstGeom prst="rect"/>
                  </pic:spPr>
                </pic:pic>
              </a:graphicData>
            </a:graphic>
          </wp:inline>
        </w:drawing>
      </w:r>
    </w:p>
    <w:p>
      <w:pPr>
        <w:pStyle w:val="Caption"/>
        <w:jc w:val="center"/>
      </w:pPr>
      <w:r>
        <w:rPr>
          <w:rFonts w:ascii="Calibri" w:hAnsi="Calibri"/>
          <w:i/>
          <w:color w:val="66737F"/>
          <w:sz w:val="18"/>
        </w:rPr>
        <w:t>Figure 19. Guardrail disposition and contract compliance before and after deterministic control. Source: Notebook 6.</w:t>
      </w:r>
    </w:p>
    <w:p>
      <w:pPr>
        <w:keepLines w:val="0"/>
        <w:spacing w:after="160" w:line="300" w:lineRule="auto"/>
        <w:jc w:val="both"/>
      </w:pPr>
      <w:r>
        <w:rPr>
          <w:rFonts w:ascii="Calibri" w:hAnsi="Calibri"/>
          <w:i w:val="0"/>
          <w:color w:val="1F2933"/>
          <w:sz w:val="22"/>
        </w:rPr>
        <w:t>The deterministic guardrail accepts 436 raw generations and replaces 164 with task-specific safe templates. Post-guardrail evaluation reaches 1.0000 for task routing, section order, required findings, unsupported-finding freedom, numeric grounding, safety limitations, no-target boundaries, controlled refusals, Grad-CAM limitations and forbidden-claim avoidance. The original raw generations are retained for auditability.</w:t>
      </w:r>
    </w:p>
    <w:p>
      <w:pPr>
        <w:pStyle w:val="Heading1"/>
        <w:pBdr>
          <w:bottom w:val="single" w:sz="10" w:space="4" w:color="E9C46A"/>
        </w:pBdr>
      </w:pPr>
      <w:r>
        <w:t>11. FastAPI Service and OpenAPI Contract</w:t>
      </w:r>
    </w:p>
    <w:p>
      <w:pPr>
        <w:keepLines w:val="0"/>
        <w:spacing w:after="160" w:line="300" w:lineRule="auto"/>
        <w:jc w:val="both"/>
      </w:pPr>
      <w:r>
        <w:rPr>
          <w:rFonts w:ascii="Calibri" w:hAnsi="Calibri"/>
          <w:i w:val="0"/>
          <w:color w:val="1F2933"/>
          <w:sz w:val="22"/>
        </w:rPr>
        <w:t>Notebook 7 converts the model and language artifacts into a reusable service architecture. Pydantic schemas enforce strict request and response contracts; controlled exceptions avoid leaking internal paths; bounded upload reading and format verification protect image endpoints; locks protect inference, Grad-CAM and the in-memory prediction store; middleware records latency and request outcomes.</w:t>
      </w:r>
    </w:p>
    <w:p>
      <w:pPr>
        <w:keepNext/>
        <w:spacing w:after="0"/>
        <w:jc w:val="center"/>
      </w:pPr>
      <w:r>
        <w:drawing>
          <wp:inline xmlns:a="http://schemas.openxmlformats.org/drawingml/2006/main" xmlns:pic="http://schemas.openxmlformats.org/drawingml/2006/picture">
            <wp:extent cx="5715000" cy="2425592"/>
            <wp:docPr id="21" name="Picture 21" title="Report figure: Swagger UI title, OpenAPI 3.1 contract and proxy-aware server configuration." descr="Swagger UI title, OpenAPI 3.1 contract and proxy-aware server configuration."/>
            <wp:cNvGraphicFramePr>
              <a:graphicFrameLocks noChangeAspect="1"/>
            </wp:cNvGraphicFramePr>
            <a:graphic>
              <a:graphicData uri="http://schemas.openxmlformats.org/drawingml/2006/picture">
                <pic:pic>
                  <pic:nvPicPr>
                    <pic:cNvPr id="0" name="a3080ca2-f7eb-406f-883c-82e56843ae2e.png"/>
                    <pic:cNvPicPr/>
                  </pic:nvPicPr>
                  <pic:blipFill>
                    <a:blip r:embed="rId31"/>
                    <a:stretch>
                      <a:fillRect/>
                    </a:stretch>
                  </pic:blipFill>
                  <pic:spPr>
                    <a:xfrm>
                      <a:off x="0" y="0"/>
                      <a:ext cx="5715000" cy="2425592"/>
                    </a:xfrm>
                    <a:prstGeom prst="rect"/>
                  </pic:spPr>
                </pic:pic>
              </a:graphicData>
            </a:graphic>
          </wp:inline>
        </w:drawing>
      </w:r>
    </w:p>
    <w:p>
      <w:pPr>
        <w:pStyle w:val="Caption"/>
        <w:jc w:val="center"/>
      </w:pPr>
      <w:r>
        <w:rPr>
          <w:rFonts w:ascii="Calibri" w:hAnsi="Calibri"/>
          <w:i/>
          <w:color w:val="66737F"/>
          <w:sz w:val="18"/>
        </w:rPr>
        <w:t>Figure 20. Swagger UI title, OpenAPI 3.1 contract and proxy-aware server configuration. Source: Live FastAPI application.</w:t>
      </w:r>
    </w:p>
    <w:p>
      <w:pPr>
        <w:keepNext/>
        <w:spacing w:after="0"/>
        <w:jc w:val="center"/>
      </w:pPr>
      <w:r>
        <w:drawing>
          <wp:inline xmlns:a="http://schemas.openxmlformats.org/drawingml/2006/main" xmlns:pic="http://schemas.openxmlformats.org/drawingml/2006/picture">
            <wp:extent cx="5715000" cy="3296318"/>
            <wp:docPr id="22" name="Picture 22" title="Report figure: Swagger endpoint catalogue showing all twelve health, system, analysis and complete-analysis operations." descr="Swagger endpoint catalogue showing all twelve health, system, analysis and complete-analysis operations."/>
            <wp:cNvGraphicFramePr>
              <a:graphicFrameLocks noChangeAspect="1"/>
            </wp:cNvGraphicFramePr>
            <a:graphic>
              <a:graphicData uri="http://schemas.openxmlformats.org/drawingml/2006/picture">
                <pic:pic>
                  <pic:nvPicPr>
                    <pic:cNvPr id="0" name="d2122176-35aa-4f68-b14c-411cabed2ae3.png"/>
                    <pic:cNvPicPr/>
                  </pic:nvPicPr>
                  <pic:blipFill>
                    <a:blip r:embed="rId32"/>
                    <a:stretch>
                      <a:fillRect/>
                    </a:stretch>
                  </pic:blipFill>
                  <pic:spPr>
                    <a:xfrm>
                      <a:off x="0" y="0"/>
                      <a:ext cx="5715000" cy="3296318"/>
                    </a:xfrm>
                    <a:prstGeom prst="rect"/>
                  </pic:spPr>
                </pic:pic>
              </a:graphicData>
            </a:graphic>
          </wp:inline>
        </w:drawing>
      </w:r>
    </w:p>
    <w:p>
      <w:pPr>
        <w:pStyle w:val="Caption"/>
        <w:jc w:val="center"/>
      </w:pPr>
      <w:r>
        <w:rPr>
          <w:rFonts w:ascii="Calibri" w:hAnsi="Calibri"/>
          <w:i/>
          <w:color w:val="66737F"/>
          <w:sz w:val="18"/>
        </w:rPr>
        <w:t>Figure 21. Swagger endpoint catalogue showing all twelve health, system, analysis and complete-analysis operations. Source: Live FastAPI application.</w:t>
      </w:r>
    </w:p>
    <w:p>
      <w:pPr>
        <w:keepNext/>
        <w:spacing w:after="0"/>
        <w:jc w:val="center"/>
      </w:pPr>
      <w:r>
        <w:drawing>
          <wp:inline xmlns:a="http://schemas.openxmlformats.org/drawingml/2006/main" xmlns:pic="http://schemas.openxmlformats.org/drawingml/2006/picture">
            <wp:extent cx="5715000" cy="3495352"/>
            <wp:docPr id="23" name="Picture 23" title="Report figure: Representative OpenAPI component schemas generated from strict Pydantic contracts." descr="Representative OpenAPI component schemas generated from strict Pydantic contracts."/>
            <wp:cNvGraphicFramePr>
              <a:graphicFrameLocks noChangeAspect="1"/>
            </wp:cNvGraphicFramePr>
            <a:graphic>
              <a:graphicData uri="http://schemas.openxmlformats.org/drawingml/2006/picture">
                <pic:pic>
                  <pic:nvPicPr>
                    <pic:cNvPr id="0" name="12c72050-1d5d-4628-b032-03539b8afc1c.png"/>
                    <pic:cNvPicPr/>
                  </pic:nvPicPr>
                  <pic:blipFill>
                    <a:blip r:embed="rId33"/>
                    <a:stretch>
                      <a:fillRect/>
                    </a:stretch>
                  </pic:blipFill>
                  <pic:spPr>
                    <a:xfrm>
                      <a:off x="0" y="0"/>
                      <a:ext cx="5715000" cy="3495352"/>
                    </a:xfrm>
                    <a:prstGeom prst="rect"/>
                  </pic:spPr>
                </pic:pic>
              </a:graphicData>
            </a:graphic>
          </wp:inline>
        </w:drawing>
      </w:r>
    </w:p>
    <w:p>
      <w:pPr>
        <w:pStyle w:val="Caption"/>
        <w:jc w:val="center"/>
      </w:pPr>
      <w:r>
        <w:rPr>
          <w:rFonts w:ascii="Calibri" w:hAnsi="Calibri"/>
          <w:i/>
          <w:color w:val="66737F"/>
          <w:sz w:val="18"/>
        </w:rPr>
        <w:t>Figure 22. Representative OpenAPI component schemas generated from strict Pydantic contracts. Source: Live FastAPI application.</w:t>
      </w:r>
    </w:p>
    <w:p>
      <w:pPr>
        <w:keepNext/>
        <w:spacing w:after="0"/>
        <w:jc w:val="center"/>
      </w:pPr>
      <w:r>
        <w:drawing>
          <wp:inline xmlns:a="http://schemas.openxmlformats.org/drawingml/2006/main" xmlns:pic="http://schemas.openxmlformats.org/drawingml/2006/picture">
            <wp:extent cx="5715000" cy="4568095"/>
            <wp:docPr id="24" name="Picture 24" title="Report figure: Executed GET /health request with HTTP 200, version lineage, uptime and lazy-load component state." descr="Executed GET /health request with HTTP 200, version lineage, uptime and lazy-load component state."/>
            <wp:cNvGraphicFramePr>
              <a:graphicFrameLocks noChangeAspect="1"/>
            </wp:cNvGraphicFramePr>
            <a:graphic>
              <a:graphicData uri="http://schemas.openxmlformats.org/drawingml/2006/picture">
                <pic:pic>
                  <pic:nvPicPr>
                    <pic:cNvPr id="0" name="5724a3b9-ba24-418f-a044-8b97ff110505.png"/>
                    <pic:cNvPicPr/>
                  </pic:nvPicPr>
                  <pic:blipFill>
                    <a:blip r:embed="rId34"/>
                    <a:stretch>
                      <a:fillRect/>
                    </a:stretch>
                  </pic:blipFill>
                  <pic:spPr>
                    <a:xfrm>
                      <a:off x="0" y="0"/>
                      <a:ext cx="5715000" cy="4568095"/>
                    </a:xfrm>
                    <a:prstGeom prst="rect"/>
                  </pic:spPr>
                </pic:pic>
              </a:graphicData>
            </a:graphic>
          </wp:inline>
        </w:drawing>
      </w:r>
    </w:p>
    <w:p>
      <w:pPr>
        <w:pStyle w:val="Caption"/>
        <w:jc w:val="center"/>
      </w:pPr>
      <w:r>
        <w:rPr>
          <w:rFonts w:ascii="Calibri" w:hAnsi="Calibri"/>
          <w:i/>
          <w:color w:val="66737F"/>
          <w:sz w:val="18"/>
        </w:rPr>
        <w:t>Figure 23. Executed GET /health request with HTTP 200, version lineage, uptime and lazy-load component state. Source: Live FastAPI application.</w:t>
      </w:r>
    </w:p>
    <w:p>
      <w:pPr>
        <w:keepLines w:val="0"/>
        <w:spacing w:after="160" w:line="300" w:lineRule="auto"/>
        <w:jc w:val="both"/>
      </w:pPr>
      <w:r>
        <w:rPr>
          <w:rFonts w:ascii="Calibri" w:hAnsi="Calibri"/>
          <w:i w:val="0"/>
          <w:color w:val="1F2933"/>
          <w:sz w:val="22"/>
        </w:rPr>
        <w:t>The health endpoint intentionally returns readiness without loading models. The screenshot therefore shows HTTP 200 and service success while model components remain not_loaded until an inference endpoint requires them. This lazy-load design separates lightweight availability checks from expensive GPU initialization.</w:t>
      </w:r>
    </w:p>
    <w:tbl>
      <w:tblPr>
        <w:tblStyle w:val="TableGrid"/>
        <w:tblW w:type="dxa" w:w="9360"/>
        <w:tblLayout w:type="fixed"/>
        <w:tblLook w:firstColumn="1" w:firstRow="1" w:lastColumn="0" w:lastRow="0" w:noHBand="0" w:noVBand="1" w:val="04A0"/>
        <w:tblInd w:w="120" w:type="dxa"/>
      </w:tblPr>
      <w:tblGrid>
        <w:gridCol w:w="3500"/>
        <w:gridCol w:w="5860"/>
      </w:tblGrid>
      <w:tr>
        <w:trPr>
          <w:tblHeader w:val="true"/>
        </w:trPr>
        <w:tc>
          <w:tcPr>
            <w:tcW w:type="dxa" w:w="3500"/>
            <w:tcMar>
              <w:top w:w="90" w:type="dxa"/>
              <w:start w:w="120" w:type="dxa"/>
              <w:bottom w:w="90" w:type="dxa"/>
              <w:end w:w="120" w:type="dxa"/>
            </w:tcMar>
            <w:vAlign w:val="center"/>
            <w:shd w:fill="12372A"/>
          </w:tcPr>
          <w:p>
            <w:pPr>
              <w:spacing w:after="0"/>
              <w:jc w:val="center"/>
            </w:pPr>
            <w:r>
              <w:rPr>
                <w:rFonts w:ascii="Calibri" w:hAnsi="Calibri"/>
                <w:b/>
                <w:color w:val="FFFFFF"/>
                <w:sz w:val="18"/>
              </w:rPr>
              <w:t>API assurance</w:t>
            </w:r>
          </w:p>
        </w:tc>
        <w:tc>
          <w:tcPr>
            <w:tcW w:type="dxa" w:w="5860"/>
            <w:tcMar>
              <w:top w:w="90" w:type="dxa"/>
              <w:start w:w="120" w:type="dxa"/>
              <w:bottom w:w="90" w:type="dxa"/>
              <w:end w:w="120" w:type="dxa"/>
            </w:tcMar>
            <w:vAlign w:val="center"/>
            <w:shd w:fill="12372A"/>
          </w:tcPr>
          <w:p>
            <w:pPr>
              <w:spacing w:after="0"/>
              <w:jc w:val="center"/>
            </w:pPr>
            <w:r>
              <w:rPr>
                <w:rFonts w:ascii="Calibri" w:hAnsi="Calibri"/>
                <w:b/>
                <w:color w:val="FFFFFF"/>
                <w:sz w:val="18"/>
              </w:rPr>
              <w:t>Evidence</w:t>
            </w:r>
          </w:p>
        </w:tc>
      </w:tr>
      <w:tr>
        <w:tc>
          <w:tcPr>
            <w:tcW w:type="dxa" w:w="3500"/>
            <w:tcMar>
              <w:top w:w="90" w:type="dxa"/>
              <w:start w:w="120" w:type="dxa"/>
              <w:bottom w:w="90" w:type="dxa"/>
              <w:end w:w="120" w:type="dxa"/>
            </w:tcMar>
            <w:vAlign w:val="center"/>
          </w:tcPr>
          <w:p>
            <w:pPr>
              <w:spacing w:after="0" w:line="252" w:lineRule="auto"/>
              <w:jc w:val="left"/>
            </w:pPr>
            <w:r>
              <w:rPr>
                <w:rFonts w:ascii="Calibri" w:hAnsi="Calibri"/>
                <w:color w:val="1F2933"/>
                <w:sz w:val="18"/>
              </w:rPr>
              <w:t>OpenAPI paths</w:t>
            </w:r>
          </w:p>
        </w:tc>
        <w:tc>
          <w:tcPr>
            <w:tcW w:type="dxa" w:w="5860"/>
            <w:tcMar>
              <w:top w:w="90" w:type="dxa"/>
              <w:start w:w="120" w:type="dxa"/>
              <w:bottom w:w="90" w:type="dxa"/>
              <w:end w:w="120" w:type="dxa"/>
            </w:tcMar>
            <w:vAlign w:val="center"/>
          </w:tcPr>
          <w:p>
            <w:pPr>
              <w:spacing w:after="0" w:line="252" w:lineRule="auto"/>
              <w:jc w:val="center"/>
            </w:pPr>
            <w:r>
              <w:rPr>
                <w:rFonts w:ascii="Calibri" w:hAnsi="Calibri"/>
                <w:color w:val="1F2933"/>
                <w:sz w:val="18"/>
              </w:rPr>
              <w:t>12 / 12</w:t>
            </w:r>
          </w:p>
        </w:tc>
      </w:tr>
      <w:tr>
        <w:tc>
          <w:tcPr>
            <w:tcW w:type="dxa" w:w="35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OpenAPI operations</w:t>
            </w:r>
          </w:p>
        </w:tc>
        <w:tc>
          <w:tcPr>
            <w:tcW w:type="dxa" w:w="586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12 / 12</w:t>
            </w:r>
          </w:p>
        </w:tc>
      </w:tr>
      <w:tr>
        <w:tc>
          <w:tcPr>
            <w:tcW w:type="dxa" w:w="3500"/>
            <w:tcMar>
              <w:top w:w="90" w:type="dxa"/>
              <w:start w:w="120" w:type="dxa"/>
              <w:bottom w:w="90" w:type="dxa"/>
              <w:end w:w="120" w:type="dxa"/>
            </w:tcMar>
            <w:vAlign w:val="center"/>
          </w:tcPr>
          <w:p>
            <w:pPr>
              <w:spacing w:after="0" w:line="252" w:lineRule="auto"/>
              <w:jc w:val="left"/>
            </w:pPr>
            <w:r>
              <w:rPr>
                <w:rFonts w:ascii="Calibri" w:hAnsi="Calibri"/>
                <w:color w:val="1F2933"/>
                <w:sz w:val="18"/>
              </w:rPr>
              <w:t>Reusable API tests</w:t>
            </w:r>
          </w:p>
        </w:tc>
        <w:tc>
          <w:tcPr>
            <w:tcW w:type="dxa" w:w="5860"/>
            <w:tcMar>
              <w:top w:w="90" w:type="dxa"/>
              <w:start w:w="120" w:type="dxa"/>
              <w:bottom w:w="90" w:type="dxa"/>
              <w:end w:w="120" w:type="dxa"/>
            </w:tcMar>
            <w:vAlign w:val="center"/>
          </w:tcPr>
          <w:p>
            <w:pPr>
              <w:spacing w:after="0" w:line="252" w:lineRule="auto"/>
              <w:jc w:val="left"/>
            </w:pPr>
            <w:r>
              <w:rPr>
                <w:rFonts w:ascii="Calibri" w:hAnsi="Calibri"/>
                <w:color w:val="1F2933"/>
                <w:sz w:val="18"/>
              </w:rPr>
              <w:t>23 passed, 0 failed</w:t>
            </w:r>
          </w:p>
        </w:tc>
      </w:tr>
      <w:tr>
        <w:tc>
          <w:tcPr>
            <w:tcW w:type="dxa" w:w="35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Standalone Uvicorn</w:t>
            </w:r>
          </w:p>
        </w:tc>
        <w:tc>
          <w:tcPr>
            <w:tcW w:type="dxa" w:w="586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Verified without traceback</w:t>
            </w:r>
          </w:p>
        </w:tc>
      </w:tr>
      <w:tr>
        <w:tc>
          <w:tcPr>
            <w:tcW w:type="dxa" w:w="3500"/>
            <w:tcMar>
              <w:top w:w="90" w:type="dxa"/>
              <w:start w:w="120" w:type="dxa"/>
              <w:bottom w:w="90" w:type="dxa"/>
              <w:end w:w="120" w:type="dxa"/>
            </w:tcMar>
            <w:vAlign w:val="center"/>
          </w:tcPr>
          <w:p>
            <w:pPr>
              <w:spacing w:after="0" w:line="252" w:lineRule="auto"/>
              <w:jc w:val="left"/>
            </w:pPr>
            <w:r>
              <w:rPr>
                <w:rFonts w:ascii="Calibri" w:hAnsi="Calibri"/>
                <w:color w:val="1F2933"/>
                <w:sz w:val="18"/>
              </w:rPr>
              <w:t>Controlled errors</w:t>
            </w:r>
          </w:p>
        </w:tc>
        <w:tc>
          <w:tcPr>
            <w:tcW w:type="dxa" w:w="5860"/>
            <w:tcMar>
              <w:top w:w="90" w:type="dxa"/>
              <w:start w:w="120" w:type="dxa"/>
              <w:bottom w:w="90" w:type="dxa"/>
              <w:end w:w="120" w:type="dxa"/>
            </w:tcMar>
            <w:vAlign w:val="center"/>
          </w:tcPr>
          <w:p>
            <w:pPr>
              <w:spacing w:after="0" w:line="252" w:lineRule="auto"/>
              <w:jc w:val="left"/>
            </w:pPr>
            <w:r>
              <w:rPr>
                <w:rFonts w:ascii="Calibri" w:hAnsi="Calibri"/>
                <w:color w:val="1F2933"/>
                <w:sz w:val="18"/>
              </w:rPr>
              <w:t>400, 404, 413, 415, 422 and 500 contracts</w:t>
            </w:r>
          </w:p>
        </w:tc>
      </w:tr>
      <w:tr>
        <w:tc>
          <w:tcPr>
            <w:tcW w:type="dxa" w:w="35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Artifact registry</w:t>
            </w:r>
          </w:p>
        </w:tc>
        <w:tc>
          <w:tcPr>
            <w:tcW w:type="dxa" w:w="586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45 API files with checksums at Notebook 7 gate</w:t>
            </w:r>
          </w:p>
        </w:tc>
      </w:tr>
    </w:tbl>
    <w:p>
      <w:pPr>
        <w:spacing w:after="40"/>
      </w:pPr>
    </w:p>
    <w:p>
      <w:pPr>
        <w:pStyle w:val="Heading1"/>
        <w:pBdr>
          <w:bottom w:val="single" w:sz="10" w:space="4" w:color="E9C46A"/>
        </w:pBdr>
      </w:pPr>
      <w:r>
        <w:t>12. Streamlit Interface and Live Demonstration</w:t>
      </w:r>
    </w:p>
    <w:p>
      <w:pPr>
        <w:keepLines w:val="0"/>
        <w:spacing w:after="160" w:line="300" w:lineRule="auto"/>
        <w:jc w:val="both"/>
      </w:pPr>
      <w:r>
        <w:rPr>
          <w:rFonts w:ascii="Calibri" w:hAnsi="Calibri"/>
          <w:i w:val="0"/>
          <w:color w:val="1F2933"/>
          <w:sz w:val="22"/>
        </w:rPr>
        <w:t>Notebook 8 builds an HTTP-only Streamlit client. The UI never imports the model, Grad-CAM service or prediction store. It supports PNG/JPEG uploads up to 10 MiB, previews the selected image, sends one complete-analysis request, persists the response in session state, renders structured evidence, submits grounded questions and retrieves stored predictions without repeated inference.</w:t>
      </w:r>
    </w:p>
    <w:p>
      <w:pPr>
        <w:keepNext/>
        <w:spacing w:after="0"/>
        <w:jc w:val="center"/>
      </w:pPr>
      <w:r>
        <w:drawing>
          <wp:inline xmlns:a="http://schemas.openxmlformats.org/drawingml/2006/main" xmlns:pic="http://schemas.openxmlformats.org/drawingml/2006/picture">
            <wp:extent cx="5715000" cy="2838061"/>
            <wp:docPr id="25" name="Picture 25" title="Report figure: Streamlit landing interface with safety notice, upload contract and HTTP-only system boundary." descr="Streamlit landing interface with safety notice, upload contract and HTTP-only system boundary."/>
            <wp:cNvGraphicFramePr>
              <a:graphicFrameLocks noChangeAspect="1"/>
            </wp:cNvGraphicFramePr>
            <a:graphic>
              <a:graphicData uri="http://schemas.openxmlformats.org/drawingml/2006/picture">
                <pic:pic>
                  <pic:nvPicPr>
                    <pic:cNvPr id="0" name="41d3ad1e-b469-4c29-885a-390e17263b5e.png"/>
                    <pic:cNvPicPr/>
                  </pic:nvPicPr>
                  <pic:blipFill>
                    <a:blip r:embed="rId35"/>
                    <a:stretch>
                      <a:fillRect/>
                    </a:stretch>
                  </pic:blipFill>
                  <pic:spPr>
                    <a:xfrm>
                      <a:off x="0" y="0"/>
                      <a:ext cx="5715000" cy="2838061"/>
                    </a:xfrm>
                    <a:prstGeom prst="rect"/>
                  </pic:spPr>
                </pic:pic>
              </a:graphicData>
            </a:graphic>
          </wp:inline>
        </w:drawing>
      </w:r>
    </w:p>
    <w:p>
      <w:pPr>
        <w:pStyle w:val="Caption"/>
        <w:jc w:val="center"/>
      </w:pPr>
      <w:r>
        <w:rPr>
          <w:rFonts w:ascii="Calibri" w:hAnsi="Calibri"/>
          <w:i/>
          <w:color w:val="66737F"/>
          <w:sz w:val="18"/>
        </w:rPr>
        <w:t>Figure 24. Streamlit landing interface with safety notice, upload contract and HTTP-only system boundary. Source: Live Streamlit application.</w:t>
      </w:r>
    </w:p>
    <w:p>
      <w:pPr>
        <w:keepNext/>
        <w:spacing w:after="0"/>
        <w:jc w:val="center"/>
      </w:pPr>
      <w:r>
        <w:drawing>
          <wp:inline xmlns:a="http://schemas.openxmlformats.org/drawingml/2006/main" xmlns:pic="http://schemas.openxmlformats.org/drawingml/2006/picture">
            <wp:extent cx="5715000" cy="2991562"/>
            <wp:docPr id="26" name="Picture 26" title="Report figure: Selected chest X-ray preview and backend-validation boundary before submission." descr="Selected chest X-ray preview and backend-validation boundary before submission."/>
            <wp:cNvGraphicFramePr>
              <a:graphicFrameLocks noChangeAspect="1"/>
            </wp:cNvGraphicFramePr>
            <a:graphic>
              <a:graphicData uri="http://schemas.openxmlformats.org/drawingml/2006/picture">
                <pic:pic>
                  <pic:nvPicPr>
                    <pic:cNvPr id="0" name="f4928da2-1be0-4b1d-aa98-16b370efc508.png"/>
                    <pic:cNvPicPr/>
                  </pic:nvPicPr>
                  <pic:blipFill>
                    <a:blip r:embed="rId36"/>
                    <a:stretch>
                      <a:fillRect/>
                    </a:stretch>
                  </pic:blipFill>
                  <pic:spPr>
                    <a:xfrm>
                      <a:off x="0" y="0"/>
                      <a:ext cx="5715000" cy="2991562"/>
                    </a:xfrm>
                    <a:prstGeom prst="rect"/>
                  </pic:spPr>
                </pic:pic>
              </a:graphicData>
            </a:graphic>
          </wp:inline>
        </w:drawing>
      </w:r>
    </w:p>
    <w:p>
      <w:pPr>
        <w:pStyle w:val="Caption"/>
        <w:jc w:val="center"/>
      </w:pPr>
      <w:r>
        <w:rPr>
          <w:rFonts w:ascii="Calibri" w:hAnsi="Calibri"/>
          <w:i/>
          <w:color w:val="66737F"/>
          <w:sz w:val="18"/>
        </w:rPr>
        <w:t>Figure 25. Selected chest X-ray preview and backend-validation boundary before submission. Source: Live Streamlit application.</w:t>
      </w:r>
    </w:p>
    <w:p>
      <w:pPr>
        <w:keepNext/>
        <w:spacing w:after="0"/>
        <w:jc w:val="center"/>
      </w:pPr>
      <w:r>
        <w:drawing>
          <wp:inline xmlns:a="http://schemas.openxmlformats.org/drawingml/2006/main" xmlns:pic="http://schemas.openxmlformats.org/drawingml/2006/picture">
            <wp:extent cx="5715000" cy="2946961"/>
            <wp:docPr id="27" name="Picture 27" title="Report figure: Successful complete-analysis response with 14 findings, three crossed thresholds and persisted prediction ID." descr="Successful complete-analysis response with 14 findings, three crossed thresholds and persisted prediction ID."/>
            <wp:cNvGraphicFramePr>
              <a:graphicFrameLocks noChangeAspect="1"/>
            </wp:cNvGraphicFramePr>
            <a:graphic>
              <a:graphicData uri="http://schemas.openxmlformats.org/drawingml/2006/picture">
                <pic:pic>
                  <pic:nvPicPr>
                    <pic:cNvPr id="0" name="cbfc17f9-b3b8-42d2-aa8d-d7f329a2c253.png"/>
                    <pic:cNvPicPr/>
                  </pic:nvPicPr>
                  <pic:blipFill>
                    <a:blip r:embed="rId37"/>
                    <a:stretch>
                      <a:fillRect/>
                    </a:stretch>
                  </pic:blipFill>
                  <pic:spPr>
                    <a:xfrm>
                      <a:off x="0" y="0"/>
                      <a:ext cx="5715000" cy="2946961"/>
                    </a:xfrm>
                    <a:prstGeom prst="rect"/>
                  </pic:spPr>
                </pic:pic>
              </a:graphicData>
            </a:graphic>
          </wp:inline>
        </w:drawing>
      </w:r>
    </w:p>
    <w:p>
      <w:pPr>
        <w:pStyle w:val="Caption"/>
        <w:jc w:val="center"/>
      </w:pPr>
      <w:r>
        <w:rPr>
          <w:rFonts w:ascii="Calibri" w:hAnsi="Calibri"/>
          <w:i/>
          <w:color w:val="66737F"/>
          <w:sz w:val="18"/>
        </w:rPr>
        <w:t>Figure 26. Successful complete-analysis response with 14 findings, three crossed thresholds and persisted prediction ID. Source: Live Streamlit application.</w:t>
      </w:r>
    </w:p>
    <w:tbl>
      <w:tblPr>
        <w:tblStyle w:val="TableGrid"/>
        <w:tblW w:type="dxa" w:w="9360"/>
        <w:tblLayout w:type="fixed"/>
        <w:tblLook w:firstColumn="1" w:firstRow="1" w:lastColumn="0" w:lastRow="0" w:noHBand="0" w:noVBand="1" w:val="04A0"/>
        <w:tblInd w:w="120" w:type="dxa"/>
      </w:tblPr>
      <w:tblGrid>
        <w:gridCol w:w="3500"/>
        <w:gridCol w:w="5860"/>
      </w:tblGrid>
      <w:tr>
        <w:trPr>
          <w:tblHeader w:val="true"/>
        </w:trPr>
        <w:tc>
          <w:tcPr>
            <w:tcW w:type="dxa" w:w="3500"/>
            <w:tcMar>
              <w:top w:w="90" w:type="dxa"/>
              <w:start w:w="120" w:type="dxa"/>
              <w:bottom w:w="90" w:type="dxa"/>
              <w:end w:w="120" w:type="dxa"/>
            </w:tcMar>
            <w:vAlign w:val="center"/>
            <w:shd w:fill="12372A"/>
          </w:tcPr>
          <w:p>
            <w:pPr>
              <w:spacing w:after="0"/>
              <w:jc w:val="center"/>
            </w:pPr>
            <w:r>
              <w:rPr>
                <w:rFonts w:ascii="Calibri" w:hAnsi="Calibri"/>
                <w:b/>
                <w:color w:val="FFFFFF"/>
                <w:sz w:val="18"/>
              </w:rPr>
              <w:t>Live demonstration field</w:t>
            </w:r>
          </w:p>
        </w:tc>
        <w:tc>
          <w:tcPr>
            <w:tcW w:type="dxa" w:w="5860"/>
            <w:tcMar>
              <w:top w:w="90" w:type="dxa"/>
              <w:start w:w="120" w:type="dxa"/>
              <w:bottom w:w="90" w:type="dxa"/>
              <w:end w:w="120" w:type="dxa"/>
            </w:tcMar>
            <w:vAlign w:val="center"/>
            <w:shd w:fill="12372A"/>
          </w:tcPr>
          <w:p>
            <w:pPr>
              <w:spacing w:after="0"/>
              <w:jc w:val="center"/>
            </w:pPr>
            <w:r>
              <w:rPr>
                <w:rFonts w:ascii="Calibri" w:hAnsi="Calibri"/>
                <w:b/>
                <w:color w:val="FFFFFF"/>
                <w:sz w:val="18"/>
              </w:rPr>
              <w:t>Observed application output</w:t>
            </w:r>
          </w:p>
        </w:tc>
      </w:tr>
      <w:tr>
        <w:tc>
          <w:tcPr>
            <w:tcW w:type="dxa" w:w="3500"/>
            <w:tcMar>
              <w:top w:w="90" w:type="dxa"/>
              <w:start w:w="120" w:type="dxa"/>
              <w:bottom w:w="90" w:type="dxa"/>
              <w:end w:w="120" w:type="dxa"/>
            </w:tcMar>
            <w:vAlign w:val="center"/>
          </w:tcPr>
          <w:p>
            <w:pPr>
              <w:spacing w:after="0" w:line="252" w:lineRule="auto"/>
              <w:jc w:val="left"/>
            </w:pPr>
            <w:r>
              <w:rPr>
                <w:rFonts w:ascii="Calibri" w:hAnsi="Calibri"/>
                <w:color w:val="1F2933"/>
                <w:sz w:val="18"/>
              </w:rPr>
              <w:t>Request status</w:t>
            </w:r>
          </w:p>
        </w:tc>
        <w:tc>
          <w:tcPr>
            <w:tcW w:type="dxa" w:w="5860"/>
            <w:tcMar>
              <w:top w:w="90" w:type="dxa"/>
              <w:start w:w="120" w:type="dxa"/>
              <w:bottom w:w="90" w:type="dxa"/>
              <w:end w:w="120" w:type="dxa"/>
            </w:tcMar>
            <w:vAlign w:val="center"/>
          </w:tcPr>
          <w:p>
            <w:pPr>
              <w:spacing w:after="0" w:line="252" w:lineRule="auto"/>
              <w:jc w:val="center"/>
            </w:pPr>
            <w:r>
              <w:rPr>
                <w:rFonts w:ascii="Calibri" w:hAnsi="Calibri"/>
                <w:color w:val="1F2933"/>
                <w:sz w:val="18"/>
              </w:rPr>
              <w:t>success</w:t>
            </w:r>
          </w:p>
        </w:tc>
      </w:tr>
      <w:tr>
        <w:tc>
          <w:tcPr>
            <w:tcW w:type="dxa" w:w="35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End-to-end latency</w:t>
            </w:r>
          </w:p>
        </w:tc>
        <w:tc>
          <w:tcPr>
            <w:tcW w:type="dxa" w:w="586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6,815.73 ms</w:t>
            </w:r>
          </w:p>
        </w:tc>
      </w:tr>
      <w:tr>
        <w:tc>
          <w:tcPr>
            <w:tcW w:type="dxa" w:w="3500"/>
            <w:tcMar>
              <w:top w:w="90" w:type="dxa"/>
              <w:start w:w="120" w:type="dxa"/>
              <w:bottom w:w="90" w:type="dxa"/>
              <w:end w:w="120" w:type="dxa"/>
            </w:tcMar>
            <w:vAlign w:val="center"/>
          </w:tcPr>
          <w:p>
            <w:pPr>
              <w:spacing w:after="0" w:line="252" w:lineRule="auto"/>
              <w:jc w:val="left"/>
            </w:pPr>
            <w:r>
              <w:rPr>
                <w:rFonts w:ascii="Calibri" w:hAnsi="Calibri"/>
                <w:color w:val="1F2933"/>
                <w:sz w:val="18"/>
              </w:rPr>
              <w:t>Findings evaluated</w:t>
            </w:r>
          </w:p>
        </w:tc>
        <w:tc>
          <w:tcPr>
            <w:tcW w:type="dxa" w:w="5860"/>
            <w:tcMar>
              <w:top w:w="90" w:type="dxa"/>
              <w:start w:w="120" w:type="dxa"/>
              <w:bottom w:w="90" w:type="dxa"/>
              <w:end w:w="120" w:type="dxa"/>
            </w:tcMar>
            <w:vAlign w:val="center"/>
          </w:tcPr>
          <w:p>
            <w:pPr>
              <w:spacing w:after="0" w:line="252" w:lineRule="auto"/>
              <w:jc w:val="center"/>
            </w:pPr>
            <w:r>
              <w:rPr>
                <w:rFonts w:ascii="Calibri" w:hAnsi="Calibri"/>
                <w:color w:val="1F2933"/>
                <w:sz w:val="18"/>
              </w:rPr>
              <w:t>14</w:t>
            </w:r>
          </w:p>
        </w:tc>
      </w:tr>
      <w:tr>
        <w:tc>
          <w:tcPr>
            <w:tcW w:type="dxa" w:w="35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Thresholds crossed</w:t>
            </w:r>
          </w:p>
        </w:tc>
        <w:tc>
          <w:tcPr>
            <w:tcW w:type="dxa" w:w="586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3</w:t>
            </w:r>
          </w:p>
        </w:tc>
      </w:tr>
      <w:tr>
        <w:tc>
          <w:tcPr>
            <w:tcW w:type="dxa" w:w="3500"/>
            <w:tcMar>
              <w:top w:w="90" w:type="dxa"/>
              <w:start w:w="120" w:type="dxa"/>
              <w:bottom w:w="90" w:type="dxa"/>
              <w:end w:w="120" w:type="dxa"/>
            </w:tcMar>
            <w:vAlign w:val="center"/>
          </w:tcPr>
          <w:p>
            <w:pPr>
              <w:spacing w:after="0" w:line="252" w:lineRule="auto"/>
              <w:jc w:val="left"/>
            </w:pPr>
            <w:r>
              <w:rPr>
                <w:rFonts w:ascii="Calibri" w:hAnsi="Calibri"/>
                <w:color w:val="1F2933"/>
                <w:sz w:val="18"/>
              </w:rPr>
              <w:t>Crossed model outputs</w:t>
            </w:r>
          </w:p>
        </w:tc>
        <w:tc>
          <w:tcPr>
            <w:tcW w:type="dxa" w:w="5860"/>
            <w:tcMar>
              <w:top w:w="90" w:type="dxa"/>
              <w:start w:w="120" w:type="dxa"/>
              <w:bottom w:w="90" w:type="dxa"/>
              <w:end w:w="120" w:type="dxa"/>
            </w:tcMar>
            <w:vAlign w:val="center"/>
          </w:tcPr>
          <w:p>
            <w:pPr>
              <w:spacing w:after="0" w:line="252" w:lineRule="auto"/>
              <w:jc w:val="left"/>
            </w:pPr>
            <w:r>
              <w:rPr>
                <w:rFonts w:ascii="Calibri" w:hAnsi="Calibri"/>
                <w:color w:val="1F2933"/>
                <w:sz w:val="18"/>
              </w:rPr>
              <w:t>Effusion, pneumothorax, emphysema</w:t>
            </w:r>
          </w:p>
        </w:tc>
      </w:tr>
      <w:tr>
        <w:tc>
          <w:tcPr>
            <w:tcW w:type="dxa" w:w="35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Language outputs</w:t>
            </w:r>
          </w:p>
        </w:tc>
        <w:tc>
          <w:tcPr>
            <w:tcW w:type="dxa" w:w="586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3 embedded tasks</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6F1E7"/>
          </w:tcPr>
          <w:p>
            <w:pPr>
              <w:spacing w:after="0"/>
            </w:pPr>
            <w:r>
              <w:rPr>
                <w:rFonts w:ascii="Calibri" w:hAnsi="Calibri"/>
                <w:b/>
                <w:color w:val="A23B3B"/>
                <w:sz w:val="21"/>
              </w:rPr>
              <w:t xml:space="preserve">Scope of interpretation: </w:t>
            </w:r>
            <w:r>
              <w:rPr>
                <w:rFonts w:ascii="Calibri" w:hAnsi="Calibri"/>
                <w:color w:val="1F2933"/>
                <w:sz w:val="21"/>
              </w:rPr>
              <w:t>The report documents observed model outputs and workflow behavior. It does not claim that the crossed thresholds are clinically correct for the uploaded image.</w:t>
            </w:r>
          </w:p>
        </w:tc>
      </w:tr>
    </w:tbl>
    <w:p>
      <w:pPr>
        <w:spacing w:after="20"/>
      </w:pPr>
    </w:p>
    <w:p>
      <w:pPr>
        <w:keepNext/>
        <w:spacing w:after="0"/>
        <w:jc w:val="center"/>
      </w:pPr>
      <w:r>
        <w:drawing>
          <wp:inline xmlns:a="http://schemas.openxmlformats.org/drawingml/2006/main" xmlns:pic="http://schemas.openxmlformats.org/drawingml/2006/picture">
            <wp:extent cx="5715000" cy="3044703"/>
            <wp:docPr id="28" name="Picture 28" title="Report figure: Live effusion Grad-CAM overlay and attribution heatmap with adjacent safety limitation." descr="Live effusion Grad-CAM overlay and attribution heatmap with adjacent safety limitation."/>
            <wp:cNvGraphicFramePr>
              <a:graphicFrameLocks noChangeAspect="1"/>
            </wp:cNvGraphicFramePr>
            <a:graphic>
              <a:graphicData uri="http://schemas.openxmlformats.org/drawingml/2006/picture">
                <pic:pic>
                  <pic:nvPicPr>
                    <pic:cNvPr id="0" name="df0c3108-3ec6-47fd-937e-f5f1633e4386.png"/>
                    <pic:cNvPicPr/>
                  </pic:nvPicPr>
                  <pic:blipFill>
                    <a:blip r:embed="rId38"/>
                    <a:stretch>
                      <a:fillRect/>
                    </a:stretch>
                  </pic:blipFill>
                  <pic:spPr>
                    <a:xfrm>
                      <a:off x="0" y="0"/>
                      <a:ext cx="5715000" cy="3044703"/>
                    </a:xfrm>
                    <a:prstGeom prst="rect"/>
                  </pic:spPr>
                </pic:pic>
              </a:graphicData>
            </a:graphic>
          </wp:inline>
        </w:drawing>
      </w:r>
    </w:p>
    <w:p>
      <w:pPr>
        <w:pStyle w:val="Caption"/>
        <w:jc w:val="center"/>
      </w:pPr>
      <w:r>
        <w:rPr>
          <w:rFonts w:ascii="Calibri" w:hAnsi="Calibri"/>
          <w:i/>
          <w:color w:val="66737F"/>
          <w:sz w:val="18"/>
        </w:rPr>
        <w:t>Figure 27. Live effusion Grad-CAM overlay and attribution heatmap with adjacent safety limitation. Source: Live Streamlit application.</w:t>
      </w:r>
    </w:p>
    <w:p>
      <w:pPr>
        <w:keepNext/>
        <w:spacing w:after="0"/>
        <w:jc w:val="center"/>
      </w:pPr>
      <w:r>
        <w:drawing>
          <wp:inline xmlns:a="http://schemas.openxmlformats.org/drawingml/2006/main" xmlns:pic="http://schemas.openxmlformats.org/drawingml/2006/picture">
            <wp:extent cx="5715000" cy="2706179"/>
            <wp:docPr id="29" name="Picture 29" title="Report figure: Live visual-evidence panels and evidence metadata for crossed model outputs." descr="Live visual-evidence panels and evidence metadata for crossed model outputs."/>
            <wp:cNvGraphicFramePr>
              <a:graphicFrameLocks noChangeAspect="1"/>
            </wp:cNvGraphicFramePr>
            <a:graphic>
              <a:graphicData uri="http://schemas.openxmlformats.org/drawingml/2006/picture">
                <pic:pic>
                  <pic:nvPicPr>
                    <pic:cNvPr id="0" name="be941be3-8f08-48c8-8c90-0709b430db63.png"/>
                    <pic:cNvPicPr/>
                  </pic:nvPicPr>
                  <pic:blipFill>
                    <a:blip r:embed="rId39"/>
                    <a:stretch>
                      <a:fillRect/>
                    </a:stretch>
                  </pic:blipFill>
                  <pic:spPr>
                    <a:xfrm>
                      <a:off x="0" y="0"/>
                      <a:ext cx="5715000" cy="2706179"/>
                    </a:xfrm>
                    <a:prstGeom prst="rect"/>
                  </pic:spPr>
                </pic:pic>
              </a:graphicData>
            </a:graphic>
          </wp:inline>
        </w:drawing>
      </w:r>
    </w:p>
    <w:p>
      <w:pPr>
        <w:pStyle w:val="Caption"/>
        <w:jc w:val="center"/>
      </w:pPr>
      <w:r>
        <w:rPr>
          <w:rFonts w:ascii="Calibri" w:hAnsi="Calibri"/>
          <w:i/>
          <w:color w:val="66737F"/>
          <w:sz w:val="18"/>
        </w:rPr>
        <w:t>Figure 28. Live visual-evidence panels and evidence metadata for crossed model outputs. Source: Live Streamlit application.</w:t>
      </w:r>
    </w:p>
    <w:p>
      <w:pPr>
        <w:keepLines w:val="0"/>
        <w:spacing w:after="160" w:line="300" w:lineRule="auto"/>
        <w:jc w:val="both"/>
      </w:pPr>
      <w:r>
        <w:rPr>
          <w:rFonts w:ascii="Calibri" w:hAnsi="Calibri"/>
          <w:i w:val="0"/>
          <w:color w:val="1F2933"/>
          <w:sz w:val="22"/>
        </w:rPr>
        <w:t>The live application displays Grad-CAM only for crossed findings. Probability, frozen threshold and high-attribution-area percentage remain adjacent to the image evidence so the user can distinguish the decision value from the attribution visualization.</w:t>
      </w:r>
    </w:p>
    <w:p>
      <w:pPr>
        <w:keepNext/>
        <w:spacing w:after="0"/>
        <w:jc w:val="center"/>
      </w:pPr>
      <w:r>
        <w:drawing>
          <wp:inline xmlns:a="http://schemas.openxmlformats.org/drawingml/2006/main" xmlns:pic="http://schemas.openxmlformats.org/drawingml/2006/picture">
            <wp:extent cx="5715000" cy="2855743"/>
            <wp:docPr id="30" name="Picture 30" title="Report figure: Grounded structured preliminary report and deterministic safety-template notice." descr="Grounded structured preliminary report and deterministic safety-template notice."/>
            <wp:cNvGraphicFramePr>
              <a:graphicFrameLocks noChangeAspect="1"/>
            </wp:cNvGraphicFramePr>
            <a:graphic>
              <a:graphicData uri="http://schemas.openxmlformats.org/drawingml/2006/picture">
                <pic:pic>
                  <pic:nvPicPr>
                    <pic:cNvPr id="0" name="084ce291-20a8-41ef-a83d-adb2e0c5bc09.png"/>
                    <pic:cNvPicPr/>
                  </pic:nvPicPr>
                  <pic:blipFill>
                    <a:blip r:embed="rId40"/>
                    <a:stretch>
                      <a:fillRect/>
                    </a:stretch>
                  </pic:blipFill>
                  <pic:spPr>
                    <a:xfrm>
                      <a:off x="0" y="0"/>
                      <a:ext cx="5715000" cy="2855743"/>
                    </a:xfrm>
                    <a:prstGeom prst="rect"/>
                  </pic:spPr>
                </pic:pic>
              </a:graphicData>
            </a:graphic>
          </wp:inline>
        </w:drawing>
      </w:r>
    </w:p>
    <w:p>
      <w:pPr>
        <w:pStyle w:val="Caption"/>
        <w:jc w:val="center"/>
      </w:pPr>
      <w:r>
        <w:rPr>
          <w:rFonts w:ascii="Calibri" w:hAnsi="Calibri"/>
          <w:i/>
          <w:color w:val="66737F"/>
          <w:sz w:val="18"/>
        </w:rPr>
        <w:t>Figure 29. Grounded structured preliminary report and deterministic safety-template notice. Source: Live Streamlit application.</w:t>
      </w:r>
    </w:p>
    <w:p>
      <w:pPr>
        <w:keepNext/>
        <w:spacing w:after="0"/>
        <w:jc w:val="center"/>
      </w:pPr>
      <w:r>
        <w:drawing>
          <wp:inline xmlns:a="http://schemas.openxmlformats.org/drawingml/2006/main" xmlns:pic="http://schemas.openxmlformats.org/drawingml/2006/picture">
            <wp:extent cx="5715000" cy="2046684"/>
            <wp:docPr id="31" name="Picture 31" title="Report figure: Plain-language explanation grounded in API-provided probabilities and thresholds." descr="Plain-language explanation grounded in API-provided probabilities and thresholds."/>
            <wp:cNvGraphicFramePr>
              <a:graphicFrameLocks noChangeAspect="1"/>
            </wp:cNvGraphicFramePr>
            <a:graphic>
              <a:graphicData uri="http://schemas.openxmlformats.org/drawingml/2006/picture">
                <pic:pic>
                  <pic:nvPicPr>
                    <pic:cNvPr id="0" name="21027263-cc07-45be-8162-a3fc4380696e.png"/>
                    <pic:cNvPicPr/>
                  </pic:nvPicPr>
                  <pic:blipFill>
                    <a:blip r:embed="rId41"/>
                    <a:stretch>
                      <a:fillRect/>
                    </a:stretch>
                  </pic:blipFill>
                  <pic:spPr>
                    <a:xfrm>
                      <a:off x="0" y="0"/>
                      <a:ext cx="5715000" cy="2046684"/>
                    </a:xfrm>
                    <a:prstGeom prst="rect"/>
                  </pic:spPr>
                </pic:pic>
              </a:graphicData>
            </a:graphic>
          </wp:inline>
        </w:drawing>
      </w:r>
    </w:p>
    <w:p>
      <w:pPr>
        <w:pStyle w:val="Caption"/>
        <w:jc w:val="center"/>
      </w:pPr>
      <w:r>
        <w:rPr>
          <w:rFonts w:ascii="Calibri" w:hAnsi="Calibri"/>
          <w:i/>
          <w:color w:val="66737F"/>
          <w:sz w:val="18"/>
        </w:rPr>
        <w:t>Figure 30. Plain-language explanation grounded in API-provided probabilities and thresholds. Source: Live Streamlit application.</w:t>
      </w:r>
    </w:p>
    <w:p>
      <w:pPr>
        <w:keepNext/>
        <w:spacing w:after="0"/>
        <w:jc w:val="center"/>
      </w:pPr>
      <w:r>
        <w:drawing>
          <wp:inline xmlns:a="http://schemas.openxmlformats.org/drawingml/2006/main" xmlns:pic="http://schemas.openxmlformats.org/drawingml/2006/picture">
            <wp:extent cx="5715000" cy="1993687"/>
            <wp:docPr id="32" name="Picture 32" title="Report figure: Educational follow-up output with guardrail action, latency and fallback reason." descr="Educational follow-up output with guardrail action, latency and fallback reason."/>
            <wp:cNvGraphicFramePr>
              <a:graphicFrameLocks noChangeAspect="1"/>
            </wp:cNvGraphicFramePr>
            <a:graphic>
              <a:graphicData uri="http://schemas.openxmlformats.org/drawingml/2006/picture">
                <pic:pic>
                  <pic:nvPicPr>
                    <pic:cNvPr id="0" name="f3d95236-a048-4872-955f-a7d0b941dea9.png"/>
                    <pic:cNvPicPr/>
                  </pic:nvPicPr>
                  <pic:blipFill>
                    <a:blip r:embed="rId42"/>
                    <a:stretch>
                      <a:fillRect/>
                    </a:stretch>
                  </pic:blipFill>
                  <pic:spPr>
                    <a:xfrm>
                      <a:off x="0" y="0"/>
                      <a:ext cx="5715000" cy="1993687"/>
                    </a:xfrm>
                    <a:prstGeom prst="rect"/>
                  </pic:spPr>
                </pic:pic>
              </a:graphicData>
            </a:graphic>
          </wp:inline>
        </w:drawing>
      </w:r>
    </w:p>
    <w:p>
      <w:pPr>
        <w:pStyle w:val="Caption"/>
        <w:jc w:val="center"/>
      </w:pPr>
      <w:r>
        <w:rPr>
          <w:rFonts w:ascii="Calibri" w:hAnsi="Calibri"/>
          <w:i/>
          <w:color w:val="66737F"/>
          <w:sz w:val="18"/>
        </w:rPr>
        <w:t>Figure 31. Educational follow-up output with guardrail action, latency and fallback reason. Source: Live Streamlit application.</w:t>
      </w:r>
    </w:p>
    <w:p>
      <w:pPr>
        <w:keepLines w:val="0"/>
        <w:spacing w:after="160" w:line="300" w:lineRule="auto"/>
        <w:jc w:val="both"/>
      </w:pPr>
      <w:r>
        <w:rPr>
          <w:rFonts w:ascii="Calibri" w:hAnsi="Calibri"/>
          <w:i w:val="0"/>
          <w:color w:val="1F2933"/>
          <w:sz w:val="22"/>
        </w:rPr>
        <w:t>The main demonstration shows safe_template_fallback for generated language. This is an intended control outcome, not a service failure: the deterministic guardrail detected a missing required finding and replaced the raw output with a grounded template while preserving the trigger reason for audit.</w:t>
      </w:r>
    </w:p>
    <w:p>
      <w:pPr>
        <w:keepNext/>
        <w:spacing w:after="0"/>
        <w:jc w:val="center"/>
      </w:pPr>
      <w:r>
        <w:drawing>
          <wp:inline xmlns:a="http://schemas.openxmlformats.org/drawingml/2006/main" xmlns:pic="http://schemas.openxmlformats.org/drawingml/2006/picture">
            <wp:extent cx="5715000" cy="2592883"/>
            <wp:docPr id="33" name="Picture 33" title="Report figure: Separate grounded-question interaction showing accepted model generation, request lineage and no fallback." descr="Separate grounded-question interaction showing accepted model generation, request lineage and no fallback."/>
            <wp:cNvGraphicFramePr>
              <a:graphicFrameLocks noChangeAspect="1"/>
            </wp:cNvGraphicFramePr>
            <a:graphic>
              <a:graphicData uri="http://schemas.openxmlformats.org/drawingml/2006/picture">
                <pic:pic>
                  <pic:nvPicPr>
                    <pic:cNvPr id="0" name="dfe41821-e5d5-49d6-b3ac-628539a96a8e.png"/>
                    <pic:cNvPicPr/>
                  </pic:nvPicPr>
                  <pic:blipFill>
                    <a:blip r:embed="rId43"/>
                    <a:stretch>
                      <a:fillRect/>
                    </a:stretch>
                  </pic:blipFill>
                  <pic:spPr>
                    <a:xfrm>
                      <a:off x="0" y="0"/>
                      <a:ext cx="5715000" cy="2592883"/>
                    </a:xfrm>
                    <a:prstGeom prst="rect"/>
                  </pic:spPr>
                </pic:pic>
              </a:graphicData>
            </a:graphic>
          </wp:inline>
        </w:drawing>
      </w:r>
    </w:p>
    <w:p>
      <w:pPr>
        <w:pStyle w:val="Caption"/>
        <w:jc w:val="center"/>
      </w:pPr>
      <w:r>
        <w:rPr>
          <w:rFonts w:ascii="Calibri" w:hAnsi="Calibri"/>
          <w:i/>
          <w:color w:val="66737F"/>
          <w:sz w:val="18"/>
        </w:rPr>
        <w:t>Figure 32. Separate grounded-question interaction showing accepted model generation, request lineage and no fallback. Source: Live Streamlit application.</w:t>
      </w:r>
    </w:p>
    <w:p>
      <w:pPr>
        <w:keepLines w:val="0"/>
        <w:spacing w:after="160" w:line="300" w:lineRule="auto"/>
        <w:jc w:val="both"/>
      </w:pPr>
      <w:r>
        <w:rPr>
          <w:rFonts w:ascii="Calibri" w:hAnsi="Calibri"/>
          <w:i w:val="0"/>
          <w:color w:val="1F2933"/>
          <w:sz w:val="22"/>
        </w:rPr>
        <w:t>The follow-up screenshot is treated as a separate prediction interaction because its active evidence differs from the primary demonstration screenshot. It nevertheless validates the same contract: only prediction ID and question are submitted, the answer remains grounded in stored evidence, and the response exposes guardrail action, generated tokens and latency.</w:t>
      </w:r>
    </w:p>
    <w:p>
      <w:pPr>
        <w:keepNext/>
        <w:spacing w:after="0"/>
        <w:jc w:val="center"/>
      </w:pPr>
      <w:r>
        <w:drawing>
          <wp:inline xmlns:a="http://schemas.openxmlformats.org/drawingml/2006/main" xmlns:pic="http://schemas.openxmlformats.org/drawingml/2006/picture">
            <wp:extent cx="5715000" cy="1462623"/>
            <wp:docPr id="34" name="Picture 34" title="Report figure: Stored prediction retrieved without repeating classification, Grad-CAM or language generation." descr="Stored prediction retrieved without repeating classification, Grad-CAM or language generation."/>
            <wp:cNvGraphicFramePr>
              <a:graphicFrameLocks noChangeAspect="1"/>
            </wp:cNvGraphicFramePr>
            <a:graphic>
              <a:graphicData uri="http://schemas.openxmlformats.org/drawingml/2006/picture">
                <pic:pic>
                  <pic:nvPicPr>
                    <pic:cNvPr id="0" name="c0cc4967-c7f9-4464-a2fa-67f20cc0d0ca.png"/>
                    <pic:cNvPicPr/>
                  </pic:nvPicPr>
                  <pic:blipFill>
                    <a:blip r:embed="rId44"/>
                    <a:stretch>
                      <a:fillRect/>
                    </a:stretch>
                  </pic:blipFill>
                  <pic:spPr>
                    <a:xfrm>
                      <a:off x="0" y="0"/>
                      <a:ext cx="5715000" cy="1462623"/>
                    </a:xfrm>
                    <a:prstGeom prst="rect"/>
                  </pic:spPr>
                </pic:pic>
              </a:graphicData>
            </a:graphic>
          </wp:inline>
        </w:drawing>
      </w:r>
    </w:p>
    <w:p>
      <w:pPr>
        <w:pStyle w:val="Caption"/>
        <w:jc w:val="center"/>
      </w:pPr>
      <w:r>
        <w:rPr>
          <w:rFonts w:ascii="Calibri" w:hAnsi="Calibri"/>
          <w:i/>
          <w:color w:val="66737F"/>
          <w:sz w:val="18"/>
        </w:rPr>
        <w:t>Figure 33. Stored prediction retrieved without repeating classification, Grad-CAM or language generation. Source: Live Streamlit application.</w:t>
      </w:r>
    </w:p>
    <w:p>
      <w:pPr>
        <w:keepNext/>
        <w:spacing w:after="0"/>
        <w:jc w:val="center"/>
      </w:pPr>
      <w:r>
        <w:drawing>
          <wp:inline xmlns:a="http://schemas.openxmlformats.org/drawingml/2006/main" xmlns:pic="http://schemas.openxmlformats.org/drawingml/2006/picture">
            <wp:extent cx="2743200" cy="4127460"/>
            <wp:docPr id="35" name="Picture 35" title="Report figure: Operational and LLMOps summary showing nine successful requests, zero failures and ten language generations." descr="Operational and LLMOps summary showing nine successful requests, zero failures and ten language generations."/>
            <wp:cNvGraphicFramePr>
              <a:graphicFrameLocks noChangeAspect="1"/>
            </wp:cNvGraphicFramePr>
            <a:graphic>
              <a:graphicData uri="http://schemas.openxmlformats.org/drawingml/2006/picture">
                <pic:pic>
                  <pic:nvPicPr>
                    <pic:cNvPr id="0" name="c68832ea-3e37-4a70-b081-62b3c6949e0d.png"/>
                    <pic:cNvPicPr/>
                  </pic:nvPicPr>
                  <pic:blipFill>
                    <a:blip r:embed="rId45"/>
                    <a:stretch>
                      <a:fillRect/>
                    </a:stretch>
                  </pic:blipFill>
                  <pic:spPr>
                    <a:xfrm>
                      <a:off x="0" y="0"/>
                      <a:ext cx="2743200" cy="4127460"/>
                    </a:xfrm>
                    <a:prstGeom prst="rect"/>
                  </pic:spPr>
                </pic:pic>
              </a:graphicData>
            </a:graphic>
          </wp:inline>
        </w:drawing>
      </w:r>
    </w:p>
    <w:p>
      <w:pPr>
        <w:pStyle w:val="Caption"/>
        <w:jc w:val="center"/>
      </w:pPr>
      <w:r>
        <w:rPr>
          <w:rFonts w:ascii="Calibri" w:hAnsi="Calibri"/>
          <w:i/>
          <w:color w:val="66737F"/>
          <w:sz w:val="18"/>
        </w:rPr>
        <w:t>Figure 34. Operational and LLMOps summary showing nine successful requests, zero failures and ten language generations. Source: Live Streamlit application.</w:t>
      </w:r>
    </w:p>
    <w:p>
      <w:pPr>
        <w:keepLines w:val="0"/>
        <w:spacing w:after="160" w:line="300" w:lineRule="auto"/>
        <w:jc w:val="both"/>
      </w:pPr>
      <w:r>
        <w:rPr>
          <w:rFonts w:ascii="Calibri" w:hAnsi="Calibri"/>
          <w:i w:val="0"/>
          <w:color w:val="1F2933"/>
          <w:sz w:val="22"/>
        </w:rPr>
        <w:t>Language-generation count can exceed HTTP request count because one complete-analysis request may execute several language tasks. The operational panel therefore measures both request-level and internal language-operation activity.</w:t>
      </w:r>
    </w:p>
    <w:p>
      <w:pPr>
        <w:pStyle w:val="Heading1"/>
        <w:pBdr>
          <w:bottom w:val="single" w:sz="10" w:space="4" w:color="E9C46A"/>
        </w:pBdr>
      </w:pPr>
      <w:r>
        <w:t>13. LLMOps, Testing and Operational Evidence</w:t>
      </w:r>
    </w:p>
    <w:p>
      <w:pPr>
        <w:keepLines w:val="0"/>
        <w:spacing w:after="160" w:line="300" w:lineRule="auto"/>
        <w:jc w:val="both"/>
      </w:pPr>
      <w:r>
        <w:rPr>
          <w:rFonts w:ascii="Calibri" w:hAnsi="Calibri"/>
          <w:i w:val="0"/>
          <w:color w:val="1F2933"/>
          <w:sz w:val="22"/>
        </w:rPr>
        <w:t>LLMOps is implemented as an evidence chain rather than a single tracking screen. Model, dataset, prompt, schema and API versions are frozen and returned in responses. MLflow records training, evaluation, explainability, language, API, UI and packaging stages. Each stage exports machine-readable evidence and a checksum registry. Operational telemetry records endpoint counts, average latency, language-generation calls and guardrail actions.</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tcMar>
              <w:top w:w="90" w:type="dxa"/>
              <w:start w:w="120" w:type="dxa"/>
              <w:bottom w:w="90" w:type="dxa"/>
              <w:end w:w="120" w:type="dxa"/>
            </w:tcMar>
            <w:vAlign w:val="center"/>
            <w:shd w:fill="12372A"/>
          </w:tcPr>
          <w:p>
            <w:pPr>
              <w:spacing w:after="0"/>
              <w:jc w:val="center"/>
            </w:pPr>
            <w:r>
              <w:rPr>
                <w:rFonts w:ascii="Calibri" w:hAnsi="Calibri"/>
                <w:b/>
                <w:color w:val="FFFFFF"/>
                <w:sz w:val="17"/>
              </w:rPr>
              <w:t>LLMOps control</w:t>
            </w:r>
          </w:p>
        </w:tc>
        <w:tc>
          <w:tcPr>
            <w:tcW w:type="dxa" w:w="6760"/>
            <w:tcMar>
              <w:top w:w="90" w:type="dxa"/>
              <w:start w:w="120" w:type="dxa"/>
              <w:bottom w:w="90" w:type="dxa"/>
              <w:end w:w="120" w:type="dxa"/>
            </w:tcMar>
            <w:vAlign w:val="center"/>
            <w:shd w:fill="12372A"/>
          </w:tcPr>
          <w:p>
            <w:pPr>
              <w:spacing w:after="0"/>
              <w:jc w:val="center"/>
            </w:pPr>
            <w:r>
              <w:rPr>
                <w:rFonts w:ascii="Calibri" w:hAnsi="Calibri"/>
                <w:b/>
                <w:color w:val="FFFFFF"/>
                <w:sz w:val="17"/>
              </w:rPr>
              <w:t>Implementation evidence</w:t>
            </w:r>
          </w:p>
        </w:tc>
      </w:tr>
      <w:tr>
        <w:tc>
          <w:tcPr>
            <w:tcW w:type="dxa" w:w="2600"/>
            <w:tcMar>
              <w:top w:w="90" w:type="dxa"/>
              <w:start w:w="120" w:type="dxa"/>
              <w:bottom w:w="90" w:type="dxa"/>
              <w:end w:w="120" w:type="dxa"/>
            </w:tcMar>
            <w:vAlign w:val="center"/>
          </w:tcPr>
          <w:p>
            <w:pPr>
              <w:spacing w:after="0" w:line="252" w:lineRule="auto"/>
              <w:jc w:val="left"/>
            </w:pPr>
            <w:r>
              <w:rPr>
                <w:rFonts w:ascii="Calibri" w:hAnsi="Calibri"/>
                <w:color w:val="1F2933"/>
                <w:sz w:val="17"/>
              </w:rPr>
              <w:t>Model lineage</w:t>
            </w:r>
          </w:p>
        </w:tc>
        <w:tc>
          <w:tcPr>
            <w:tcW w:type="dxa" w:w="6760"/>
            <w:tcMar>
              <w:top w:w="90" w:type="dxa"/>
              <w:start w:w="120" w:type="dxa"/>
              <w:bottom w:w="90" w:type="dxa"/>
              <w:end w:w="120" w:type="dxa"/>
            </w:tcMar>
            <w:vAlign w:val="center"/>
          </w:tcPr>
          <w:p>
            <w:pPr>
              <w:spacing w:after="0" w:line="252" w:lineRule="auto"/>
              <w:jc w:val="left"/>
            </w:pPr>
            <w:r>
              <w:rPr>
                <w:rFonts w:ascii="Calibri" w:hAnsi="Calibri"/>
                <w:color w:val="1F2933"/>
                <w:sz w:val="17"/>
              </w:rPr>
              <w:t>resnet18-chestmnist-v1; flan-t5-small-chestmnist-v1</w:t>
            </w:r>
          </w:p>
        </w:tc>
      </w:tr>
      <w:tr>
        <w:tc>
          <w:tcPr>
            <w:tcW w:type="dxa" w:w="26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Prompt lineage</w:t>
            </w:r>
          </w:p>
        </w:tc>
        <w:tc>
          <w:tcPr>
            <w:tcW w:type="dxa" w:w="67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grounded-language-prompts-v1</w:t>
            </w:r>
          </w:p>
        </w:tc>
      </w:tr>
      <w:tr>
        <w:tc>
          <w:tcPr>
            <w:tcW w:type="dxa" w:w="2600"/>
            <w:tcMar>
              <w:top w:w="90" w:type="dxa"/>
              <w:start w:w="120" w:type="dxa"/>
              <w:bottom w:w="90" w:type="dxa"/>
              <w:end w:w="120" w:type="dxa"/>
            </w:tcMar>
            <w:vAlign w:val="center"/>
          </w:tcPr>
          <w:p>
            <w:pPr>
              <w:spacing w:after="0" w:line="252" w:lineRule="auto"/>
              <w:jc w:val="left"/>
            </w:pPr>
            <w:r>
              <w:rPr>
                <w:rFonts w:ascii="Calibri" w:hAnsi="Calibri"/>
                <w:color w:val="1F2933"/>
                <w:sz w:val="17"/>
              </w:rPr>
              <w:t>Finding contract</w:t>
            </w:r>
          </w:p>
        </w:tc>
        <w:tc>
          <w:tcPr>
            <w:tcW w:type="dxa" w:w="6760"/>
            <w:tcMar>
              <w:top w:w="90" w:type="dxa"/>
              <w:start w:w="120" w:type="dxa"/>
              <w:bottom w:w="90" w:type="dxa"/>
              <w:end w:w="120" w:type="dxa"/>
            </w:tcMar>
            <w:vAlign w:val="center"/>
          </w:tcPr>
          <w:p>
            <w:pPr>
              <w:spacing w:after="0" w:line="252" w:lineRule="auto"/>
              <w:jc w:val="left"/>
            </w:pPr>
            <w:r>
              <w:rPr>
                <w:rFonts w:ascii="Calibri" w:hAnsi="Calibri"/>
                <w:color w:val="1F2933"/>
                <w:sz w:val="17"/>
              </w:rPr>
              <w:t>chestmnist-finding-contract-v1</w:t>
            </w:r>
          </w:p>
        </w:tc>
      </w:tr>
      <w:tr>
        <w:tc>
          <w:tcPr>
            <w:tcW w:type="dxa" w:w="26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MLflow</w:t>
            </w:r>
          </w:p>
        </w:tc>
        <w:tc>
          <w:tcPr>
            <w:tcW w:type="dxa" w:w="67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Training, evaluation, explainability, language, API, UI and packaging runs</w:t>
            </w:r>
          </w:p>
        </w:tc>
      </w:tr>
      <w:tr>
        <w:tc>
          <w:tcPr>
            <w:tcW w:type="dxa" w:w="2600"/>
            <w:tcMar>
              <w:top w:w="90" w:type="dxa"/>
              <w:start w:w="120" w:type="dxa"/>
              <w:bottom w:w="90" w:type="dxa"/>
              <w:end w:w="120" w:type="dxa"/>
            </w:tcMar>
            <w:vAlign w:val="center"/>
          </w:tcPr>
          <w:p>
            <w:pPr>
              <w:spacing w:after="0" w:line="252" w:lineRule="auto"/>
              <w:jc w:val="left"/>
            </w:pPr>
            <w:r>
              <w:rPr>
                <w:rFonts w:ascii="Calibri" w:hAnsi="Calibri"/>
                <w:color w:val="1F2933"/>
                <w:sz w:val="17"/>
              </w:rPr>
              <w:t>Artifact integrity</w:t>
            </w:r>
          </w:p>
        </w:tc>
        <w:tc>
          <w:tcPr>
            <w:tcW w:type="dxa" w:w="6760"/>
            <w:tcMar>
              <w:top w:w="90" w:type="dxa"/>
              <w:start w:w="120" w:type="dxa"/>
              <w:bottom w:w="90" w:type="dxa"/>
              <w:end w:w="120" w:type="dxa"/>
            </w:tcMar>
            <w:vAlign w:val="center"/>
          </w:tcPr>
          <w:p>
            <w:pPr>
              <w:spacing w:after="0" w:line="252" w:lineRule="auto"/>
              <w:jc w:val="left"/>
            </w:pPr>
            <w:r>
              <w:rPr>
                <w:rFonts w:ascii="Calibri" w:hAnsi="Calibri"/>
                <w:color w:val="1F2933"/>
                <w:sz w:val="17"/>
              </w:rPr>
              <w:t>SHA-256 checksum registries; 49 final registered files</w:t>
            </w:r>
          </w:p>
        </w:tc>
      </w:tr>
      <w:tr>
        <w:tc>
          <w:tcPr>
            <w:tcW w:type="dxa" w:w="26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Operational metrics</w:t>
            </w:r>
          </w:p>
        </w:tc>
        <w:tc>
          <w:tcPr>
            <w:tcW w:type="dxa" w:w="67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Counts, latency, failures, language calls and guardrail actions</w:t>
            </w:r>
          </w:p>
        </w:tc>
      </w:tr>
      <w:tr>
        <w:tc>
          <w:tcPr>
            <w:tcW w:type="dxa" w:w="2600"/>
            <w:tcMar>
              <w:top w:w="90" w:type="dxa"/>
              <w:start w:w="120" w:type="dxa"/>
              <w:bottom w:w="90" w:type="dxa"/>
              <w:end w:w="120" w:type="dxa"/>
            </w:tcMar>
            <w:vAlign w:val="center"/>
          </w:tcPr>
          <w:p>
            <w:pPr>
              <w:spacing w:after="0" w:line="252" w:lineRule="auto"/>
              <w:jc w:val="left"/>
            </w:pPr>
            <w:r>
              <w:rPr>
                <w:rFonts w:ascii="Calibri" w:hAnsi="Calibri"/>
                <w:color w:val="1F2933"/>
                <w:sz w:val="17"/>
              </w:rPr>
              <w:t>Safety monitoring</w:t>
            </w:r>
          </w:p>
        </w:tc>
        <w:tc>
          <w:tcPr>
            <w:tcW w:type="dxa" w:w="6760"/>
            <w:tcMar>
              <w:top w:w="90" w:type="dxa"/>
              <w:start w:w="120" w:type="dxa"/>
              <w:bottom w:w="90" w:type="dxa"/>
              <w:end w:w="120" w:type="dxa"/>
            </w:tcMar>
            <w:vAlign w:val="center"/>
          </w:tcPr>
          <w:p>
            <w:pPr>
              <w:spacing w:after="0" w:line="252" w:lineRule="auto"/>
              <w:jc w:val="left"/>
            </w:pPr>
            <w:r>
              <w:rPr>
                <w:rFonts w:ascii="Calibri" w:hAnsi="Calibri"/>
                <w:color w:val="1F2933"/>
                <w:sz w:val="17"/>
              </w:rPr>
              <w:t>Raw issues, fallback reasons and post-guardrail compliance</w:t>
            </w:r>
          </w:p>
        </w:tc>
      </w:tr>
      <w:tr>
        <w:tc>
          <w:tcPr>
            <w:tcW w:type="dxa" w:w="26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Storage governance</w:t>
            </w:r>
          </w:p>
        </w:tc>
        <w:tc>
          <w:tcPr>
            <w:tcW w:type="dxa" w:w="67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4 GiB protected reserve; final reserve available</w:t>
            </w:r>
          </w:p>
        </w:tc>
      </w:tr>
    </w:tbl>
    <w:p>
      <w:pPr>
        <w:spacing w:after="40"/>
      </w:pPr>
    </w:p>
    <w:p>
      <w:pPr>
        <w:keepNext/>
        <w:spacing w:after="0"/>
        <w:jc w:val="center"/>
      </w:pPr>
      <w:r>
        <w:drawing>
          <wp:inline xmlns:a="http://schemas.openxmlformats.org/drawingml/2006/main" xmlns:pic="http://schemas.openxmlformats.org/drawingml/2006/picture">
            <wp:extent cx="5715000" cy="2849405"/>
            <wp:docPr id="36" name="Picture 36" title="Report figure: Persisted automated-test and readiness evidence across integration layers." descr="Persisted automated-test and readiness evidence across integration layers."/>
            <wp:cNvGraphicFramePr>
              <a:graphicFrameLocks noChangeAspect="1"/>
            </wp:cNvGraphicFramePr>
            <a:graphic>
              <a:graphicData uri="http://schemas.openxmlformats.org/drawingml/2006/picture">
                <pic:pic>
                  <pic:nvPicPr>
                    <pic:cNvPr id="0" name="test_evidence.png"/>
                    <pic:cNvPicPr/>
                  </pic:nvPicPr>
                  <pic:blipFill>
                    <a:blip r:embed="rId46"/>
                    <a:stretch>
                      <a:fillRect/>
                    </a:stretch>
                  </pic:blipFill>
                  <pic:spPr>
                    <a:xfrm>
                      <a:off x="0" y="0"/>
                      <a:ext cx="5715000" cy="2849405"/>
                    </a:xfrm>
                    <a:prstGeom prst="rect"/>
                  </pic:spPr>
                </pic:pic>
              </a:graphicData>
            </a:graphic>
          </wp:inline>
        </w:drawing>
      </w:r>
    </w:p>
    <w:p>
      <w:pPr>
        <w:pStyle w:val="Caption"/>
        <w:jc w:val="center"/>
      </w:pPr>
      <w:r>
        <w:rPr>
          <w:rFonts w:ascii="Calibri" w:hAnsi="Calibri"/>
          <w:i/>
          <w:color w:val="66737F"/>
          <w:sz w:val="18"/>
        </w:rPr>
        <w:t>Figure 35. Persisted automated-test and readiness evidence across integration layers.</w:t>
      </w:r>
    </w:p>
    <w:tbl>
      <w:tblPr>
        <w:tblStyle w:val="TableGrid"/>
        <w:tblW w:type="dxa" w:w="9360"/>
        <w:tblLayout w:type="fixed"/>
        <w:tblLook w:firstColumn="1" w:firstRow="1" w:lastColumn="0" w:lastRow="0" w:noHBand="0" w:noVBand="1" w:val="04A0"/>
        <w:tblInd w:w="120" w:type="dxa"/>
      </w:tblPr>
      <w:tblGrid>
        <w:gridCol w:w="1900"/>
        <w:gridCol w:w="900"/>
        <w:gridCol w:w="900"/>
        <w:gridCol w:w="5660"/>
      </w:tblGrid>
      <w:tr>
        <w:trPr>
          <w:tblHeader w:val="true"/>
        </w:trPr>
        <w:tc>
          <w:tcPr>
            <w:tcW w:type="dxa" w:w="1900"/>
            <w:tcMar>
              <w:top w:w="90" w:type="dxa"/>
              <w:start w:w="120" w:type="dxa"/>
              <w:bottom w:w="90" w:type="dxa"/>
              <w:end w:w="120" w:type="dxa"/>
            </w:tcMar>
            <w:vAlign w:val="center"/>
            <w:shd w:fill="12372A"/>
          </w:tcPr>
          <w:p>
            <w:pPr>
              <w:spacing w:after="0"/>
              <w:jc w:val="center"/>
            </w:pPr>
            <w:r>
              <w:rPr>
                <w:rFonts w:ascii="Calibri" w:hAnsi="Calibri"/>
                <w:b/>
                <w:color w:val="FFFFFF"/>
                <w:sz w:val="17"/>
              </w:rPr>
              <w:t>Validation layer</w:t>
            </w:r>
          </w:p>
        </w:tc>
        <w:tc>
          <w:tcPr>
            <w:tcW w:type="dxa" w:w="900"/>
            <w:tcMar>
              <w:top w:w="90" w:type="dxa"/>
              <w:start w:w="120" w:type="dxa"/>
              <w:bottom w:w="90" w:type="dxa"/>
              <w:end w:w="120" w:type="dxa"/>
            </w:tcMar>
            <w:vAlign w:val="center"/>
            <w:shd w:fill="12372A"/>
          </w:tcPr>
          <w:p>
            <w:pPr>
              <w:spacing w:after="0"/>
              <w:jc w:val="center"/>
            </w:pPr>
            <w:r>
              <w:rPr>
                <w:rFonts w:ascii="Calibri" w:hAnsi="Calibri"/>
                <w:b/>
                <w:color w:val="FFFFFF"/>
                <w:sz w:val="17"/>
              </w:rPr>
              <w:t>Passed</w:t>
            </w:r>
          </w:p>
        </w:tc>
        <w:tc>
          <w:tcPr>
            <w:tcW w:type="dxa" w:w="900"/>
            <w:tcMar>
              <w:top w:w="90" w:type="dxa"/>
              <w:start w:w="120" w:type="dxa"/>
              <w:bottom w:w="90" w:type="dxa"/>
              <w:end w:w="120" w:type="dxa"/>
            </w:tcMar>
            <w:vAlign w:val="center"/>
            <w:shd w:fill="12372A"/>
          </w:tcPr>
          <w:p>
            <w:pPr>
              <w:spacing w:after="0"/>
              <w:jc w:val="center"/>
            </w:pPr>
            <w:r>
              <w:rPr>
                <w:rFonts w:ascii="Calibri" w:hAnsi="Calibri"/>
                <w:b/>
                <w:color w:val="FFFFFF"/>
                <w:sz w:val="17"/>
              </w:rPr>
              <w:t>Failed</w:t>
            </w:r>
          </w:p>
        </w:tc>
        <w:tc>
          <w:tcPr>
            <w:tcW w:type="dxa" w:w="5660"/>
            <w:tcMar>
              <w:top w:w="90" w:type="dxa"/>
              <w:start w:w="120" w:type="dxa"/>
              <w:bottom w:w="90" w:type="dxa"/>
              <w:end w:w="120" w:type="dxa"/>
            </w:tcMar>
            <w:vAlign w:val="center"/>
            <w:shd w:fill="12372A"/>
          </w:tcPr>
          <w:p>
            <w:pPr>
              <w:spacing w:after="0"/>
              <w:jc w:val="center"/>
            </w:pPr>
            <w:r>
              <w:rPr>
                <w:rFonts w:ascii="Calibri" w:hAnsi="Calibri"/>
                <w:b/>
                <w:color w:val="FFFFFF"/>
                <w:sz w:val="17"/>
              </w:rPr>
              <w:t>Coverage</w:t>
            </w:r>
          </w:p>
        </w:tc>
      </w:tr>
      <w:tr>
        <w:tc>
          <w:tcPr>
            <w:tcW w:type="dxa" w:w="1900"/>
            <w:tcMar>
              <w:top w:w="90" w:type="dxa"/>
              <w:start w:w="120" w:type="dxa"/>
              <w:bottom w:w="90" w:type="dxa"/>
              <w:end w:w="120" w:type="dxa"/>
            </w:tcMar>
            <w:vAlign w:val="center"/>
          </w:tcPr>
          <w:p>
            <w:pPr>
              <w:spacing w:after="0" w:line="252" w:lineRule="auto"/>
              <w:jc w:val="left"/>
            </w:pPr>
            <w:r>
              <w:rPr>
                <w:rFonts w:ascii="Calibri" w:hAnsi="Calibri"/>
                <w:color w:val="1F2933"/>
                <w:sz w:val="17"/>
              </w:rPr>
              <w:t>API integration</w:t>
            </w:r>
          </w:p>
        </w:tc>
        <w:tc>
          <w:tcPr>
            <w:tcW w:type="dxa" w:w="900"/>
            <w:tcMar>
              <w:top w:w="90" w:type="dxa"/>
              <w:start w:w="120" w:type="dxa"/>
              <w:bottom w:w="90" w:type="dxa"/>
              <w:end w:w="120" w:type="dxa"/>
            </w:tcMar>
            <w:vAlign w:val="center"/>
          </w:tcPr>
          <w:p>
            <w:pPr>
              <w:spacing w:after="0" w:line="252" w:lineRule="auto"/>
              <w:jc w:val="center"/>
            </w:pPr>
            <w:r>
              <w:rPr>
                <w:rFonts w:ascii="Calibri" w:hAnsi="Calibri"/>
                <w:color w:val="1F2933"/>
                <w:sz w:val="17"/>
              </w:rPr>
              <w:t>23</w:t>
            </w:r>
          </w:p>
        </w:tc>
        <w:tc>
          <w:tcPr>
            <w:tcW w:type="dxa" w:w="900"/>
            <w:tcMar>
              <w:top w:w="90" w:type="dxa"/>
              <w:start w:w="120" w:type="dxa"/>
              <w:bottom w:w="90" w:type="dxa"/>
              <w:end w:w="120" w:type="dxa"/>
            </w:tcMar>
            <w:vAlign w:val="center"/>
          </w:tcPr>
          <w:p>
            <w:pPr>
              <w:spacing w:after="0" w:line="252" w:lineRule="auto"/>
              <w:jc w:val="center"/>
            </w:pPr>
            <w:r>
              <w:rPr>
                <w:rFonts w:ascii="Calibri" w:hAnsi="Calibri"/>
                <w:color w:val="1F2933"/>
                <w:sz w:val="17"/>
              </w:rPr>
              <w:t>0</w:t>
            </w:r>
          </w:p>
        </w:tc>
        <w:tc>
          <w:tcPr>
            <w:tcW w:type="dxa" w:w="5660"/>
            <w:tcMar>
              <w:top w:w="90" w:type="dxa"/>
              <w:start w:w="120" w:type="dxa"/>
              <w:bottom w:w="90" w:type="dxa"/>
              <w:end w:w="120" w:type="dxa"/>
            </w:tcMar>
            <w:vAlign w:val="center"/>
          </w:tcPr>
          <w:p>
            <w:pPr>
              <w:spacing w:after="0" w:line="252" w:lineRule="auto"/>
              <w:jc w:val="left"/>
            </w:pPr>
            <w:r>
              <w:rPr>
                <w:rFonts w:ascii="Calibri" w:hAnsi="Calibri"/>
                <w:color w:val="1F2933"/>
                <w:sz w:val="17"/>
              </w:rPr>
              <w:t>System, image, language, complete workflow and controlled errors</w:t>
            </w:r>
          </w:p>
        </w:tc>
      </w:tr>
      <w:tr>
        <w:tc>
          <w:tcPr>
            <w:tcW w:type="dxa" w:w="19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UI HTTP client</w:t>
            </w:r>
          </w:p>
        </w:tc>
        <w:tc>
          <w:tcPr>
            <w:tcW w:type="dxa" w:w="9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5</w:t>
            </w:r>
          </w:p>
        </w:tc>
        <w:tc>
          <w:tcPr>
            <w:tcW w:type="dxa" w:w="9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0</w:t>
            </w:r>
          </w:p>
        </w:tc>
        <w:tc>
          <w:tcPr>
            <w:tcW w:type="dxa" w:w="56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Health, multipart, controlled errors, validation and timeout</w:t>
            </w:r>
          </w:p>
        </w:tc>
      </w:tr>
      <w:tr>
        <w:tc>
          <w:tcPr>
            <w:tcW w:type="dxa" w:w="1900"/>
            <w:tcMar>
              <w:top w:w="90" w:type="dxa"/>
              <w:start w:w="120" w:type="dxa"/>
              <w:bottom w:w="90" w:type="dxa"/>
              <w:end w:w="120" w:type="dxa"/>
            </w:tcMar>
            <w:vAlign w:val="center"/>
          </w:tcPr>
          <w:p>
            <w:pPr>
              <w:spacing w:after="0" w:line="252" w:lineRule="auto"/>
              <w:jc w:val="left"/>
            </w:pPr>
            <w:r>
              <w:rPr>
                <w:rFonts w:ascii="Calibri" w:hAnsi="Calibri"/>
                <w:color w:val="1F2933"/>
                <w:sz w:val="17"/>
              </w:rPr>
              <w:t>UI component/state</w:t>
            </w:r>
          </w:p>
        </w:tc>
        <w:tc>
          <w:tcPr>
            <w:tcW w:type="dxa" w:w="900"/>
            <w:tcMar>
              <w:top w:w="90" w:type="dxa"/>
              <w:start w:w="120" w:type="dxa"/>
              <w:bottom w:w="90" w:type="dxa"/>
              <w:end w:w="120" w:type="dxa"/>
            </w:tcMar>
            <w:vAlign w:val="center"/>
          </w:tcPr>
          <w:p>
            <w:pPr>
              <w:spacing w:after="0" w:line="252" w:lineRule="auto"/>
              <w:jc w:val="center"/>
            </w:pPr>
            <w:r>
              <w:rPr>
                <w:rFonts w:ascii="Calibri" w:hAnsi="Calibri"/>
                <w:color w:val="1F2933"/>
                <w:sz w:val="17"/>
              </w:rPr>
              <w:t>5</w:t>
            </w:r>
          </w:p>
        </w:tc>
        <w:tc>
          <w:tcPr>
            <w:tcW w:type="dxa" w:w="900"/>
            <w:tcMar>
              <w:top w:w="90" w:type="dxa"/>
              <w:start w:w="120" w:type="dxa"/>
              <w:bottom w:w="90" w:type="dxa"/>
              <w:end w:w="120" w:type="dxa"/>
            </w:tcMar>
            <w:vAlign w:val="center"/>
          </w:tcPr>
          <w:p>
            <w:pPr>
              <w:spacing w:after="0" w:line="252" w:lineRule="auto"/>
              <w:jc w:val="center"/>
            </w:pPr>
            <w:r>
              <w:rPr>
                <w:rFonts w:ascii="Calibri" w:hAnsi="Calibri"/>
                <w:color w:val="1F2933"/>
                <w:sz w:val="17"/>
              </w:rPr>
              <w:t>0</w:t>
            </w:r>
          </w:p>
        </w:tc>
        <w:tc>
          <w:tcPr>
            <w:tcW w:type="dxa" w:w="5660"/>
            <w:tcMar>
              <w:top w:w="90" w:type="dxa"/>
              <w:start w:w="120" w:type="dxa"/>
              <w:bottom w:w="90" w:type="dxa"/>
              <w:end w:w="120" w:type="dxa"/>
            </w:tcMar>
            <w:vAlign w:val="center"/>
          </w:tcPr>
          <w:p>
            <w:pPr>
              <w:spacing w:after="0" w:line="252" w:lineRule="auto"/>
              <w:jc w:val="left"/>
            </w:pPr>
            <w:r>
              <w:rPr>
                <w:rFonts w:ascii="Calibri" w:hAnsi="Calibri"/>
                <w:color w:val="1F2933"/>
                <w:sz w:val="17"/>
              </w:rPr>
              <w:t>Initial render, state transitions, table, base64 and HTTP boundary</w:t>
            </w:r>
          </w:p>
        </w:tc>
      </w:tr>
      <w:tr>
        <w:tc>
          <w:tcPr>
            <w:tcW w:type="dxa" w:w="19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Static packaging</w:t>
            </w:r>
          </w:p>
        </w:tc>
        <w:tc>
          <w:tcPr>
            <w:tcW w:type="dxa" w:w="9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21</w:t>
            </w:r>
          </w:p>
        </w:tc>
        <w:tc>
          <w:tcPr>
            <w:tcW w:type="dxa" w:w="9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0</w:t>
            </w:r>
          </w:p>
        </w:tc>
        <w:tc>
          <w:tcPr>
            <w:tcW w:type="dxa" w:w="56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Requirements, Dockerfiles, Compose, docs and launch contracts</w:t>
            </w:r>
          </w:p>
        </w:tc>
      </w:tr>
      <w:tr>
        <w:tc>
          <w:tcPr>
            <w:tcW w:type="dxa" w:w="1900"/>
            <w:tcMar>
              <w:top w:w="90" w:type="dxa"/>
              <w:start w:w="120" w:type="dxa"/>
              <w:bottom w:w="90" w:type="dxa"/>
              <w:end w:w="120" w:type="dxa"/>
            </w:tcMar>
            <w:vAlign w:val="center"/>
          </w:tcPr>
          <w:p>
            <w:pPr>
              <w:spacing w:after="0" w:line="252" w:lineRule="auto"/>
              <w:jc w:val="left"/>
            </w:pPr>
            <w:r>
              <w:rPr>
                <w:rFonts w:ascii="Calibri" w:hAnsi="Calibri"/>
                <w:color w:val="1F2933"/>
                <w:sz w:val="17"/>
              </w:rPr>
              <w:t>Demonstration evidence</w:t>
            </w:r>
          </w:p>
        </w:tc>
        <w:tc>
          <w:tcPr>
            <w:tcW w:type="dxa" w:w="900"/>
            <w:tcMar>
              <w:top w:w="90" w:type="dxa"/>
              <w:start w:w="120" w:type="dxa"/>
              <w:bottom w:w="90" w:type="dxa"/>
              <w:end w:w="120" w:type="dxa"/>
            </w:tcMar>
            <w:vAlign w:val="center"/>
          </w:tcPr>
          <w:p>
            <w:pPr>
              <w:spacing w:after="0" w:line="252" w:lineRule="auto"/>
              <w:jc w:val="center"/>
            </w:pPr>
            <w:r>
              <w:rPr>
                <w:rFonts w:ascii="Calibri" w:hAnsi="Calibri"/>
                <w:color w:val="1F2933"/>
                <w:sz w:val="17"/>
              </w:rPr>
              <w:t>8</w:t>
            </w:r>
          </w:p>
        </w:tc>
        <w:tc>
          <w:tcPr>
            <w:tcW w:type="dxa" w:w="900"/>
            <w:tcMar>
              <w:top w:w="90" w:type="dxa"/>
              <w:start w:w="120" w:type="dxa"/>
              <w:bottom w:w="90" w:type="dxa"/>
              <w:end w:w="120" w:type="dxa"/>
            </w:tcMar>
            <w:vAlign w:val="center"/>
          </w:tcPr>
          <w:p>
            <w:pPr>
              <w:spacing w:after="0" w:line="252" w:lineRule="auto"/>
              <w:jc w:val="center"/>
            </w:pPr>
            <w:r>
              <w:rPr>
                <w:rFonts w:ascii="Calibri" w:hAnsi="Calibri"/>
                <w:color w:val="1F2933"/>
                <w:sz w:val="17"/>
              </w:rPr>
              <w:t>0</w:t>
            </w:r>
          </w:p>
        </w:tc>
        <w:tc>
          <w:tcPr>
            <w:tcW w:type="dxa" w:w="5660"/>
            <w:tcMar>
              <w:top w:w="90" w:type="dxa"/>
              <w:start w:w="120" w:type="dxa"/>
              <w:bottom w:w="90" w:type="dxa"/>
              <w:end w:w="120" w:type="dxa"/>
            </w:tcMar>
            <w:vAlign w:val="center"/>
          </w:tcPr>
          <w:p>
            <w:pPr>
              <w:spacing w:after="0" w:line="252" w:lineRule="auto"/>
              <w:jc w:val="left"/>
            </w:pPr>
            <w:r>
              <w:rPr>
                <w:rFonts w:ascii="Calibri" w:hAnsi="Calibri"/>
                <w:color w:val="1F2933"/>
                <w:sz w:val="17"/>
              </w:rPr>
              <w:t>API/UI health, screenshots, workflow and artifacts</w:t>
            </w:r>
          </w:p>
        </w:tc>
      </w:tr>
      <w:tr>
        <w:tc>
          <w:tcPr>
            <w:tcW w:type="dxa" w:w="19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Final readiness</w:t>
            </w:r>
          </w:p>
        </w:tc>
        <w:tc>
          <w:tcPr>
            <w:tcW w:type="dxa" w:w="9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20</w:t>
            </w:r>
          </w:p>
        </w:tc>
        <w:tc>
          <w:tcPr>
            <w:tcW w:type="dxa" w:w="9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0</w:t>
            </w:r>
          </w:p>
        </w:tc>
        <w:tc>
          <w:tcPr>
            <w:tcW w:type="dxa" w:w="56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End-to-end solution-readiness conditions</w:t>
            </w:r>
          </w:p>
        </w:tc>
      </w:tr>
    </w:tbl>
    <w:p>
      <w:pPr>
        <w:spacing w:after="40"/>
      </w:pPr>
    </w:p>
    <w:p>
      <w:pPr>
        <w:pStyle w:val="Heading1"/>
        <w:pBdr>
          <w:bottom w:val="single" w:sz="10" w:space="4" w:color="E9C46A"/>
        </w:pBdr>
      </w:pPr>
      <w:r>
        <w:t>14. Packaging and Deployment</w:t>
      </w:r>
    </w:p>
    <w:p>
      <w:pPr>
        <w:keepNext/>
        <w:spacing w:after="0"/>
        <w:jc w:val="center"/>
      </w:pPr>
      <w:r>
        <w:drawing>
          <wp:inline xmlns:a="http://schemas.openxmlformats.org/drawingml/2006/main" xmlns:pic="http://schemas.openxmlformats.org/drawingml/2006/picture">
            <wp:extent cx="5715000" cy="3191141"/>
            <wp:docPr id="37" name="Picture 37" title="Report figure: Independent FastAPI and Streamlit deployment topology with proxy routing and persistent volumes." descr="Independent FastAPI and Streamlit deployment topology with proxy routing and persistent volumes."/>
            <wp:cNvGraphicFramePr>
              <a:graphicFrameLocks noChangeAspect="1"/>
            </wp:cNvGraphicFramePr>
            <a:graphic>
              <a:graphicData uri="http://schemas.openxmlformats.org/drawingml/2006/picture">
                <pic:pic>
                  <pic:nvPicPr>
                    <pic:cNvPr id="0" name="deployment_topology.png"/>
                    <pic:cNvPicPr/>
                  </pic:nvPicPr>
                  <pic:blipFill>
                    <a:blip r:embed="rId47"/>
                    <a:stretch>
                      <a:fillRect/>
                    </a:stretch>
                  </pic:blipFill>
                  <pic:spPr>
                    <a:xfrm>
                      <a:off x="0" y="0"/>
                      <a:ext cx="5715000" cy="3191141"/>
                    </a:xfrm>
                    <a:prstGeom prst="rect"/>
                  </pic:spPr>
                </pic:pic>
              </a:graphicData>
            </a:graphic>
          </wp:inline>
        </w:drawing>
      </w:r>
    </w:p>
    <w:p>
      <w:pPr>
        <w:pStyle w:val="Caption"/>
        <w:jc w:val="center"/>
      </w:pPr>
      <w:r>
        <w:rPr>
          <w:rFonts w:ascii="Calibri" w:hAnsi="Calibri"/>
          <w:i/>
          <w:color w:val="66737F"/>
          <w:sz w:val="18"/>
        </w:rPr>
        <w:t>Figure 36. Independent FastAPI and Streamlit deployment topology with proxy routing and persistent volumes.</w:t>
      </w:r>
    </w:p>
    <w:p>
      <w:pPr>
        <w:keepLines w:val="0"/>
        <w:spacing w:after="160" w:line="300" w:lineRule="auto"/>
        <w:jc w:val="both"/>
      </w:pPr>
      <w:r>
        <w:rPr>
          <w:rFonts w:ascii="Calibri" w:hAnsi="Calibri"/>
          <w:i w:val="0"/>
          <w:color w:val="1F2933"/>
          <w:sz w:val="22"/>
        </w:rPr>
        <w:t>Notebook 9 defines pinned runtime requirements, separate launch scripts, a GPU-capable FastAPI container, a lightweight Streamlit container, Docker Compose connectivity, persistent model and MLflow volumes, and service-specific health checks. The project intentionally validates static packaging without forcing container builds inside the constrained notebook environment.</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trPr>
        <w:tc>
          <w:tcPr>
            <w:tcW w:type="dxa" w:w="2600"/>
            <w:tcMar>
              <w:top w:w="90" w:type="dxa"/>
              <w:start w:w="120" w:type="dxa"/>
              <w:bottom w:w="90" w:type="dxa"/>
              <w:end w:w="120" w:type="dxa"/>
            </w:tcMar>
            <w:vAlign w:val="center"/>
            <w:shd w:fill="12372A"/>
          </w:tcPr>
          <w:p>
            <w:pPr>
              <w:spacing w:after="0"/>
              <w:jc w:val="center"/>
            </w:pPr>
            <w:r>
              <w:rPr>
                <w:rFonts w:ascii="Calibri" w:hAnsi="Calibri"/>
                <w:b/>
                <w:color w:val="FFFFFF"/>
                <w:sz w:val="18"/>
              </w:rPr>
              <w:t>Packaging component</w:t>
            </w:r>
          </w:p>
        </w:tc>
        <w:tc>
          <w:tcPr>
            <w:tcW w:type="dxa" w:w="6760"/>
            <w:tcMar>
              <w:top w:w="90" w:type="dxa"/>
              <w:start w:w="120" w:type="dxa"/>
              <w:bottom w:w="90" w:type="dxa"/>
              <w:end w:w="120" w:type="dxa"/>
            </w:tcMar>
            <w:vAlign w:val="center"/>
            <w:shd w:fill="12372A"/>
          </w:tcPr>
          <w:p>
            <w:pPr>
              <w:spacing w:after="0"/>
              <w:jc w:val="center"/>
            </w:pPr>
            <w:r>
              <w:rPr>
                <w:rFonts w:ascii="Calibri" w:hAnsi="Calibri"/>
                <w:b/>
                <w:color w:val="FFFFFF"/>
                <w:sz w:val="18"/>
              </w:rPr>
              <w:t>Validated contract</w:t>
            </w:r>
          </w:p>
        </w:tc>
      </w:tr>
      <w:tr>
        <w:tc>
          <w:tcPr>
            <w:tcW w:type="dxa" w:w="2600"/>
            <w:tcMar>
              <w:top w:w="90" w:type="dxa"/>
              <w:start w:w="120" w:type="dxa"/>
              <w:bottom w:w="90" w:type="dxa"/>
              <w:end w:w="120" w:type="dxa"/>
            </w:tcMar>
            <w:vAlign w:val="center"/>
          </w:tcPr>
          <w:p>
            <w:pPr>
              <w:spacing w:after="0" w:line="252" w:lineRule="auto"/>
              <w:jc w:val="left"/>
            </w:pPr>
            <w:r>
              <w:rPr>
                <w:rFonts w:ascii="Calibri" w:hAnsi="Calibri"/>
                <w:color w:val="1F2933"/>
                <w:sz w:val="18"/>
              </w:rPr>
              <w:t>FastAPI container</w:t>
            </w:r>
          </w:p>
        </w:tc>
        <w:tc>
          <w:tcPr>
            <w:tcW w:type="dxa" w:w="6760"/>
            <w:tcMar>
              <w:top w:w="90" w:type="dxa"/>
              <w:start w:w="120" w:type="dxa"/>
              <w:bottom w:w="90" w:type="dxa"/>
              <w:end w:w="120" w:type="dxa"/>
            </w:tcMar>
            <w:vAlign w:val="center"/>
          </w:tcPr>
          <w:p>
            <w:pPr>
              <w:spacing w:after="0" w:line="252" w:lineRule="auto"/>
              <w:jc w:val="left"/>
            </w:pPr>
            <w:r>
              <w:rPr>
                <w:rFonts w:ascii="Calibri" w:hAnsi="Calibri"/>
                <w:color w:val="1F2933"/>
                <w:sz w:val="18"/>
              </w:rPr>
              <w:t>GPU inference dependencies, Uvicorn launch and /health check</w:t>
            </w:r>
          </w:p>
        </w:tc>
      </w:tr>
      <w:tr>
        <w:tc>
          <w:tcPr>
            <w:tcW w:type="dxa" w:w="26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Streamlit container</w:t>
            </w:r>
          </w:p>
        </w:tc>
        <w:tc>
          <w:tcPr>
            <w:tcW w:type="dxa" w:w="676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UI-only dependencies and HTTP API base URL</w:t>
            </w:r>
          </w:p>
        </w:tc>
      </w:tr>
      <w:tr>
        <w:tc>
          <w:tcPr>
            <w:tcW w:type="dxa" w:w="2600"/>
            <w:tcMar>
              <w:top w:w="90" w:type="dxa"/>
              <w:start w:w="120" w:type="dxa"/>
              <w:bottom w:w="90" w:type="dxa"/>
              <w:end w:w="120" w:type="dxa"/>
            </w:tcMar>
            <w:vAlign w:val="center"/>
          </w:tcPr>
          <w:p>
            <w:pPr>
              <w:spacing w:after="0" w:line="252" w:lineRule="auto"/>
              <w:jc w:val="left"/>
            </w:pPr>
            <w:r>
              <w:rPr>
                <w:rFonts w:ascii="Calibri" w:hAnsi="Calibri"/>
                <w:color w:val="1F2933"/>
                <w:sz w:val="18"/>
              </w:rPr>
              <w:t>Compose network</w:t>
            </w:r>
          </w:p>
        </w:tc>
        <w:tc>
          <w:tcPr>
            <w:tcW w:type="dxa" w:w="6760"/>
            <w:tcMar>
              <w:top w:w="90" w:type="dxa"/>
              <w:start w:w="120" w:type="dxa"/>
              <w:bottom w:w="90" w:type="dxa"/>
              <w:end w:w="120" w:type="dxa"/>
            </w:tcMar>
            <w:vAlign w:val="center"/>
          </w:tcPr>
          <w:p>
            <w:pPr>
              <w:spacing w:after="0" w:line="252" w:lineRule="auto"/>
              <w:jc w:val="left"/>
            </w:pPr>
            <w:r>
              <w:rPr>
                <w:rFonts w:ascii="Calibri" w:hAnsi="Calibri"/>
                <w:color w:val="1F2933"/>
                <w:sz w:val="18"/>
              </w:rPr>
              <w:t>Service name resolution and backend-to-UI connectivity</w:t>
            </w:r>
          </w:p>
        </w:tc>
      </w:tr>
      <w:tr>
        <w:tc>
          <w:tcPr>
            <w:tcW w:type="dxa" w:w="26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Persistent volumes</w:t>
            </w:r>
          </w:p>
        </w:tc>
        <w:tc>
          <w:tcPr>
            <w:tcW w:type="dxa" w:w="676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Models, outputs, MLflow, caches and artifact registries</w:t>
            </w:r>
          </w:p>
        </w:tc>
      </w:tr>
      <w:tr>
        <w:tc>
          <w:tcPr>
            <w:tcW w:type="dxa" w:w="2600"/>
            <w:tcMar>
              <w:top w:w="90" w:type="dxa"/>
              <w:start w:w="120" w:type="dxa"/>
              <w:bottom w:w="90" w:type="dxa"/>
              <w:end w:w="120" w:type="dxa"/>
            </w:tcMar>
            <w:vAlign w:val="center"/>
          </w:tcPr>
          <w:p>
            <w:pPr>
              <w:spacing w:after="0" w:line="252" w:lineRule="auto"/>
              <w:jc w:val="left"/>
            </w:pPr>
            <w:r>
              <w:rPr>
                <w:rFonts w:ascii="Calibri" w:hAnsi="Calibri"/>
                <w:color w:val="1F2933"/>
                <w:sz w:val="18"/>
              </w:rPr>
              <w:t>Environment contract</w:t>
            </w:r>
          </w:p>
        </w:tc>
        <w:tc>
          <w:tcPr>
            <w:tcW w:type="dxa" w:w="6760"/>
            <w:tcMar>
              <w:top w:w="90" w:type="dxa"/>
              <w:start w:w="120" w:type="dxa"/>
              <w:bottom w:w="90" w:type="dxa"/>
              <w:end w:w="120" w:type="dxa"/>
            </w:tcMar>
            <w:vAlign w:val="center"/>
          </w:tcPr>
          <w:p>
            <w:pPr>
              <w:spacing w:after="0" w:line="252" w:lineRule="auto"/>
              <w:jc w:val="left"/>
            </w:pPr>
            <w:r>
              <w:rPr>
                <w:rFonts w:ascii="Calibri" w:hAnsi="Calibri"/>
                <w:color w:val="1F2933"/>
                <w:sz w:val="18"/>
              </w:rPr>
              <w:t>API base URL, ports, workers and path configuration</w:t>
            </w:r>
          </w:p>
        </w:tc>
      </w:tr>
      <w:tr>
        <w:tc>
          <w:tcPr>
            <w:tcW w:type="dxa" w:w="26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Documentation</w:t>
            </w:r>
          </w:p>
        </w:tc>
        <w:tc>
          <w:tcPr>
            <w:tcW w:type="dxa" w:w="676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README, architecture, usage, API examples, safety and testing</w:t>
            </w:r>
          </w:p>
        </w:tc>
      </w:tr>
      <w:tr>
        <w:tc>
          <w:tcPr>
            <w:tcW w:type="dxa" w:w="2600"/>
            <w:tcMar>
              <w:top w:w="90" w:type="dxa"/>
              <w:start w:w="120" w:type="dxa"/>
              <w:bottom w:w="90" w:type="dxa"/>
              <w:end w:w="120" w:type="dxa"/>
            </w:tcMar>
            <w:vAlign w:val="center"/>
          </w:tcPr>
          <w:p>
            <w:pPr>
              <w:spacing w:after="0" w:line="252" w:lineRule="auto"/>
              <w:jc w:val="left"/>
            </w:pPr>
            <w:r>
              <w:rPr>
                <w:rFonts w:ascii="Calibri" w:hAnsi="Calibri"/>
                <w:color w:val="1F2933"/>
                <w:sz w:val="18"/>
              </w:rPr>
              <w:t>Final registry</w:t>
            </w:r>
          </w:p>
        </w:tc>
        <w:tc>
          <w:tcPr>
            <w:tcW w:type="dxa" w:w="6760"/>
            <w:tcMar>
              <w:top w:w="90" w:type="dxa"/>
              <w:start w:w="120" w:type="dxa"/>
              <w:bottom w:w="90" w:type="dxa"/>
              <w:end w:w="120" w:type="dxa"/>
            </w:tcMar>
            <w:vAlign w:val="center"/>
          </w:tcPr>
          <w:p>
            <w:pPr>
              <w:spacing w:after="0" w:line="252" w:lineRule="auto"/>
              <w:jc w:val="left"/>
            </w:pPr>
            <w:r>
              <w:rPr>
                <w:rFonts w:ascii="Calibri" w:hAnsi="Calibri"/>
                <w:color w:val="1F2933"/>
                <w:sz w:val="18"/>
              </w:rPr>
              <w:t>49 files with complete checksums</w:t>
            </w:r>
          </w:p>
        </w:tc>
      </w:tr>
      <w:tr>
        <w:tc>
          <w:tcPr>
            <w:tcW w:type="dxa" w:w="26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Final MLflow status</w:t>
            </w:r>
          </w:p>
        </w:tc>
        <w:tc>
          <w:tcPr>
            <w:tcW w:type="dxa" w:w="676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8"/>
              </w:rPr>
              <w:t>FINISHED</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F3EF"/>
          </w:tcPr>
          <w:p>
            <w:pPr>
              <w:spacing w:after="0"/>
            </w:pPr>
            <w:r>
              <w:rPr>
                <w:rFonts w:ascii="Calibri" w:hAnsi="Calibri"/>
                <w:b/>
                <w:color w:val="12372A"/>
                <w:sz w:val="21"/>
              </w:rPr>
              <w:t xml:space="preserve">Final gate: </w:t>
            </w:r>
            <w:r>
              <w:rPr>
                <w:rFonts w:ascii="Calibri" w:hAnsi="Calibri"/>
                <w:color w:val="1F2933"/>
                <w:sz w:val="21"/>
              </w:rPr>
              <w:t>20 of 20 final solution-readiness checks passed; static packaging checks 21/21; demonstration checks 8/8; protected storage reserve preserved.</w:t>
            </w:r>
          </w:p>
        </w:tc>
      </w:tr>
    </w:tbl>
    <w:p>
      <w:pPr>
        <w:spacing w:after="20"/>
      </w:pPr>
    </w:p>
    <w:p>
      <w:pPr>
        <w:pStyle w:val="Heading1"/>
        <w:pBdr>
          <w:bottom w:val="single" w:sz="10" w:space="4" w:color="E9C46A"/>
        </w:pBdr>
      </w:pPr>
      <w:r>
        <w:t>15. Safety, Limitations and Responsible Use</w:t>
      </w:r>
    </w:p>
    <w:p>
      <w:pPr>
        <w:keepLines w:val="0"/>
        <w:spacing w:after="160" w:line="300" w:lineRule="auto"/>
        <w:jc w:val="both"/>
      </w:pPr>
      <w:r>
        <w:rPr>
          <w:rFonts w:ascii="Calibri" w:hAnsi="Calibri"/>
          <w:i w:val="0"/>
          <w:color w:val="1F2933"/>
          <w:sz w:val="22"/>
        </w:rPr>
        <w:t>Medical imaging is a high-stakes domain. The project therefore presents the system as an educational decision-support prototype, displays the limitation before any output, propagates educational_use_only through API responses, and requires professional review in all generated language.</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2372A"/>
          </w:tcPr>
          <w:p>
            <w:pPr>
              <w:spacing w:after="0"/>
              <w:jc w:val="center"/>
            </w:pPr>
            <w:r>
              <w:rPr>
                <w:rFonts w:ascii="Calibri" w:hAnsi="Calibri"/>
                <w:b/>
                <w:color w:val="FFFFFF"/>
                <w:sz w:val="17"/>
              </w:rPr>
              <w:t>Boundary</w:t>
            </w:r>
          </w:p>
        </w:tc>
        <w:tc>
          <w:tcPr>
            <w:tcW w:type="dxa" w:w="7160"/>
            <w:tcMar>
              <w:top w:w="90" w:type="dxa"/>
              <w:start w:w="120" w:type="dxa"/>
              <w:bottom w:w="90" w:type="dxa"/>
              <w:end w:w="120" w:type="dxa"/>
            </w:tcMar>
            <w:vAlign w:val="center"/>
            <w:shd w:fill="12372A"/>
          </w:tcPr>
          <w:p>
            <w:pPr>
              <w:spacing w:after="0"/>
              <w:jc w:val="center"/>
            </w:pPr>
            <w:r>
              <w:rPr>
                <w:rFonts w:ascii="Calibri" w:hAnsi="Calibri"/>
                <w:b/>
                <w:color w:val="FFFFFF"/>
                <w:sz w:val="17"/>
              </w:rPr>
              <w:t>Responsible interpretation</w:t>
            </w:r>
          </w:p>
        </w:tc>
      </w:tr>
      <w:tr>
        <w:tc>
          <w:tcPr>
            <w:tcW w:type="dxa" w:w="2200"/>
            <w:tcMar>
              <w:top w:w="90" w:type="dxa"/>
              <w:start w:w="120" w:type="dxa"/>
              <w:bottom w:w="90" w:type="dxa"/>
              <w:end w:w="120" w:type="dxa"/>
            </w:tcMar>
            <w:vAlign w:val="center"/>
          </w:tcPr>
          <w:p>
            <w:pPr>
              <w:spacing w:after="0" w:line="252" w:lineRule="auto"/>
              <w:jc w:val="left"/>
            </w:pPr>
            <w:r>
              <w:rPr>
                <w:rFonts w:ascii="Calibri" w:hAnsi="Calibri"/>
                <w:color w:val="1F2933"/>
                <w:sz w:val="17"/>
              </w:rPr>
              <w:t>Dataset labels</w:t>
            </w:r>
          </w:p>
        </w:tc>
        <w:tc>
          <w:tcPr>
            <w:tcW w:type="dxa" w:w="7160"/>
            <w:tcMar>
              <w:top w:w="90" w:type="dxa"/>
              <w:start w:w="120" w:type="dxa"/>
              <w:bottom w:w="90" w:type="dxa"/>
              <w:end w:w="120" w:type="dxa"/>
            </w:tcMar>
            <w:vAlign w:val="center"/>
          </w:tcPr>
          <w:p>
            <w:pPr>
              <w:spacing w:after="0" w:line="252" w:lineRule="auto"/>
              <w:jc w:val="left"/>
            </w:pPr>
            <w:r>
              <w:rPr>
                <w:rFonts w:ascii="Calibri" w:hAnsi="Calibri"/>
                <w:color w:val="1F2933"/>
                <w:sz w:val="17"/>
              </w:rPr>
              <w:t>ChestMNIST labels are reference labels for benchmark training/evaluation and may contain noise; they are not new clinical diagnoses.</w:t>
            </w:r>
          </w:p>
        </w:tc>
      </w:tr>
      <w:tr>
        <w:tc>
          <w:tcPr>
            <w:tcW w:type="dxa" w:w="22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Supported scope</w:t>
            </w:r>
          </w:p>
        </w:tc>
        <w:tc>
          <w:tcPr>
            <w:tcW w:type="dxa" w:w="71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Only fourteen contracted findings are modeled; absence of a crossed threshold does not establish clinical normality.</w:t>
            </w:r>
          </w:p>
        </w:tc>
      </w:tr>
      <w:tr>
        <w:tc>
          <w:tcPr>
            <w:tcW w:type="dxa" w:w="2200"/>
            <w:tcMar>
              <w:top w:w="90" w:type="dxa"/>
              <w:start w:w="120" w:type="dxa"/>
              <w:bottom w:w="90" w:type="dxa"/>
              <w:end w:w="120" w:type="dxa"/>
            </w:tcMar>
            <w:vAlign w:val="center"/>
          </w:tcPr>
          <w:p>
            <w:pPr>
              <w:spacing w:after="0" w:line="252" w:lineRule="auto"/>
              <w:jc w:val="left"/>
            </w:pPr>
            <w:r>
              <w:rPr>
                <w:rFonts w:ascii="Calibri" w:hAnsi="Calibri"/>
                <w:color w:val="1F2933"/>
                <w:sz w:val="17"/>
              </w:rPr>
              <w:t>Threshold decisions</w:t>
            </w:r>
          </w:p>
        </w:tc>
        <w:tc>
          <w:tcPr>
            <w:tcW w:type="dxa" w:w="7160"/>
            <w:tcMar>
              <w:top w:w="90" w:type="dxa"/>
              <w:start w:w="120" w:type="dxa"/>
              <w:bottom w:w="90" w:type="dxa"/>
              <w:end w:w="120" w:type="dxa"/>
            </w:tcMar>
            <w:vAlign w:val="center"/>
          </w:tcPr>
          <w:p>
            <w:pPr>
              <w:spacing w:after="0" w:line="252" w:lineRule="auto"/>
              <w:jc w:val="left"/>
            </w:pPr>
            <w:r>
              <w:rPr>
                <w:rFonts w:ascii="Calibri" w:hAnsi="Calibri"/>
                <w:color w:val="1F2933"/>
                <w:sz w:val="17"/>
              </w:rPr>
              <w:t>Crossing a frozen threshold is a model operating-point decision, not confirmation of disease.</w:t>
            </w:r>
          </w:p>
        </w:tc>
      </w:tr>
      <w:tr>
        <w:tc>
          <w:tcPr>
            <w:tcW w:type="dxa" w:w="22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Grad-CAM</w:t>
            </w:r>
          </w:p>
        </w:tc>
        <w:tc>
          <w:tcPr>
            <w:tcW w:type="dxa" w:w="71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Attribution indicates model influence and is not segmentation, lesion confirmation or causality.</w:t>
            </w:r>
          </w:p>
        </w:tc>
      </w:tr>
      <w:tr>
        <w:tc>
          <w:tcPr>
            <w:tcW w:type="dxa" w:w="2200"/>
            <w:tcMar>
              <w:top w:w="90" w:type="dxa"/>
              <w:start w:w="120" w:type="dxa"/>
              <w:bottom w:w="90" w:type="dxa"/>
              <w:end w:w="120" w:type="dxa"/>
            </w:tcMar>
            <w:vAlign w:val="center"/>
          </w:tcPr>
          <w:p>
            <w:pPr>
              <w:spacing w:after="0" w:line="252" w:lineRule="auto"/>
              <w:jc w:val="center"/>
            </w:pPr>
            <w:r>
              <w:rPr>
                <w:rFonts w:ascii="Calibri" w:hAnsi="Calibri"/>
                <w:color w:val="1F2933"/>
                <w:sz w:val="17"/>
              </w:rPr>
              <w:t>Language</w:t>
            </w:r>
          </w:p>
        </w:tc>
        <w:tc>
          <w:tcPr>
            <w:tcW w:type="dxa" w:w="7160"/>
            <w:tcMar>
              <w:top w:w="90" w:type="dxa"/>
              <w:start w:w="120" w:type="dxa"/>
              <w:bottom w:w="90" w:type="dxa"/>
              <w:end w:w="120" w:type="dxa"/>
            </w:tcMar>
            <w:vAlign w:val="center"/>
          </w:tcPr>
          <w:p>
            <w:pPr>
              <w:spacing w:after="0" w:line="252" w:lineRule="auto"/>
              <w:jc w:val="left"/>
            </w:pPr>
            <w:r>
              <w:rPr>
                <w:rFonts w:ascii="Calibri" w:hAnsi="Calibri"/>
                <w:color w:val="1F2933"/>
                <w:sz w:val="17"/>
              </w:rPr>
              <w:t>Outputs are grounded in structured evidence but may require safe-template fallback when raw generation violates the contract.</w:t>
            </w:r>
          </w:p>
        </w:tc>
      </w:tr>
      <w:tr>
        <w:tc>
          <w:tcPr>
            <w:tcW w:type="dxa" w:w="22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Prediction store</w:t>
            </w:r>
          </w:p>
        </w:tc>
        <w:tc>
          <w:tcPr>
            <w:tcW w:type="dxa" w:w="71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The demonstration store is in-memory and process-local; restarts clear active prediction identifiers.</w:t>
            </w:r>
          </w:p>
        </w:tc>
      </w:tr>
      <w:tr>
        <w:tc>
          <w:tcPr>
            <w:tcW w:type="dxa" w:w="2200"/>
            <w:tcMar>
              <w:top w:w="90" w:type="dxa"/>
              <w:start w:w="120" w:type="dxa"/>
              <w:bottom w:w="90" w:type="dxa"/>
              <w:end w:w="120" w:type="dxa"/>
            </w:tcMar>
            <w:vAlign w:val="center"/>
          </w:tcPr>
          <w:p>
            <w:pPr>
              <w:spacing w:after="0" w:line="252" w:lineRule="auto"/>
              <w:jc w:val="left"/>
            </w:pPr>
            <w:r>
              <w:rPr>
                <w:rFonts w:ascii="Calibri" w:hAnsi="Calibri"/>
                <w:color w:val="1F2933"/>
                <w:sz w:val="17"/>
              </w:rPr>
              <w:t>Generalization</w:t>
            </w:r>
          </w:p>
        </w:tc>
        <w:tc>
          <w:tcPr>
            <w:tcW w:type="dxa" w:w="7160"/>
            <w:tcMar>
              <w:top w:w="90" w:type="dxa"/>
              <w:start w:w="120" w:type="dxa"/>
              <w:bottom w:w="90" w:type="dxa"/>
              <w:end w:w="120" w:type="dxa"/>
            </w:tcMar>
            <w:vAlign w:val="center"/>
          </w:tcPr>
          <w:p>
            <w:pPr>
              <w:spacing w:after="0" w:line="252" w:lineRule="auto"/>
              <w:jc w:val="left"/>
            </w:pPr>
            <w:r>
              <w:rPr>
                <w:rFonts w:ascii="Calibri" w:hAnsi="Calibri"/>
                <w:color w:val="1F2933"/>
                <w:sz w:val="17"/>
              </w:rPr>
              <w:t>Results are limited to the training domain and were not validated for clinical deployment, demographics, acquisition shifts or external institutions.</w:t>
            </w:r>
          </w:p>
        </w:tc>
      </w:tr>
      <w:tr>
        <w:tc>
          <w:tcPr>
            <w:tcW w:type="dxa" w:w="22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Privacy</w:t>
            </w:r>
          </w:p>
        </w:tc>
        <w:tc>
          <w:tcPr>
            <w:tcW w:type="dxa" w:w="71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Demonstration images must remain de-identified; no patient-specific clinical recommendations are produced.</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6F1E7"/>
          </w:tcPr>
          <w:p>
            <w:pPr>
              <w:spacing w:after="0"/>
            </w:pPr>
            <w:r>
              <w:rPr>
                <w:rFonts w:ascii="Calibri" w:hAnsi="Calibri"/>
                <w:b/>
                <w:color w:val="A23B3B"/>
                <w:sz w:val="21"/>
              </w:rPr>
              <w:t xml:space="preserve">Required wording: </w:t>
            </w:r>
            <w:r>
              <w:rPr>
                <w:rFonts w:ascii="Calibri" w:hAnsi="Calibri"/>
                <w:color w:val="1F2933"/>
                <w:sz w:val="21"/>
              </w:rPr>
              <w:t>Use 'model output', 'dataset reference label', 'crossed threshold' and 'attribution evidence'. Avoid 'diagnosis', 'confirmed lesion', 'normal X-ray' or 'disease detected'.</w:t>
            </w:r>
          </w:p>
        </w:tc>
      </w:tr>
    </w:tbl>
    <w:p>
      <w:pPr>
        <w:spacing w:after="20"/>
      </w:pPr>
    </w:p>
    <w:p>
      <w:pPr>
        <w:pStyle w:val="Heading1"/>
        <w:pBdr>
          <w:bottom w:val="single" w:sz="10" w:space="4" w:color="E9C46A"/>
        </w:pBdr>
      </w:pPr>
      <w:r>
        <w:t>16. Assignment Compliance Matrix</w:t>
      </w:r>
    </w:p>
    <w:tbl>
      <w:tblPr>
        <w:tblStyle w:val="TableGrid"/>
        <w:tblW w:type="dxa" w:w="9360"/>
        <w:tblLayout w:type="fixed"/>
        <w:tblLook w:firstColumn="1" w:firstRow="1" w:lastColumn="0" w:lastRow="0" w:noHBand="0" w:noVBand="1" w:val="04A0"/>
        <w:tblInd w:w="120" w:type="dxa"/>
      </w:tblPr>
      <w:tblGrid>
        <w:gridCol w:w="3100"/>
        <w:gridCol w:w="5060"/>
        <w:gridCol w:w="1200"/>
      </w:tblGrid>
      <w:tr>
        <w:trPr>
          <w:tblHeader w:val="true"/>
        </w:trPr>
        <w:tc>
          <w:tcPr>
            <w:tcW w:type="dxa" w:w="3100"/>
            <w:tcMar>
              <w:top w:w="90" w:type="dxa"/>
              <w:start w:w="120" w:type="dxa"/>
              <w:bottom w:w="90" w:type="dxa"/>
              <w:end w:w="120" w:type="dxa"/>
            </w:tcMar>
            <w:vAlign w:val="center"/>
            <w:shd w:fill="12372A"/>
          </w:tcPr>
          <w:p>
            <w:pPr>
              <w:spacing w:after="0"/>
              <w:jc w:val="center"/>
            </w:pPr>
            <w:r>
              <w:rPr>
                <w:rFonts w:ascii="Calibri" w:hAnsi="Calibri"/>
                <w:b/>
                <w:color w:val="FFFFFF"/>
                <w:sz w:val="17"/>
              </w:rPr>
              <w:t>Assignment requirement</w:t>
            </w:r>
          </w:p>
        </w:tc>
        <w:tc>
          <w:tcPr>
            <w:tcW w:type="dxa" w:w="5060"/>
            <w:tcMar>
              <w:top w:w="90" w:type="dxa"/>
              <w:start w:w="120" w:type="dxa"/>
              <w:bottom w:w="90" w:type="dxa"/>
              <w:end w:w="120" w:type="dxa"/>
            </w:tcMar>
            <w:vAlign w:val="center"/>
            <w:shd w:fill="12372A"/>
          </w:tcPr>
          <w:p>
            <w:pPr>
              <w:spacing w:after="0"/>
              <w:jc w:val="center"/>
            </w:pPr>
            <w:r>
              <w:rPr>
                <w:rFonts w:ascii="Calibri" w:hAnsi="Calibri"/>
                <w:b/>
                <w:color w:val="FFFFFF"/>
                <w:sz w:val="17"/>
              </w:rPr>
              <w:t>Project evidence</w:t>
            </w:r>
          </w:p>
        </w:tc>
        <w:tc>
          <w:tcPr>
            <w:tcW w:type="dxa" w:w="1200"/>
            <w:tcMar>
              <w:top w:w="90" w:type="dxa"/>
              <w:start w:w="120" w:type="dxa"/>
              <w:bottom w:w="90" w:type="dxa"/>
              <w:end w:w="120" w:type="dxa"/>
            </w:tcMar>
            <w:vAlign w:val="center"/>
            <w:shd w:fill="12372A"/>
          </w:tcPr>
          <w:p>
            <w:pPr>
              <w:spacing w:after="0"/>
              <w:jc w:val="center"/>
            </w:pPr>
            <w:r>
              <w:rPr>
                <w:rFonts w:ascii="Calibri" w:hAnsi="Calibri"/>
                <w:b/>
                <w:color w:val="FFFFFF"/>
                <w:sz w:val="17"/>
              </w:rPr>
              <w:t>Status</w:t>
            </w:r>
          </w:p>
        </w:tc>
      </w:tr>
      <w:tr>
        <w:tc>
          <w:tcPr>
            <w:tcW w:type="dxa" w:w="3100"/>
            <w:tcMar>
              <w:top w:w="90" w:type="dxa"/>
              <w:start w:w="120" w:type="dxa"/>
              <w:bottom w:w="90" w:type="dxa"/>
              <w:end w:w="120" w:type="dxa"/>
            </w:tcMar>
            <w:vAlign w:val="center"/>
          </w:tcPr>
          <w:p>
            <w:pPr>
              <w:spacing w:after="0" w:line="252" w:lineRule="auto"/>
              <w:jc w:val="left"/>
            </w:pPr>
            <w:r>
              <w:rPr>
                <w:rFonts w:ascii="Calibri" w:hAnsi="Calibri"/>
                <w:color w:val="1F2933"/>
                <w:sz w:val="17"/>
              </w:rPr>
              <w:t>Select a domain</w:t>
            </w:r>
          </w:p>
        </w:tc>
        <w:tc>
          <w:tcPr>
            <w:tcW w:type="dxa" w:w="5060"/>
            <w:tcMar>
              <w:top w:w="90" w:type="dxa"/>
              <w:start w:w="120" w:type="dxa"/>
              <w:bottom w:w="90" w:type="dxa"/>
              <w:end w:w="120" w:type="dxa"/>
            </w:tcMar>
            <w:vAlign w:val="center"/>
          </w:tcPr>
          <w:p>
            <w:pPr>
              <w:spacing w:after="0" w:line="252" w:lineRule="auto"/>
              <w:jc w:val="left"/>
            </w:pPr>
            <w:r>
              <w:rPr>
                <w:rFonts w:ascii="Calibri" w:hAnsi="Calibri"/>
                <w:color w:val="1F2933"/>
                <w:sz w:val="17"/>
              </w:rPr>
              <w:t>Healthcare / medical imaging</w:t>
            </w:r>
          </w:p>
        </w:tc>
        <w:tc>
          <w:tcPr>
            <w:tcW w:type="dxa" w:w="1200"/>
            <w:tcMar>
              <w:top w:w="90" w:type="dxa"/>
              <w:start w:w="120" w:type="dxa"/>
              <w:bottom w:w="90" w:type="dxa"/>
              <w:end w:w="120" w:type="dxa"/>
            </w:tcMar>
            <w:vAlign w:val="center"/>
          </w:tcPr>
          <w:p>
            <w:pPr>
              <w:spacing w:after="0" w:line="252" w:lineRule="auto"/>
              <w:jc w:val="center"/>
            </w:pPr>
            <w:r>
              <w:rPr>
                <w:rFonts w:ascii="Calibri" w:hAnsi="Calibri"/>
                <w:color w:val="1F2933"/>
                <w:sz w:val="17"/>
              </w:rPr>
              <w:t>Satisfied</w:t>
            </w:r>
          </w:p>
        </w:tc>
      </w:tr>
      <w:tr>
        <w:tc>
          <w:tcPr>
            <w:tcW w:type="dxa" w:w="31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Choose two AI categories</w:t>
            </w:r>
          </w:p>
        </w:tc>
        <w:tc>
          <w:tcPr>
            <w:tcW w:type="dxa" w:w="50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Computer Vision and Natural Language Processing</w:t>
            </w:r>
          </w:p>
        </w:tc>
        <w:tc>
          <w:tcPr>
            <w:tcW w:type="dxa" w:w="12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Satisfied</w:t>
            </w:r>
          </w:p>
        </w:tc>
      </w:tr>
      <w:tr>
        <w:tc>
          <w:tcPr>
            <w:tcW w:type="dxa" w:w="3100"/>
            <w:tcMar>
              <w:top w:w="90" w:type="dxa"/>
              <w:start w:w="120" w:type="dxa"/>
              <w:bottom w:w="90" w:type="dxa"/>
              <w:end w:w="120" w:type="dxa"/>
            </w:tcMar>
            <w:vAlign w:val="center"/>
          </w:tcPr>
          <w:p>
            <w:pPr>
              <w:spacing w:after="0" w:line="252" w:lineRule="auto"/>
              <w:jc w:val="left"/>
            </w:pPr>
            <w:r>
              <w:rPr>
                <w:rFonts w:ascii="Calibri" w:hAnsi="Calibri"/>
                <w:color w:val="1F2933"/>
                <w:sz w:val="17"/>
              </w:rPr>
              <w:t>At least five subtasks</w:t>
            </w:r>
          </w:p>
        </w:tc>
        <w:tc>
          <w:tcPr>
            <w:tcW w:type="dxa" w:w="5060"/>
            <w:tcMar>
              <w:top w:w="90" w:type="dxa"/>
              <w:start w:w="120" w:type="dxa"/>
              <w:bottom w:w="90" w:type="dxa"/>
              <w:end w:w="120" w:type="dxa"/>
            </w:tcMar>
            <w:vAlign w:val="center"/>
          </w:tcPr>
          <w:p>
            <w:pPr>
              <w:spacing w:after="0" w:line="252" w:lineRule="auto"/>
              <w:jc w:val="left"/>
            </w:pPr>
            <w:r>
              <w:rPr>
                <w:rFonts w:ascii="Calibri" w:hAnsi="Calibri"/>
                <w:color w:val="1F2933"/>
                <w:sz w:val="17"/>
              </w:rPr>
              <w:t>Six integrated subtasks</w:t>
            </w:r>
          </w:p>
        </w:tc>
        <w:tc>
          <w:tcPr>
            <w:tcW w:type="dxa" w:w="1200"/>
            <w:tcMar>
              <w:top w:w="90" w:type="dxa"/>
              <w:start w:w="120" w:type="dxa"/>
              <w:bottom w:w="90" w:type="dxa"/>
              <w:end w:w="120" w:type="dxa"/>
            </w:tcMar>
            <w:vAlign w:val="center"/>
          </w:tcPr>
          <w:p>
            <w:pPr>
              <w:spacing w:after="0" w:line="252" w:lineRule="auto"/>
              <w:jc w:val="center"/>
            </w:pPr>
            <w:r>
              <w:rPr>
                <w:rFonts w:ascii="Calibri" w:hAnsi="Calibri"/>
                <w:color w:val="1F2933"/>
                <w:sz w:val="17"/>
              </w:rPr>
              <w:t>Exceeded</w:t>
            </w:r>
          </w:p>
        </w:tc>
      </w:tr>
      <w:tr>
        <w:tc>
          <w:tcPr>
            <w:tcW w:type="dxa" w:w="31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Identify appropriate models</w:t>
            </w:r>
          </w:p>
        </w:tc>
        <w:tc>
          <w:tcPr>
            <w:tcW w:type="dxa" w:w="50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ResNet-18, LayerGradCam and FLAN-T5-small</w:t>
            </w:r>
          </w:p>
        </w:tc>
        <w:tc>
          <w:tcPr>
            <w:tcW w:type="dxa" w:w="12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Satisfied</w:t>
            </w:r>
          </w:p>
        </w:tc>
      </w:tr>
      <w:tr>
        <w:tc>
          <w:tcPr>
            <w:tcW w:type="dxa" w:w="3100"/>
            <w:tcMar>
              <w:top w:w="90" w:type="dxa"/>
              <w:start w:w="120" w:type="dxa"/>
              <w:bottom w:w="90" w:type="dxa"/>
              <w:end w:w="120" w:type="dxa"/>
            </w:tcMar>
            <w:vAlign w:val="center"/>
          </w:tcPr>
          <w:p>
            <w:pPr>
              <w:spacing w:after="0" w:line="252" w:lineRule="auto"/>
              <w:jc w:val="left"/>
            </w:pPr>
            <w:r>
              <w:rPr>
                <w:rFonts w:ascii="Calibri" w:hAnsi="Calibri"/>
                <w:color w:val="1F2933"/>
                <w:sz w:val="17"/>
              </w:rPr>
              <w:t>Cohesive unified objective</w:t>
            </w:r>
          </w:p>
        </w:tc>
        <w:tc>
          <w:tcPr>
            <w:tcW w:type="dxa" w:w="5060"/>
            <w:tcMar>
              <w:top w:w="90" w:type="dxa"/>
              <w:start w:w="120" w:type="dxa"/>
              <w:bottom w:w="90" w:type="dxa"/>
              <w:end w:w="120" w:type="dxa"/>
            </w:tcMar>
            <w:vAlign w:val="center"/>
          </w:tcPr>
          <w:p>
            <w:pPr>
              <w:spacing w:after="0" w:line="252" w:lineRule="auto"/>
              <w:jc w:val="left"/>
            </w:pPr>
            <w:r>
              <w:rPr>
                <w:rFonts w:ascii="Calibri" w:hAnsi="Calibri"/>
                <w:color w:val="1F2933"/>
                <w:sz w:val="17"/>
              </w:rPr>
              <w:t>Vision evidence grounds every language output</w:t>
            </w:r>
          </w:p>
        </w:tc>
        <w:tc>
          <w:tcPr>
            <w:tcW w:type="dxa" w:w="1200"/>
            <w:tcMar>
              <w:top w:w="90" w:type="dxa"/>
              <w:start w:w="120" w:type="dxa"/>
              <w:bottom w:w="90" w:type="dxa"/>
              <w:end w:w="120" w:type="dxa"/>
            </w:tcMar>
            <w:vAlign w:val="center"/>
          </w:tcPr>
          <w:p>
            <w:pPr>
              <w:spacing w:after="0" w:line="252" w:lineRule="auto"/>
              <w:jc w:val="center"/>
            </w:pPr>
            <w:r>
              <w:rPr>
                <w:rFonts w:ascii="Calibri" w:hAnsi="Calibri"/>
                <w:color w:val="1F2933"/>
                <w:sz w:val="17"/>
              </w:rPr>
              <w:t>Satisfied</w:t>
            </w:r>
          </w:p>
        </w:tc>
      </w:tr>
      <w:tr>
        <w:tc>
          <w:tcPr>
            <w:tcW w:type="dxa" w:w="31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API-based interactive application</w:t>
            </w:r>
          </w:p>
        </w:tc>
        <w:tc>
          <w:tcPr>
            <w:tcW w:type="dxa" w:w="50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12-path FastAPI service, Swagger UI and Streamlit</w:t>
            </w:r>
          </w:p>
        </w:tc>
        <w:tc>
          <w:tcPr>
            <w:tcW w:type="dxa" w:w="12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Satisfied</w:t>
            </w:r>
          </w:p>
        </w:tc>
      </w:tr>
      <w:tr>
        <w:tc>
          <w:tcPr>
            <w:tcW w:type="dxa" w:w="3100"/>
            <w:tcMar>
              <w:top w:w="90" w:type="dxa"/>
              <w:start w:w="120" w:type="dxa"/>
              <w:bottom w:w="90" w:type="dxa"/>
              <w:end w:w="120" w:type="dxa"/>
            </w:tcMar>
            <w:vAlign w:val="center"/>
          </w:tcPr>
          <w:p>
            <w:pPr>
              <w:spacing w:after="0" w:line="252" w:lineRule="auto"/>
              <w:jc w:val="center"/>
            </w:pPr>
            <w:r>
              <w:rPr>
                <w:rFonts w:ascii="Calibri" w:hAnsi="Calibri"/>
                <w:color w:val="1F2933"/>
                <w:sz w:val="17"/>
              </w:rPr>
              <w:t>Apply LLMOps</w:t>
            </w:r>
          </w:p>
        </w:tc>
        <w:tc>
          <w:tcPr>
            <w:tcW w:type="dxa" w:w="5060"/>
            <w:tcMar>
              <w:top w:w="90" w:type="dxa"/>
              <w:start w:w="120" w:type="dxa"/>
              <w:bottom w:w="90" w:type="dxa"/>
              <w:end w:w="120" w:type="dxa"/>
            </w:tcMar>
            <w:vAlign w:val="center"/>
          </w:tcPr>
          <w:p>
            <w:pPr>
              <w:spacing w:after="0" w:line="252" w:lineRule="auto"/>
              <w:jc w:val="left"/>
            </w:pPr>
            <w:r>
              <w:rPr>
                <w:rFonts w:ascii="Calibri" w:hAnsi="Calibri"/>
                <w:color w:val="1F2933"/>
                <w:sz w:val="17"/>
              </w:rPr>
              <w:t>MLflow, versioning, registries, monitoring and guardrails</w:t>
            </w:r>
          </w:p>
        </w:tc>
        <w:tc>
          <w:tcPr>
            <w:tcW w:type="dxa" w:w="1200"/>
            <w:tcMar>
              <w:top w:w="90" w:type="dxa"/>
              <w:start w:w="120" w:type="dxa"/>
              <w:bottom w:w="90" w:type="dxa"/>
              <w:end w:w="120" w:type="dxa"/>
            </w:tcMar>
            <w:vAlign w:val="center"/>
          </w:tcPr>
          <w:p>
            <w:pPr>
              <w:spacing w:after="0" w:line="252" w:lineRule="auto"/>
              <w:jc w:val="center"/>
            </w:pPr>
            <w:r>
              <w:rPr>
                <w:rFonts w:ascii="Calibri" w:hAnsi="Calibri"/>
                <w:color w:val="1F2933"/>
                <w:sz w:val="17"/>
              </w:rPr>
              <w:t>Satisfied</w:t>
            </w:r>
          </w:p>
        </w:tc>
      </w:tr>
      <w:tr>
        <w:tc>
          <w:tcPr>
            <w:tcW w:type="dxa" w:w="31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At least five metrics</w:t>
            </w:r>
          </w:p>
        </w:tc>
        <w:tc>
          <w:tcPr>
            <w:tcW w:type="dxa" w:w="50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CV, language, grounding, safety and operational metrics</w:t>
            </w:r>
          </w:p>
        </w:tc>
        <w:tc>
          <w:tcPr>
            <w:tcW w:type="dxa" w:w="12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Exceeded</w:t>
            </w:r>
          </w:p>
        </w:tc>
      </w:tr>
      <w:tr>
        <w:tc>
          <w:tcPr>
            <w:tcW w:type="dxa" w:w="3100"/>
            <w:tcMar>
              <w:top w:w="90" w:type="dxa"/>
              <w:start w:w="120" w:type="dxa"/>
              <w:bottom w:w="90" w:type="dxa"/>
              <w:end w:w="120" w:type="dxa"/>
            </w:tcMar>
            <w:vAlign w:val="center"/>
          </w:tcPr>
          <w:p>
            <w:pPr>
              <w:spacing w:after="0" w:line="252" w:lineRule="auto"/>
              <w:jc w:val="left"/>
            </w:pPr>
            <w:r>
              <w:rPr>
                <w:rFonts w:ascii="Calibri" w:hAnsi="Calibri"/>
                <w:color w:val="1F2933"/>
                <w:sz w:val="17"/>
              </w:rPr>
              <w:t>Fine-tune a model</w:t>
            </w:r>
          </w:p>
        </w:tc>
        <w:tc>
          <w:tcPr>
            <w:tcW w:type="dxa" w:w="5060"/>
            <w:tcMar>
              <w:top w:w="90" w:type="dxa"/>
              <w:start w:w="120" w:type="dxa"/>
              <w:bottom w:w="90" w:type="dxa"/>
              <w:end w:w="120" w:type="dxa"/>
            </w:tcMar>
            <w:vAlign w:val="center"/>
          </w:tcPr>
          <w:p>
            <w:pPr>
              <w:spacing w:after="0" w:line="252" w:lineRule="auto"/>
              <w:jc w:val="left"/>
            </w:pPr>
            <w:r>
              <w:rPr>
                <w:rFonts w:ascii="Calibri" w:hAnsi="Calibri"/>
                <w:color w:val="1F2933"/>
                <w:sz w:val="17"/>
              </w:rPr>
              <w:t>ResNet-18 and FLAN-T5-small fine-tuned</w:t>
            </w:r>
          </w:p>
        </w:tc>
        <w:tc>
          <w:tcPr>
            <w:tcW w:type="dxa" w:w="1200"/>
            <w:tcMar>
              <w:top w:w="90" w:type="dxa"/>
              <w:start w:w="120" w:type="dxa"/>
              <w:bottom w:w="90" w:type="dxa"/>
              <w:end w:w="120" w:type="dxa"/>
            </w:tcMar>
            <w:vAlign w:val="center"/>
          </w:tcPr>
          <w:p>
            <w:pPr>
              <w:spacing w:after="0" w:line="252" w:lineRule="auto"/>
              <w:jc w:val="center"/>
            </w:pPr>
            <w:r>
              <w:rPr>
                <w:rFonts w:ascii="Calibri" w:hAnsi="Calibri"/>
                <w:color w:val="1F2933"/>
                <w:sz w:val="17"/>
              </w:rPr>
              <w:t>Exceeded</w:t>
            </w:r>
          </w:p>
        </w:tc>
      </w:tr>
      <w:tr>
        <w:tc>
          <w:tcPr>
            <w:tcW w:type="dxa" w:w="31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Demonstrate fine-tuned model</w:t>
            </w:r>
          </w:p>
        </w:tc>
        <w:tc>
          <w:tcPr>
            <w:tcW w:type="dxa" w:w="50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Live complete-analysis workflow and screenshots</w:t>
            </w:r>
          </w:p>
        </w:tc>
        <w:tc>
          <w:tcPr>
            <w:tcW w:type="dxa" w:w="12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Satisfied</w:t>
            </w:r>
          </w:p>
        </w:tc>
      </w:tr>
      <w:tr>
        <w:tc>
          <w:tcPr>
            <w:tcW w:type="dxa" w:w="3100"/>
            <w:tcMar>
              <w:top w:w="90" w:type="dxa"/>
              <w:start w:w="120" w:type="dxa"/>
              <w:bottom w:w="90" w:type="dxa"/>
              <w:end w:w="120" w:type="dxa"/>
            </w:tcMar>
            <w:vAlign w:val="center"/>
          </w:tcPr>
          <w:p>
            <w:pPr>
              <w:spacing w:after="0" w:line="252" w:lineRule="auto"/>
              <w:jc w:val="left"/>
            </w:pPr>
            <w:r>
              <w:rPr>
                <w:rFonts w:ascii="Calibri" w:hAnsi="Calibri"/>
                <w:color w:val="1F2933"/>
                <w:sz w:val="17"/>
              </w:rPr>
              <w:t>Screenshots with explanation</w:t>
            </w:r>
          </w:p>
        </w:tc>
        <w:tc>
          <w:tcPr>
            <w:tcW w:type="dxa" w:w="5060"/>
            <w:tcMar>
              <w:top w:w="90" w:type="dxa"/>
              <w:start w:w="120" w:type="dxa"/>
              <w:bottom w:w="90" w:type="dxa"/>
              <w:end w:w="120" w:type="dxa"/>
            </w:tcMar>
            <w:vAlign w:val="center"/>
          </w:tcPr>
          <w:p>
            <w:pPr>
              <w:spacing w:after="0" w:line="252" w:lineRule="auto"/>
              <w:jc w:val="left"/>
            </w:pPr>
            <w:r>
              <w:rPr>
                <w:rFonts w:ascii="Calibri" w:hAnsi="Calibri"/>
                <w:color w:val="1F2933"/>
                <w:sz w:val="17"/>
              </w:rPr>
              <w:t>Notebook outputs, Swagger and Streamlit figures integrated throughout</w:t>
            </w:r>
          </w:p>
        </w:tc>
        <w:tc>
          <w:tcPr>
            <w:tcW w:type="dxa" w:w="1200"/>
            <w:tcMar>
              <w:top w:w="90" w:type="dxa"/>
              <w:start w:w="120" w:type="dxa"/>
              <w:bottom w:w="90" w:type="dxa"/>
              <w:end w:w="120" w:type="dxa"/>
            </w:tcMar>
            <w:vAlign w:val="center"/>
          </w:tcPr>
          <w:p>
            <w:pPr>
              <w:spacing w:after="0" w:line="252" w:lineRule="auto"/>
              <w:jc w:val="center"/>
            </w:pPr>
            <w:r>
              <w:rPr>
                <w:rFonts w:ascii="Calibri" w:hAnsi="Calibri"/>
                <w:color w:val="1F2933"/>
                <w:sz w:val="17"/>
              </w:rPr>
              <w:t>Satisfied</w:t>
            </w:r>
          </w:p>
        </w:tc>
      </w:tr>
      <w:tr>
        <w:tc>
          <w:tcPr>
            <w:tcW w:type="dxa" w:w="31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Member contributions</w:t>
            </w:r>
          </w:p>
        </w:tc>
        <w:tc>
          <w:tcPr>
            <w:tcW w:type="dxa" w:w="50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Five Assignment II workstreams at 20% each</w:t>
            </w:r>
          </w:p>
        </w:tc>
        <w:tc>
          <w:tcPr>
            <w:tcW w:type="dxa" w:w="12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Satisfied</w:t>
            </w:r>
          </w:p>
        </w:tc>
      </w:tr>
    </w:tbl>
    <w:p>
      <w:pPr>
        <w:spacing w:after="40"/>
      </w:pPr>
    </w:p>
    <w:p>
      <w:pPr>
        <w:pStyle w:val="Heading1"/>
        <w:pBdr>
          <w:bottom w:val="single" w:sz="10" w:space="4" w:color="E9C46A"/>
        </w:pBdr>
      </w:pPr>
      <w:r>
        <w:t>17. Conclusions and Future Work</w:t>
      </w:r>
    </w:p>
    <w:p>
      <w:pPr>
        <w:keepLines w:val="0"/>
        <w:spacing w:after="160" w:line="300" w:lineRule="auto"/>
        <w:jc w:val="both"/>
      </w:pPr>
      <w:r>
        <w:rPr>
          <w:rFonts w:ascii="Calibri" w:hAnsi="Calibri"/>
          <w:i w:val="0"/>
          <w:color w:val="1F2933"/>
          <w:sz w:val="22"/>
        </w:rPr>
        <w:t>The project demonstrates a complete API-driven AI solution rather than an isolated model notebook. It integrates two AI categories and six cohesive subtasks, fine-tunes both vision and language models, exposes strict versioned contracts, presents an interactive interface, preserves evidence and lineage, and validates packaging and operational behavior.</w:t>
      </w:r>
    </w:p>
    <w:p>
      <w:pPr>
        <w:keepLines w:val="0"/>
        <w:spacing w:after="160" w:line="300" w:lineRule="auto"/>
        <w:jc w:val="both"/>
      </w:pPr>
      <w:r>
        <w:rPr>
          <w:rFonts w:ascii="Calibri" w:hAnsi="Calibri"/>
          <w:i w:val="0"/>
          <w:color w:val="1F2933"/>
          <w:sz w:val="22"/>
        </w:rPr>
        <w:t>The results also show the value of transparent limitations. Ranking performance is materially stronger than exact multilabel agreement, rare-label precision remains difficult, and raw language generation requires deterministic control. The design makes those limitations visible through per-finding evaluation, error analysis, Grad-CAM boundaries, raw-versus-guarded metrics and professional-review notices.</w:t>
      </w:r>
    </w:p>
    <w:p>
      <w:pPr>
        <w:keepLines w:val="0"/>
        <w:spacing w:after="160" w:line="300" w:lineRule="auto"/>
        <w:jc w:val="both"/>
      </w:pPr>
      <w:r>
        <w:rPr>
          <w:rFonts w:ascii="Calibri" w:hAnsi="Calibri"/>
          <w:i w:val="0"/>
          <w:color w:val="1F2933"/>
          <w:sz w:val="22"/>
        </w:rPr>
        <w:t>Future work should evaluate external datasets, calibrate probabilities under acquisition shift, compare stronger vision backbones, add expert-reviewed labels, introduce persistent encrypted storage, perform concurrency and load testing, evaluate subgroup performance, add model-drift monitoring, and conduct clinician-centered usability studies before any consideration of real-world deployment.</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F3EF"/>
          </w:tcPr>
          <w:p>
            <w:pPr>
              <w:spacing w:after="0"/>
            </w:pPr>
            <w:r>
              <w:rPr>
                <w:rFonts w:ascii="Calibri" w:hAnsi="Calibri"/>
                <w:b/>
                <w:color w:val="12372A"/>
                <w:sz w:val="21"/>
              </w:rPr>
              <w:t xml:space="preserve">Final status: </w:t>
            </w:r>
            <w:r>
              <w:rPr>
                <w:rFonts w:ascii="Calibri" w:hAnsi="Calibri"/>
                <w:color w:val="1F2933"/>
                <w:sz w:val="21"/>
              </w:rPr>
              <w:t>Notebook 9 reports SOLUTION READY FOR REPRODUCIBLE PACKAGING AND DEPLOYMENT. This means the educational prototype and its documented contracts are ready for submission and demonstration; it does not imply clinical readiness.</w:t>
            </w:r>
          </w:p>
        </w:tc>
      </w:tr>
    </w:tbl>
    <w:p>
      <w:pPr>
        <w:spacing w:after="20"/>
      </w:pPr>
    </w:p>
    <w:p>
      <w:r>
        <w:br w:type="page"/>
      </w:r>
    </w:p>
    <w:p>
      <w:pPr>
        <w:pStyle w:val="Heading1"/>
        <w:pBdr>
          <w:bottom w:val="single" w:sz="10" w:space="4" w:color="E9C46A"/>
        </w:pBdr>
      </w:pPr>
      <w:r>
        <w:t>Appendix A. Complete Endpoint Catalogue</w:t>
      </w:r>
    </w:p>
    <w:tbl>
      <w:tblPr>
        <w:tblStyle w:val="TableGrid"/>
        <w:tblW w:type="dxa" w:w="9360"/>
        <w:tblLayout w:type="fixed"/>
        <w:tblLook w:firstColumn="1" w:firstRow="1" w:lastColumn="0" w:lastRow="0" w:noHBand="0" w:noVBand="1" w:val="04A0"/>
        <w:tblInd w:w="120" w:type="dxa"/>
      </w:tblPr>
      <w:tblGrid>
        <w:gridCol w:w="1000"/>
        <w:gridCol w:w="3600"/>
        <w:gridCol w:w="4760"/>
      </w:tblGrid>
      <w:tr>
        <w:trPr>
          <w:tblHeader w:val="true"/>
        </w:trPr>
        <w:tc>
          <w:tcPr>
            <w:tcW w:type="dxa" w:w="1000"/>
            <w:tcMar>
              <w:top w:w="90" w:type="dxa"/>
              <w:start w:w="120" w:type="dxa"/>
              <w:bottom w:w="90" w:type="dxa"/>
              <w:end w:w="120" w:type="dxa"/>
            </w:tcMar>
            <w:vAlign w:val="center"/>
            <w:shd w:fill="12372A"/>
          </w:tcPr>
          <w:p>
            <w:pPr>
              <w:spacing w:after="0"/>
              <w:jc w:val="center"/>
            </w:pPr>
            <w:r>
              <w:rPr>
                <w:rFonts w:ascii="Calibri" w:hAnsi="Calibri"/>
                <w:b/>
                <w:color w:val="FFFFFF"/>
                <w:sz w:val="17"/>
              </w:rPr>
              <w:t>Method</w:t>
            </w:r>
          </w:p>
        </w:tc>
        <w:tc>
          <w:tcPr>
            <w:tcW w:type="dxa" w:w="3600"/>
            <w:tcMar>
              <w:top w:w="90" w:type="dxa"/>
              <w:start w:w="120" w:type="dxa"/>
              <w:bottom w:w="90" w:type="dxa"/>
              <w:end w:w="120" w:type="dxa"/>
            </w:tcMar>
            <w:vAlign w:val="center"/>
            <w:shd w:fill="12372A"/>
          </w:tcPr>
          <w:p>
            <w:pPr>
              <w:spacing w:after="0"/>
              <w:jc w:val="center"/>
            </w:pPr>
            <w:r>
              <w:rPr>
                <w:rFonts w:ascii="Calibri" w:hAnsi="Calibri"/>
                <w:b/>
                <w:color w:val="FFFFFF"/>
                <w:sz w:val="17"/>
              </w:rPr>
              <w:t>Path</w:t>
            </w:r>
          </w:p>
        </w:tc>
        <w:tc>
          <w:tcPr>
            <w:tcW w:type="dxa" w:w="4760"/>
            <w:tcMar>
              <w:top w:w="90" w:type="dxa"/>
              <w:start w:w="120" w:type="dxa"/>
              <w:bottom w:w="90" w:type="dxa"/>
              <w:end w:w="120" w:type="dxa"/>
            </w:tcMar>
            <w:vAlign w:val="center"/>
            <w:shd w:fill="12372A"/>
          </w:tcPr>
          <w:p>
            <w:pPr>
              <w:spacing w:after="0"/>
              <w:jc w:val="center"/>
            </w:pPr>
            <w:r>
              <w:rPr>
                <w:rFonts w:ascii="Calibri" w:hAnsi="Calibri"/>
                <w:b/>
                <w:color w:val="FFFFFF"/>
                <w:sz w:val="17"/>
              </w:rPr>
              <w:t>Purpose</w:t>
            </w:r>
          </w:p>
        </w:tc>
      </w:tr>
      <w:tr>
        <w:tc>
          <w:tcPr>
            <w:tcW w:type="dxa" w:w="1000"/>
            <w:tcMar>
              <w:top w:w="90" w:type="dxa"/>
              <w:start w:w="120" w:type="dxa"/>
              <w:bottom w:w="90" w:type="dxa"/>
              <w:end w:w="120" w:type="dxa"/>
            </w:tcMar>
            <w:vAlign w:val="center"/>
          </w:tcPr>
          <w:p>
            <w:pPr>
              <w:spacing w:after="0" w:line="252" w:lineRule="auto"/>
              <w:jc w:val="center"/>
            </w:pPr>
            <w:r>
              <w:rPr>
                <w:rFonts w:ascii="Calibri" w:hAnsi="Calibri"/>
                <w:color w:val="1F2933"/>
                <w:sz w:val="17"/>
              </w:rPr>
              <w:t>GET</w:t>
            </w:r>
          </w:p>
        </w:tc>
        <w:tc>
          <w:tcPr>
            <w:tcW w:type="dxa" w:w="3600"/>
            <w:tcMar>
              <w:top w:w="90" w:type="dxa"/>
              <w:start w:w="120" w:type="dxa"/>
              <w:bottom w:w="90" w:type="dxa"/>
              <w:end w:w="120" w:type="dxa"/>
            </w:tcMar>
            <w:vAlign w:val="center"/>
          </w:tcPr>
          <w:p>
            <w:pPr>
              <w:spacing w:after="0" w:line="252" w:lineRule="auto"/>
              <w:jc w:val="center"/>
            </w:pPr>
            <w:r>
              <w:rPr>
                <w:rFonts w:ascii="Calibri" w:hAnsi="Calibri"/>
                <w:color w:val="1F2933"/>
                <w:sz w:val="17"/>
              </w:rPr>
              <w:t>/health</w:t>
            </w:r>
          </w:p>
        </w:tc>
        <w:tc>
          <w:tcPr>
            <w:tcW w:type="dxa" w:w="4760"/>
            <w:tcMar>
              <w:top w:w="90" w:type="dxa"/>
              <w:start w:w="120" w:type="dxa"/>
              <w:bottom w:w="90" w:type="dxa"/>
              <w:end w:w="120" w:type="dxa"/>
            </w:tcMar>
            <w:vAlign w:val="center"/>
          </w:tcPr>
          <w:p>
            <w:pPr>
              <w:spacing w:after="0" w:line="252" w:lineRule="auto"/>
              <w:jc w:val="left"/>
            </w:pPr>
            <w:r>
              <w:rPr>
                <w:rFonts w:ascii="Calibri" w:hAnsi="Calibri"/>
                <w:color w:val="1F2933"/>
                <w:sz w:val="17"/>
              </w:rPr>
              <w:t>Backend health and readiness without model inference</w:t>
            </w:r>
          </w:p>
        </w:tc>
      </w:tr>
      <w:tr>
        <w:tc>
          <w:tcPr>
            <w:tcW w:type="dxa" w:w="10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GET</w:t>
            </w:r>
          </w:p>
        </w:tc>
        <w:tc>
          <w:tcPr>
            <w:tcW w:type="dxa" w:w="36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/api/v1/model/info</w:t>
            </w:r>
          </w:p>
        </w:tc>
        <w:tc>
          <w:tcPr>
            <w:tcW w:type="dxa" w:w="47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Model, prompt, explainability and limitation lineage</w:t>
            </w:r>
          </w:p>
        </w:tc>
      </w:tr>
      <w:tr>
        <w:tc>
          <w:tcPr>
            <w:tcW w:type="dxa" w:w="1000"/>
            <w:tcMar>
              <w:top w:w="90" w:type="dxa"/>
              <w:start w:w="120" w:type="dxa"/>
              <w:bottom w:w="90" w:type="dxa"/>
              <w:end w:w="120" w:type="dxa"/>
            </w:tcMar>
            <w:vAlign w:val="center"/>
          </w:tcPr>
          <w:p>
            <w:pPr>
              <w:spacing w:after="0" w:line="252" w:lineRule="auto"/>
              <w:jc w:val="center"/>
            </w:pPr>
            <w:r>
              <w:rPr>
                <w:rFonts w:ascii="Calibri" w:hAnsi="Calibri"/>
                <w:color w:val="1F2933"/>
                <w:sz w:val="17"/>
              </w:rPr>
              <w:t>GET</w:t>
            </w:r>
          </w:p>
        </w:tc>
        <w:tc>
          <w:tcPr>
            <w:tcW w:type="dxa" w:w="3600"/>
            <w:tcMar>
              <w:top w:w="90" w:type="dxa"/>
              <w:start w:w="120" w:type="dxa"/>
              <w:bottom w:w="90" w:type="dxa"/>
              <w:end w:w="120" w:type="dxa"/>
            </w:tcMar>
            <w:vAlign w:val="center"/>
          </w:tcPr>
          <w:p>
            <w:pPr>
              <w:spacing w:after="0" w:line="252" w:lineRule="auto"/>
              <w:jc w:val="left"/>
            </w:pPr>
            <w:r>
              <w:rPr>
                <w:rFonts w:ascii="Calibri" w:hAnsi="Calibri"/>
                <w:color w:val="1F2933"/>
                <w:sz w:val="17"/>
              </w:rPr>
              <w:t>/api/v1/model/metrics</w:t>
            </w:r>
          </w:p>
        </w:tc>
        <w:tc>
          <w:tcPr>
            <w:tcW w:type="dxa" w:w="4760"/>
            <w:tcMar>
              <w:top w:w="90" w:type="dxa"/>
              <w:start w:w="120" w:type="dxa"/>
              <w:bottom w:w="90" w:type="dxa"/>
              <w:end w:w="120" w:type="dxa"/>
            </w:tcMar>
            <w:vAlign w:val="center"/>
          </w:tcPr>
          <w:p>
            <w:pPr>
              <w:spacing w:after="0" w:line="252" w:lineRule="auto"/>
              <w:jc w:val="left"/>
            </w:pPr>
            <w:r>
              <w:rPr>
                <w:rFonts w:ascii="Calibri" w:hAnsi="Calibri"/>
                <w:color w:val="1F2933"/>
                <w:sz w:val="17"/>
              </w:rPr>
              <w:t>Persisted vision, language and guardrail metrics</w:t>
            </w:r>
          </w:p>
        </w:tc>
      </w:tr>
      <w:tr>
        <w:tc>
          <w:tcPr>
            <w:tcW w:type="dxa" w:w="10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GET</w:t>
            </w:r>
          </w:p>
        </w:tc>
        <w:tc>
          <w:tcPr>
            <w:tcW w:type="dxa" w:w="36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/api/v1/llmops/metrics</w:t>
            </w:r>
          </w:p>
        </w:tc>
        <w:tc>
          <w:tcPr>
            <w:tcW w:type="dxa" w:w="47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Operational request, latency and guardrail metrics</w:t>
            </w:r>
          </w:p>
        </w:tc>
      </w:tr>
      <w:tr>
        <w:tc>
          <w:tcPr>
            <w:tcW w:type="dxa" w:w="1000"/>
            <w:tcMar>
              <w:top w:w="90" w:type="dxa"/>
              <w:start w:w="120" w:type="dxa"/>
              <w:bottom w:w="90" w:type="dxa"/>
              <w:end w:w="120" w:type="dxa"/>
            </w:tcMar>
            <w:vAlign w:val="center"/>
          </w:tcPr>
          <w:p>
            <w:pPr>
              <w:spacing w:after="0" w:line="252" w:lineRule="auto"/>
              <w:jc w:val="center"/>
            </w:pPr>
            <w:r>
              <w:rPr>
                <w:rFonts w:ascii="Calibri" w:hAnsi="Calibri"/>
                <w:color w:val="1F2933"/>
                <w:sz w:val="17"/>
              </w:rPr>
              <w:t>POST</w:t>
            </w:r>
          </w:p>
        </w:tc>
        <w:tc>
          <w:tcPr>
            <w:tcW w:type="dxa" w:w="3600"/>
            <w:tcMar>
              <w:top w:w="90" w:type="dxa"/>
              <w:start w:w="120" w:type="dxa"/>
              <w:bottom w:w="90" w:type="dxa"/>
              <w:end w:w="120" w:type="dxa"/>
            </w:tcMar>
            <w:vAlign w:val="center"/>
          </w:tcPr>
          <w:p>
            <w:pPr>
              <w:spacing w:after="0" w:line="252" w:lineRule="auto"/>
              <w:jc w:val="left"/>
            </w:pPr>
            <w:r>
              <w:rPr>
                <w:rFonts w:ascii="Calibri" w:hAnsi="Calibri"/>
                <w:color w:val="1F2933"/>
                <w:sz w:val="17"/>
              </w:rPr>
              <w:t>/api/v1/image/classify</w:t>
            </w:r>
          </w:p>
        </w:tc>
        <w:tc>
          <w:tcPr>
            <w:tcW w:type="dxa" w:w="4760"/>
            <w:tcMar>
              <w:top w:w="90" w:type="dxa"/>
              <w:start w:w="120" w:type="dxa"/>
              <w:bottom w:w="90" w:type="dxa"/>
              <w:end w:w="120" w:type="dxa"/>
            </w:tcMar>
            <w:vAlign w:val="center"/>
          </w:tcPr>
          <w:p>
            <w:pPr>
              <w:spacing w:after="0" w:line="252" w:lineRule="auto"/>
              <w:jc w:val="left"/>
            </w:pPr>
            <w:r>
              <w:rPr>
                <w:rFonts w:ascii="Calibri" w:hAnsi="Calibri"/>
                <w:color w:val="1F2933"/>
                <w:sz w:val="17"/>
              </w:rPr>
              <w:t>Validate and classify one chest X-ray</w:t>
            </w:r>
          </w:p>
        </w:tc>
      </w:tr>
      <w:tr>
        <w:tc>
          <w:tcPr>
            <w:tcW w:type="dxa" w:w="10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POST</w:t>
            </w:r>
          </w:p>
        </w:tc>
        <w:tc>
          <w:tcPr>
            <w:tcW w:type="dxa" w:w="36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/api/v1/image/analyze</w:t>
            </w:r>
          </w:p>
        </w:tc>
        <w:tc>
          <w:tcPr>
            <w:tcW w:type="dxa" w:w="47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Classify and return finding-specific visual evidence</w:t>
            </w:r>
          </w:p>
        </w:tc>
      </w:tr>
      <w:tr>
        <w:tc>
          <w:tcPr>
            <w:tcW w:type="dxa" w:w="1000"/>
            <w:tcMar>
              <w:top w:w="90" w:type="dxa"/>
              <w:start w:w="120" w:type="dxa"/>
              <w:bottom w:w="90" w:type="dxa"/>
              <w:end w:w="120" w:type="dxa"/>
            </w:tcMar>
            <w:vAlign w:val="center"/>
          </w:tcPr>
          <w:p>
            <w:pPr>
              <w:spacing w:after="0" w:line="252" w:lineRule="auto"/>
              <w:jc w:val="center"/>
            </w:pPr>
            <w:r>
              <w:rPr>
                <w:rFonts w:ascii="Calibri" w:hAnsi="Calibri"/>
                <w:color w:val="1F2933"/>
                <w:sz w:val="17"/>
              </w:rPr>
              <w:t>POST</w:t>
            </w:r>
          </w:p>
        </w:tc>
        <w:tc>
          <w:tcPr>
            <w:tcW w:type="dxa" w:w="3600"/>
            <w:tcMar>
              <w:top w:w="90" w:type="dxa"/>
              <w:start w:w="120" w:type="dxa"/>
              <w:bottom w:w="90" w:type="dxa"/>
              <w:end w:w="120" w:type="dxa"/>
            </w:tcMar>
            <w:vAlign w:val="center"/>
          </w:tcPr>
          <w:p>
            <w:pPr>
              <w:spacing w:after="0" w:line="252" w:lineRule="auto"/>
              <w:jc w:val="left"/>
            </w:pPr>
            <w:r>
              <w:rPr>
                <w:rFonts w:ascii="Calibri" w:hAnsi="Calibri"/>
                <w:color w:val="1F2933"/>
                <w:sz w:val="17"/>
              </w:rPr>
              <w:t>/api/v1/report/generate</w:t>
            </w:r>
          </w:p>
        </w:tc>
        <w:tc>
          <w:tcPr>
            <w:tcW w:type="dxa" w:w="4760"/>
            <w:tcMar>
              <w:top w:w="90" w:type="dxa"/>
              <w:start w:w="120" w:type="dxa"/>
              <w:bottom w:w="90" w:type="dxa"/>
              <w:end w:w="120" w:type="dxa"/>
            </w:tcMar>
            <w:vAlign w:val="center"/>
          </w:tcPr>
          <w:p>
            <w:pPr>
              <w:spacing w:after="0" w:line="252" w:lineRule="auto"/>
              <w:jc w:val="left"/>
            </w:pPr>
            <w:r>
              <w:rPr>
                <w:rFonts w:ascii="Calibri" w:hAnsi="Calibri"/>
                <w:color w:val="1F2933"/>
                <w:sz w:val="17"/>
              </w:rPr>
              <w:t>Generate a grounded preliminary report</w:t>
            </w:r>
          </w:p>
        </w:tc>
      </w:tr>
      <w:tr>
        <w:tc>
          <w:tcPr>
            <w:tcW w:type="dxa" w:w="10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POST</w:t>
            </w:r>
          </w:p>
        </w:tc>
        <w:tc>
          <w:tcPr>
            <w:tcW w:type="dxa" w:w="36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/api/v1/explanation/generate</w:t>
            </w:r>
          </w:p>
        </w:tc>
        <w:tc>
          <w:tcPr>
            <w:tcW w:type="dxa" w:w="47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Generate a grounded plain-language explanation</w:t>
            </w:r>
          </w:p>
        </w:tc>
      </w:tr>
      <w:tr>
        <w:tc>
          <w:tcPr>
            <w:tcW w:type="dxa" w:w="1000"/>
            <w:tcMar>
              <w:top w:w="90" w:type="dxa"/>
              <w:start w:w="120" w:type="dxa"/>
              <w:bottom w:w="90" w:type="dxa"/>
              <w:end w:w="120" w:type="dxa"/>
            </w:tcMar>
            <w:vAlign w:val="center"/>
          </w:tcPr>
          <w:p>
            <w:pPr>
              <w:spacing w:after="0" w:line="252" w:lineRule="auto"/>
              <w:jc w:val="center"/>
            </w:pPr>
            <w:r>
              <w:rPr>
                <w:rFonts w:ascii="Calibri" w:hAnsi="Calibri"/>
                <w:color w:val="1F2933"/>
                <w:sz w:val="17"/>
              </w:rPr>
              <w:t>POST</w:t>
            </w:r>
          </w:p>
        </w:tc>
        <w:tc>
          <w:tcPr>
            <w:tcW w:type="dxa" w:w="3600"/>
            <w:tcMar>
              <w:top w:w="90" w:type="dxa"/>
              <w:start w:w="120" w:type="dxa"/>
              <w:bottom w:w="90" w:type="dxa"/>
              <w:end w:w="120" w:type="dxa"/>
            </w:tcMar>
            <w:vAlign w:val="center"/>
          </w:tcPr>
          <w:p>
            <w:pPr>
              <w:spacing w:after="0" w:line="252" w:lineRule="auto"/>
              <w:jc w:val="left"/>
            </w:pPr>
            <w:r>
              <w:rPr>
                <w:rFonts w:ascii="Calibri" w:hAnsi="Calibri"/>
                <w:color w:val="1F2933"/>
                <w:sz w:val="17"/>
              </w:rPr>
              <w:t>/api/v1/question/answer</w:t>
            </w:r>
          </w:p>
        </w:tc>
        <w:tc>
          <w:tcPr>
            <w:tcW w:type="dxa" w:w="4760"/>
            <w:tcMar>
              <w:top w:w="90" w:type="dxa"/>
              <w:start w:w="120" w:type="dxa"/>
              <w:bottom w:w="90" w:type="dxa"/>
              <w:end w:w="120" w:type="dxa"/>
            </w:tcMar>
            <w:vAlign w:val="center"/>
          </w:tcPr>
          <w:p>
            <w:pPr>
              <w:spacing w:after="0" w:line="252" w:lineRule="auto"/>
              <w:jc w:val="left"/>
            </w:pPr>
            <w:r>
              <w:rPr>
                <w:rFonts w:ascii="Calibri" w:hAnsi="Calibri"/>
                <w:color w:val="1F2933"/>
                <w:sz w:val="17"/>
              </w:rPr>
              <w:t>Answer a question using stored prediction evidence</w:t>
            </w:r>
          </w:p>
        </w:tc>
      </w:tr>
      <w:tr>
        <w:tc>
          <w:tcPr>
            <w:tcW w:type="dxa" w:w="10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POST</w:t>
            </w:r>
          </w:p>
        </w:tc>
        <w:tc>
          <w:tcPr>
            <w:tcW w:type="dxa" w:w="36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/api/v1/follow-up/recommend</w:t>
            </w:r>
          </w:p>
        </w:tc>
        <w:tc>
          <w:tcPr>
            <w:tcW w:type="dxa" w:w="47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Generate controlled educational follow-up</w:t>
            </w:r>
          </w:p>
        </w:tc>
      </w:tr>
      <w:tr>
        <w:tc>
          <w:tcPr>
            <w:tcW w:type="dxa" w:w="1000"/>
            <w:tcMar>
              <w:top w:w="90" w:type="dxa"/>
              <w:start w:w="120" w:type="dxa"/>
              <w:bottom w:w="90" w:type="dxa"/>
              <w:end w:w="120" w:type="dxa"/>
            </w:tcMar>
            <w:vAlign w:val="center"/>
          </w:tcPr>
          <w:p>
            <w:pPr>
              <w:spacing w:after="0" w:line="252" w:lineRule="auto"/>
              <w:jc w:val="center"/>
            </w:pPr>
            <w:r>
              <w:rPr>
                <w:rFonts w:ascii="Calibri" w:hAnsi="Calibri"/>
                <w:color w:val="1F2933"/>
                <w:sz w:val="17"/>
              </w:rPr>
              <w:t>POST</w:t>
            </w:r>
          </w:p>
        </w:tc>
        <w:tc>
          <w:tcPr>
            <w:tcW w:type="dxa" w:w="3600"/>
            <w:tcMar>
              <w:top w:w="90" w:type="dxa"/>
              <w:start w:w="120" w:type="dxa"/>
              <w:bottom w:w="90" w:type="dxa"/>
              <w:end w:w="120" w:type="dxa"/>
            </w:tcMar>
            <w:vAlign w:val="center"/>
          </w:tcPr>
          <w:p>
            <w:pPr>
              <w:spacing w:after="0" w:line="252" w:lineRule="auto"/>
              <w:jc w:val="left"/>
            </w:pPr>
            <w:r>
              <w:rPr>
                <w:rFonts w:ascii="Calibri" w:hAnsi="Calibri"/>
                <w:color w:val="1F2933"/>
                <w:sz w:val="17"/>
              </w:rPr>
              <w:t>/api/v1/analyze-complete</w:t>
            </w:r>
          </w:p>
        </w:tc>
        <w:tc>
          <w:tcPr>
            <w:tcW w:type="dxa" w:w="4760"/>
            <w:tcMar>
              <w:top w:w="90" w:type="dxa"/>
              <w:start w:w="120" w:type="dxa"/>
              <w:bottom w:w="90" w:type="dxa"/>
              <w:end w:w="120" w:type="dxa"/>
            </w:tcMar>
            <w:vAlign w:val="center"/>
          </w:tcPr>
          <w:p>
            <w:pPr>
              <w:spacing w:after="0" w:line="252" w:lineRule="auto"/>
              <w:jc w:val="left"/>
            </w:pPr>
            <w:r>
              <w:rPr>
                <w:rFonts w:ascii="Calibri" w:hAnsi="Calibri"/>
                <w:color w:val="1F2933"/>
                <w:sz w:val="17"/>
              </w:rPr>
              <w:t>Execute the complete image-to-language workflow</w:t>
            </w:r>
          </w:p>
        </w:tc>
      </w:tr>
      <w:tr>
        <w:tc>
          <w:tcPr>
            <w:tcW w:type="dxa" w:w="1000"/>
            <w:shd w:fill="F5F7F6"/>
            <w:tcMar>
              <w:top w:w="90" w:type="dxa"/>
              <w:start w:w="120" w:type="dxa"/>
              <w:bottom w:w="90" w:type="dxa"/>
              <w:end w:w="120" w:type="dxa"/>
            </w:tcMar>
            <w:vAlign w:val="center"/>
          </w:tcPr>
          <w:p>
            <w:pPr>
              <w:spacing w:after="0" w:line="252" w:lineRule="auto"/>
              <w:jc w:val="center"/>
            </w:pPr>
            <w:r>
              <w:rPr>
                <w:rFonts w:ascii="Calibri" w:hAnsi="Calibri"/>
                <w:color w:val="1F2933"/>
                <w:sz w:val="17"/>
              </w:rPr>
              <w:t>GET</w:t>
            </w:r>
          </w:p>
        </w:tc>
        <w:tc>
          <w:tcPr>
            <w:tcW w:type="dxa" w:w="360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/api/v1/predictions/{prediction_id}</w:t>
            </w:r>
          </w:p>
        </w:tc>
        <w:tc>
          <w:tcPr>
            <w:tcW w:type="dxa" w:w="4760"/>
            <w:shd w:fill="F5F7F6"/>
            <w:tcMar>
              <w:top w:w="90" w:type="dxa"/>
              <w:start w:w="120" w:type="dxa"/>
              <w:bottom w:w="90" w:type="dxa"/>
              <w:end w:w="120" w:type="dxa"/>
            </w:tcMar>
            <w:vAlign w:val="center"/>
          </w:tcPr>
          <w:p>
            <w:pPr>
              <w:spacing w:after="0" w:line="252" w:lineRule="auto"/>
              <w:jc w:val="left"/>
            </w:pPr>
            <w:r>
              <w:rPr>
                <w:rFonts w:ascii="Calibri" w:hAnsi="Calibri"/>
                <w:color w:val="1F2933"/>
                <w:sz w:val="17"/>
              </w:rPr>
              <w:t>Retrieve a stored prediction without repeated inference</w:t>
            </w:r>
          </w:p>
        </w:tc>
      </w:tr>
    </w:tbl>
    <w:p>
      <w:pPr>
        <w:spacing w:after="40"/>
      </w:pPr>
    </w:p>
    <w:p>
      <w:pPr>
        <w:pStyle w:val="Heading1"/>
      </w:pPr>
      <w:r>
        <w:t>Appendix B. Key Version and Artifact Traceability</w:t>
      </w:r>
    </w:p>
    <w:tbl>
      <w:tblPr>
        <w:tblStyle w:val="TableGrid"/>
        <w:tblW w:type="dxa" w:w="9360"/>
        <w:tblLayout w:type="fixed"/>
        <w:tblLook w:firstColumn="1" w:firstRow="1" w:lastColumn="0" w:lastRow="0" w:noHBand="0" w:noVBand="1" w:val="04A0"/>
        <w:tblInd w:w="120" w:type="dxa"/>
      </w:tblPr>
      <w:tblGrid>
        <w:gridCol w:w="3300"/>
        <w:gridCol w:w="6060"/>
      </w:tblGrid>
      <w:tr>
        <w:trPr>
          <w:tblHeader w:val="true"/>
        </w:trPr>
        <w:tc>
          <w:tcPr>
            <w:tcW w:type="dxa" w:w="3300"/>
            <w:tcMar>
              <w:top w:w="90" w:type="dxa"/>
              <w:start w:w="120" w:type="dxa"/>
              <w:bottom w:w="90" w:type="dxa"/>
              <w:end w:w="120" w:type="dxa"/>
            </w:tcMar>
            <w:vAlign w:val="center"/>
            <w:shd w:fill="12372A"/>
          </w:tcPr>
          <w:p>
            <w:pPr>
              <w:spacing w:after="0"/>
              <w:jc w:val="center"/>
            </w:pPr>
            <w:r>
              <w:rPr>
                <w:rFonts w:ascii="Calibri" w:hAnsi="Calibri"/>
                <w:b/>
                <w:color w:val="FFFFFF"/>
                <w:sz w:val="18"/>
              </w:rPr>
              <w:t>Artifact/contract</w:t>
            </w:r>
          </w:p>
        </w:tc>
        <w:tc>
          <w:tcPr>
            <w:tcW w:type="dxa" w:w="6060"/>
            <w:tcMar>
              <w:top w:w="90" w:type="dxa"/>
              <w:start w:w="120" w:type="dxa"/>
              <w:bottom w:w="90" w:type="dxa"/>
              <w:end w:w="120" w:type="dxa"/>
            </w:tcMar>
            <w:vAlign w:val="center"/>
            <w:shd w:fill="12372A"/>
          </w:tcPr>
          <w:p>
            <w:pPr>
              <w:spacing w:after="0"/>
              <w:jc w:val="center"/>
            </w:pPr>
            <w:r>
              <w:rPr>
                <w:rFonts w:ascii="Calibri" w:hAnsi="Calibri"/>
                <w:b/>
                <w:color w:val="FFFFFF"/>
                <w:sz w:val="18"/>
              </w:rPr>
              <w:t>Version or evidence</w:t>
            </w:r>
          </w:p>
        </w:tc>
      </w:tr>
      <w:tr>
        <w:tc>
          <w:tcPr>
            <w:tcW w:type="dxa" w:w="3300"/>
            <w:tcMar>
              <w:top w:w="90" w:type="dxa"/>
              <w:start w:w="120" w:type="dxa"/>
              <w:bottom w:w="90" w:type="dxa"/>
              <w:end w:w="120" w:type="dxa"/>
            </w:tcMar>
            <w:vAlign w:val="center"/>
          </w:tcPr>
          <w:p>
            <w:pPr>
              <w:spacing w:after="0" w:line="252" w:lineRule="auto"/>
              <w:jc w:val="left"/>
            </w:pPr>
            <w:r>
              <w:rPr>
                <w:rFonts w:ascii="Calibri" w:hAnsi="Calibri"/>
                <w:color w:val="1F2933"/>
                <w:sz w:val="18"/>
              </w:rPr>
              <w:t>Computer-vision model</w:t>
            </w:r>
          </w:p>
        </w:tc>
        <w:tc>
          <w:tcPr>
            <w:tcW w:type="dxa" w:w="6060"/>
            <w:tcMar>
              <w:top w:w="90" w:type="dxa"/>
              <w:start w:w="120" w:type="dxa"/>
              <w:bottom w:w="90" w:type="dxa"/>
              <w:end w:w="120" w:type="dxa"/>
            </w:tcMar>
            <w:vAlign w:val="center"/>
          </w:tcPr>
          <w:p>
            <w:pPr>
              <w:spacing w:after="0" w:line="252" w:lineRule="auto"/>
              <w:jc w:val="left"/>
            </w:pPr>
            <w:r>
              <w:rPr>
                <w:rFonts w:ascii="Calibri" w:hAnsi="Calibri"/>
                <w:color w:val="1F2933"/>
                <w:sz w:val="18"/>
              </w:rPr>
              <w:t>resnet18-chestmnist-v1</w:t>
            </w:r>
          </w:p>
        </w:tc>
      </w:tr>
      <w:tr>
        <w:tc>
          <w:tcPr>
            <w:tcW w:type="dxa" w:w="33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Language model</w:t>
            </w:r>
          </w:p>
        </w:tc>
        <w:tc>
          <w:tcPr>
            <w:tcW w:type="dxa" w:w="606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flan-t5-small-chestmnist-v1</w:t>
            </w:r>
          </w:p>
        </w:tc>
      </w:tr>
      <w:tr>
        <w:tc>
          <w:tcPr>
            <w:tcW w:type="dxa" w:w="3300"/>
            <w:tcMar>
              <w:top w:w="90" w:type="dxa"/>
              <w:start w:w="120" w:type="dxa"/>
              <w:bottom w:w="90" w:type="dxa"/>
              <w:end w:w="120" w:type="dxa"/>
            </w:tcMar>
            <w:vAlign w:val="center"/>
          </w:tcPr>
          <w:p>
            <w:pPr>
              <w:spacing w:after="0" w:line="252" w:lineRule="auto"/>
              <w:jc w:val="left"/>
            </w:pPr>
            <w:r>
              <w:rPr>
                <w:rFonts w:ascii="Calibri" w:hAnsi="Calibri"/>
                <w:color w:val="1F2933"/>
                <w:sz w:val="18"/>
              </w:rPr>
              <w:t>Prompt registry</w:t>
            </w:r>
          </w:p>
        </w:tc>
        <w:tc>
          <w:tcPr>
            <w:tcW w:type="dxa" w:w="6060"/>
            <w:tcMar>
              <w:top w:w="90" w:type="dxa"/>
              <w:start w:w="120" w:type="dxa"/>
              <w:bottom w:w="90" w:type="dxa"/>
              <w:end w:w="120" w:type="dxa"/>
            </w:tcMar>
            <w:vAlign w:val="center"/>
          </w:tcPr>
          <w:p>
            <w:pPr>
              <w:spacing w:after="0" w:line="252" w:lineRule="auto"/>
              <w:jc w:val="left"/>
            </w:pPr>
            <w:r>
              <w:rPr>
                <w:rFonts w:ascii="Calibri" w:hAnsi="Calibri"/>
                <w:color w:val="1F2933"/>
                <w:sz w:val="18"/>
              </w:rPr>
              <w:t>grounded-language-prompts-v1</w:t>
            </w:r>
          </w:p>
        </w:tc>
      </w:tr>
      <w:tr>
        <w:tc>
          <w:tcPr>
            <w:tcW w:type="dxa" w:w="33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Finding contract</w:t>
            </w:r>
          </w:p>
        </w:tc>
        <w:tc>
          <w:tcPr>
            <w:tcW w:type="dxa" w:w="606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chestmnist-finding-contract-v1</w:t>
            </w:r>
          </w:p>
        </w:tc>
      </w:tr>
      <w:tr>
        <w:tc>
          <w:tcPr>
            <w:tcW w:type="dxa" w:w="3300"/>
            <w:tcMar>
              <w:top w:w="90" w:type="dxa"/>
              <w:start w:w="120" w:type="dxa"/>
              <w:bottom w:w="90" w:type="dxa"/>
              <w:end w:w="120" w:type="dxa"/>
            </w:tcMar>
            <w:vAlign w:val="center"/>
          </w:tcPr>
          <w:p>
            <w:pPr>
              <w:spacing w:after="0" w:line="252" w:lineRule="auto"/>
              <w:jc w:val="center"/>
            </w:pPr>
            <w:r>
              <w:rPr>
                <w:rFonts w:ascii="Calibri" w:hAnsi="Calibri"/>
                <w:color w:val="1F2933"/>
                <w:sz w:val="18"/>
              </w:rPr>
              <w:t>API contract</w:t>
            </w:r>
          </w:p>
        </w:tc>
        <w:tc>
          <w:tcPr>
            <w:tcW w:type="dxa" w:w="6060"/>
            <w:tcMar>
              <w:top w:w="90" w:type="dxa"/>
              <w:start w:w="120" w:type="dxa"/>
              <w:bottom w:w="90" w:type="dxa"/>
              <w:end w:w="120" w:type="dxa"/>
            </w:tcMar>
            <w:vAlign w:val="center"/>
          </w:tcPr>
          <w:p>
            <w:pPr>
              <w:spacing w:after="0" w:line="252" w:lineRule="auto"/>
              <w:jc w:val="left"/>
            </w:pPr>
            <w:r>
              <w:rPr>
                <w:rFonts w:ascii="Calibri" w:hAnsi="Calibri"/>
                <w:color w:val="1F2933"/>
                <w:sz w:val="18"/>
              </w:rPr>
              <w:t>api-contract-v1</w:t>
            </w:r>
          </w:p>
        </w:tc>
      </w:tr>
      <w:tr>
        <w:tc>
          <w:tcPr>
            <w:tcW w:type="dxa" w:w="33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Readiness contract</w:t>
            </w:r>
          </w:p>
        </w:tc>
        <w:tc>
          <w:tcPr>
            <w:tcW w:type="dxa" w:w="606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fastapi-integration-readiness-v1</w:t>
            </w:r>
          </w:p>
        </w:tc>
      </w:tr>
      <w:tr>
        <w:tc>
          <w:tcPr>
            <w:tcW w:type="dxa" w:w="3300"/>
            <w:tcMar>
              <w:top w:w="90" w:type="dxa"/>
              <w:start w:w="120" w:type="dxa"/>
              <w:bottom w:w="90" w:type="dxa"/>
              <w:end w:w="120" w:type="dxa"/>
            </w:tcMar>
            <w:vAlign w:val="center"/>
          </w:tcPr>
          <w:p>
            <w:pPr>
              <w:spacing w:after="0" w:line="252" w:lineRule="auto"/>
              <w:jc w:val="center"/>
            </w:pPr>
            <w:r>
              <w:rPr>
                <w:rFonts w:ascii="Calibri" w:hAnsi="Calibri"/>
                <w:color w:val="1F2933"/>
                <w:sz w:val="18"/>
              </w:rPr>
              <w:t>UI version</w:t>
            </w:r>
          </w:p>
        </w:tc>
        <w:tc>
          <w:tcPr>
            <w:tcW w:type="dxa" w:w="6060"/>
            <w:tcMar>
              <w:top w:w="90" w:type="dxa"/>
              <w:start w:w="120" w:type="dxa"/>
              <w:bottom w:w="90" w:type="dxa"/>
              <w:end w:w="120" w:type="dxa"/>
            </w:tcMar>
            <w:vAlign w:val="center"/>
          </w:tcPr>
          <w:p>
            <w:pPr>
              <w:spacing w:after="0" w:line="252" w:lineRule="auto"/>
              <w:jc w:val="left"/>
            </w:pPr>
            <w:r>
              <w:rPr>
                <w:rFonts w:ascii="Calibri" w:hAnsi="Calibri"/>
                <w:color w:val="1F2933"/>
                <w:sz w:val="18"/>
              </w:rPr>
              <w:t>streamlit-interface-v1</w:t>
            </w:r>
          </w:p>
        </w:tc>
      </w:tr>
      <w:tr>
        <w:tc>
          <w:tcPr>
            <w:tcW w:type="dxa" w:w="33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Final registered files</w:t>
            </w:r>
          </w:p>
        </w:tc>
        <w:tc>
          <w:tcPr>
            <w:tcW w:type="dxa" w:w="606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49 checksum-validated artifacts</w:t>
            </w:r>
          </w:p>
        </w:tc>
      </w:tr>
      <w:tr>
        <w:tc>
          <w:tcPr>
            <w:tcW w:type="dxa" w:w="3300"/>
            <w:tcMar>
              <w:top w:w="90" w:type="dxa"/>
              <w:start w:w="120" w:type="dxa"/>
              <w:bottom w:w="90" w:type="dxa"/>
              <w:end w:w="120" w:type="dxa"/>
            </w:tcMar>
            <w:vAlign w:val="center"/>
          </w:tcPr>
          <w:p>
            <w:pPr>
              <w:spacing w:after="0" w:line="252" w:lineRule="auto"/>
              <w:jc w:val="left"/>
            </w:pPr>
            <w:r>
              <w:rPr>
                <w:rFonts w:ascii="Calibri" w:hAnsi="Calibri"/>
                <w:color w:val="1F2933"/>
                <w:sz w:val="18"/>
              </w:rPr>
              <w:t>Final MLflow status</w:t>
            </w:r>
          </w:p>
        </w:tc>
        <w:tc>
          <w:tcPr>
            <w:tcW w:type="dxa" w:w="6060"/>
            <w:tcMar>
              <w:top w:w="90" w:type="dxa"/>
              <w:start w:w="120" w:type="dxa"/>
              <w:bottom w:w="90" w:type="dxa"/>
              <w:end w:w="120" w:type="dxa"/>
            </w:tcMar>
            <w:vAlign w:val="center"/>
          </w:tcPr>
          <w:p>
            <w:pPr>
              <w:spacing w:after="0" w:line="252" w:lineRule="auto"/>
              <w:jc w:val="center"/>
            </w:pPr>
            <w:r>
              <w:rPr>
                <w:rFonts w:ascii="Calibri" w:hAnsi="Calibri"/>
                <w:color w:val="1F2933"/>
                <w:sz w:val="18"/>
              </w:rPr>
              <w:t>FINISHED</w:t>
            </w:r>
          </w:p>
        </w:tc>
      </w:tr>
      <w:tr>
        <w:tc>
          <w:tcPr>
            <w:tcW w:type="dxa" w:w="330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Final storage</w:t>
            </w:r>
          </w:p>
        </w:tc>
        <w:tc>
          <w:tcPr>
            <w:tcW w:type="dxa" w:w="6060"/>
            <w:shd w:fill="F5F7F6"/>
            <w:tcMar>
              <w:top w:w="90" w:type="dxa"/>
              <w:start w:w="120" w:type="dxa"/>
              <w:bottom w:w="90" w:type="dxa"/>
              <w:end w:w="120" w:type="dxa"/>
            </w:tcMar>
            <w:vAlign w:val="center"/>
          </w:tcPr>
          <w:p>
            <w:pPr>
              <w:spacing w:after="0" w:line="252" w:lineRule="auto"/>
              <w:jc w:val="left"/>
            </w:pPr>
            <w:r>
              <w:rPr>
                <w:rFonts w:ascii="Calibri" w:hAnsi="Calibri"/>
                <w:color w:val="1F2933"/>
                <w:sz w:val="18"/>
              </w:rPr>
              <w:t>8.71 GiB free; 4.00 GiB reserve preserved</w:t>
            </w:r>
          </w:p>
        </w:tc>
      </w:tr>
    </w:tbl>
    <w:p>
      <w:pPr>
        <w:spacing w:after="40"/>
      </w:pPr>
    </w:p>
    <w:p>
      <w:pPr>
        <w:pStyle w:val="Heading1"/>
        <w:pBdr>
          <w:bottom w:val="single" w:sz="10" w:space="4" w:color="E9C46A"/>
        </w:pBdr>
      </w:pPr>
      <w:r>
        <w:t>References</w:t>
      </w:r>
    </w:p>
    <w:p>
      <w:pPr>
        <w:spacing w:after="100"/>
        <w:ind w:left="432" w:hanging="432"/>
      </w:pPr>
      <w:r>
        <w:rPr>
          <w:rFonts w:ascii="Calibri" w:hAnsi="Calibri"/>
          <w:color w:val="1F2933"/>
          <w:sz w:val="19"/>
        </w:rPr>
        <w:t>1. Yang, J. et al. MedMNIST v2 - A large-scale lightweight benchmark for 2D and 3D biomedical image classification. Scientific Data 10, 41 (2023). https://doi.org/10.1038/s41597-022-01721-8</w:t>
      </w:r>
    </w:p>
    <w:p>
      <w:pPr>
        <w:spacing w:after="100"/>
        <w:ind w:left="432" w:hanging="432"/>
      </w:pPr>
      <w:r>
        <w:rPr>
          <w:rFonts w:ascii="Calibri" w:hAnsi="Calibri"/>
          <w:color w:val="1F2933"/>
          <w:sz w:val="19"/>
        </w:rPr>
        <w:t>2. He, K., Zhang, X., Ren, S., and Sun, J. Deep Residual Learning for Image Recognition. CVPR (2016). https://doi.org/10.1109/CVPR.2016.90</w:t>
      </w:r>
    </w:p>
    <w:p>
      <w:pPr>
        <w:spacing w:after="100"/>
        <w:ind w:left="432" w:hanging="432"/>
      </w:pPr>
      <w:r>
        <w:rPr>
          <w:rFonts w:ascii="Calibri" w:hAnsi="Calibri"/>
          <w:color w:val="1F2933"/>
          <w:sz w:val="19"/>
        </w:rPr>
        <w:t>3. Selvaraju, R. R. et al. Grad-CAM: Visual Explanations from Deep Networks via Gradient-Based Localization. ICCV (2017). https://doi.org/10.1109/ICCV.2017.74</w:t>
      </w:r>
    </w:p>
    <w:p>
      <w:pPr>
        <w:spacing w:after="100"/>
        <w:ind w:left="432" w:hanging="432"/>
      </w:pPr>
      <w:r>
        <w:rPr>
          <w:rFonts w:ascii="Calibri" w:hAnsi="Calibri"/>
          <w:color w:val="1F2933"/>
          <w:sz w:val="19"/>
        </w:rPr>
        <w:t>4. Chung, H. W. et al. Scaling Instruction-Finetuned Language Models. Journal of Machine Learning Research 25 (2024). https://arxiv.org/abs/2210.11416</w:t>
      </w:r>
    </w:p>
    <w:p>
      <w:pPr>
        <w:spacing w:after="100"/>
        <w:ind w:left="432" w:hanging="432"/>
      </w:pPr>
      <w:r>
        <w:rPr>
          <w:rFonts w:ascii="Calibri" w:hAnsi="Calibri"/>
          <w:color w:val="1F2933"/>
          <w:sz w:val="19"/>
        </w:rPr>
        <w:t>5. PyTorch documentation. https://pytorch.org/docs/stable/</w:t>
      </w:r>
    </w:p>
    <w:p>
      <w:pPr>
        <w:spacing w:after="100"/>
        <w:ind w:left="432" w:hanging="432"/>
      </w:pPr>
      <w:r>
        <w:rPr>
          <w:rFonts w:ascii="Calibri" w:hAnsi="Calibri"/>
          <w:color w:val="1F2933"/>
          <w:sz w:val="19"/>
        </w:rPr>
        <w:t>6. Captum model interpretability documentation. https://captum.ai/</w:t>
      </w:r>
    </w:p>
    <w:p>
      <w:pPr>
        <w:spacing w:after="100"/>
        <w:ind w:left="432" w:hanging="432"/>
      </w:pPr>
      <w:r>
        <w:rPr>
          <w:rFonts w:ascii="Calibri" w:hAnsi="Calibri"/>
          <w:color w:val="1F2933"/>
          <w:sz w:val="19"/>
        </w:rPr>
        <w:t>7. Hugging Face Transformers documentation. https://huggingface.co/docs/transformers/</w:t>
      </w:r>
    </w:p>
    <w:p>
      <w:pPr>
        <w:spacing w:after="100"/>
        <w:ind w:left="432" w:hanging="432"/>
      </w:pPr>
      <w:r>
        <w:rPr>
          <w:rFonts w:ascii="Calibri" w:hAnsi="Calibri"/>
          <w:color w:val="1F2933"/>
          <w:sz w:val="19"/>
        </w:rPr>
        <w:t>8. FastAPI documentation. https://fastapi.tiangolo.com/</w:t>
      </w:r>
    </w:p>
    <w:p>
      <w:pPr>
        <w:spacing w:after="100"/>
        <w:ind w:left="432" w:hanging="432"/>
      </w:pPr>
      <w:r>
        <w:rPr>
          <w:rFonts w:ascii="Calibri" w:hAnsi="Calibri"/>
          <w:color w:val="1F2933"/>
          <w:sz w:val="19"/>
        </w:rPr>
        <w:t>9. Streamlit documentation. https://docs.streamlit.io/</w:t>
      </w:r>
    </w:p>
    <w:p>
      <w:pPr>
        <w:spacing w:after="100"/>
        <w:ind w:left="432" w:hanging="432"/>
      </w:pPr>
      <w:r>
        <w:rPr>
          <w:rFonts w:ascii="Calibri" w:hAnsi="Calibri"/>
          <w:color w:val="1F2933"/>
          <w:sz w:val="19"/>
        </w:rPr>
        <w:t>10. MLflow documentation. https://mlflow.org/docs/latest/</w:t>
      </w:r>
    </w:p>
    <w:p>
      <w:pPr>
        <w:spacing w:after="100"/>
        <w:ind w:left="432" w:hanging="432"/>
      </w:pPr>
      <w:r>
        <w:rPr>
          <w:rFonts w:ascii="Calibri" w:hAnsi="Calibri"/>
          <w:color w:val="1F2933"/>
          <w:sz w:val="19"/>
        </w:rPr>
        <w:t>11. Project evidence: Notebooks 01-09, persisted API/UI validation artifacts and live screenshots supplied by Group 89.</w:t>
      </w:r>
    </w:p>
    <w:sectPr w:rsidR="00FC693F" w:rsidRPr="0006063C" w:rsidSect="00034616">
      <w:headerReference w:type="default" r:id="rId9"/>
      <w:footerReference w:type="default" r:id="rId10"/>
      <w:pgSz w:w="12240" w:h="15840"/>
      <w:pgMar w:top="1152" w:right="1440" w:bottom="108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37F"/>
        <w:sz w:val="17"/>
      </w:rPr>
      <w:t xml:space="preserve">API-Driven Chest X-Ray Analysis and Explanation Assistant     </w:t>
    </w:r>
    <w:r>
      <w:rPr>
        <w:rFonts w:ascii="Calibri" w:hAnsi="Calibri"/>
        <w:color w:val="66737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0" w:space="4" w:color="E9C46A"/>
      </w:pBdr>
    </w:pPr>
    <w:r>
      <w:rPr>
        <w:rFonts w:ascii="Calibri" w:hAnsi="Calibri"/>
        <w:b/>
        <w:color w:val="66737F"/>
        <w:sz w:val="17"/>
      </w:rPr>
      <w:t>CCZG506 | Assignment II | Group 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2372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E76F5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6465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80"/>
    </w:pPr>
    <w:rPr>
      <w:rFonts w:ascii="Calibri" w:hAnsi="Calibri"/>
      <w:b/>
      <w:bCs/>
      <w:i/>
      <w:color w:val="66737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API-Driven Chest X-Ray Analysis and Explanation Assistant</dc:title>
  <dc:subject>CCZG506 Assignment II - Group 89</dc:subject>
  <dc:creator>Group 89</dc:creator>
  <cp:keywords>FastAPI, Streamlit, ChestMNIST, ResNet-18, FLAN-T5, Grad-CAM, LLMOps</cp:keywords>
  <dc:description>Educational AI prototype; not for clinical diagnosis.</dc:description>
  <cp:lastModifiedBy/>
  <cp:revision>1</cp:revision>
  <dcterms:created xsi:type="dcterms:W3CDTF">2013-12-23T23:15:00Z</dcterms:created>
  <dcterms:modified xsi:type="dcterms:W3CDTF">2013-12-23T23:15:00Z</dcterms:modified>
  <cp:category/>
</cp:coreProperties>
</file>