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Vulnerability Exploitation Prediction – Technical Report</w:t>
      </w:r>
    </w:p>
    <w:p>
      <w:pPr>
        <w:pStyle w:val="Heading2"/>
      </w:pPr>
      <w:r>
        <w:t>1. Introduction</w:t>
      </w:r>
    </w:p>
    <w:p>
      <w:r>
        <w:t>The objective of this project is to build a machine learning classifier that predicts whether a newly disclosed Common Vulnerabilities and Exposures (CVE) entry is likely to be exploited in the wild. The classifier is trained using metadata obtained from the National Vulnerability Database (NVD) and ground‑truth exploitation labels obtained from the CISA Known Exploited Vulnerabilities (KEV) catalog. This report provides a detailed explanation of the techniques used for data collection, preprocessing, feature engineering, model development, evaluation, and final conclusions.</w:t>
      </w:r>
    </w:p>
    <w:p>
      <w:pPr>
        <w:pStyle w:val="Heading2"/>
      </w:pPr>
      <w:r>
        <w:t>2. Data Sources and Label Construction</w:t>
      </w:r>
    </w:p>
    <w:p>
      <w:r>
        <w:t>NVD provides structured metadata for CVEs, including descriptions, CVSS scores, CWE weakness classifications, affected product information, and publication timestamps. CISA KEV catalog lists CVEs that have been confirmed as actively exploited. Since NVD does not label CVEs as exploited or non‑exploited, the target variable was created by merging NVD and KEV on the CVE identifier. CVEs appearing in KEV were labeled as exploited (1) while the rest were labeled non‑exploited (0). This results in a highly imbalanced dataset because exploited CVEs represent only a small fraction of all vulnerabilities.</w:t>
      </w:r>
    </w:p>
    <w:p>
      <w:pPr>
        <w:pStyle w:val="Heading2"/>
      </w:pPr>
      <w:r>
        <w:t>3. Data Pre‑Cleaning and Preprocessing Techniques</w:t>
      </w:r>
    </w:p>
    <w:p>
      <w:r>
        <w:t>Multiple preprocessing steps were performed:</w:t>
      </w:r>
    </w:p>
    <w:p/>
    <w:p>
      <w:r>
        <w:t>- Parsing and validation of publication and modification dates.</w:t>
      </w:r>
    </w:p>
    <w:p>
      <w:r>
        <w:t>- Removal of CVEs lacking valid timestamps.</w:t>
      </w:r>
    </w:p>
    <w:p>
      <w:r>
        <w:t>- Construction of temporal features such as publication year, month, and vulnerability age.</w:t>
      </w:r>
    </w:p>
    <w:p>
      <w:r>
        <w:t>- Extraction of CVSS v3 attributes including attack vector, attack complexity, privileges required, user interaction, scope, and CIA impact scores.</w:t>
      </w:r>
    </w:p>
    <w:p>
      <w:r>
        <w:t>- Standardization of numerical attributes using standard scaling.</w:t>
      </w:r>
    </w:p>
    <w:p>
      <w:r>
        <w:t>- Encoding of categorical attributes (e.g., CWE categories, attack vector values) using one‑hot encoding.</w:t>
      </w:r>
    </w:p>
    <w:p>
      <w:r>
        <w:t>- Text preprocessing on the CVE description using TF‑IDF vectorization, converting unstructured text into numerical feature representations.</w:t>
      </w:r>
    </w:p>
    <w:p>
      <w:r>
        <w:t>- Handling class imbalance through class weighting in the model training process.</w:t>
      </w:r>
    </w:p>
    <w:p>
      <w:pPr>
        <w:pStyle w:val="Heading2"/>
      </w:pPr>
      <w:r>
        <w:t>4. Feature Engineering</w:t>
      </w:r>
    </w:p>
    <w:p>
      <w:r>
        <w:t>Feature engineering spanned numeric, categorical, and textual dimensions:</w:t>
      </w:r>
    </w:p>
    <w:p/>
    <w:p>
      <w:r>
        <w:t>1. Numeric Features: CVSS base score, impact score, exploitability score, and age‑related temporal attributes.</w:t>
      </w:r>
    </w:p>
    <w:p>
      <w:r>
        <w:t>2. Categorical Features: CWE categories, CVSS vector components (AV, AC, PR, UI, Scope), and vendor/product categories.</w:t>
      </w:r>
    </w:p>
    <w:p>
      <w:r>
        <w:t>3. Textual Features: TF‑IDF features from the free‑text description enabling the model to capture semantic indicators such as remote code execution, privilege escalation, injection weaknesses, and unauthenticated access.</w:t>
      </w:r>
    </w:p>
    <w:p/>
    <w:p>
      <w:r>
        <w:t>These combined features form a multi‑modal representation of each vulnerability.</w:t>
      </w:r>
    </w:p>
    <w:p>
      <w:pPr>
        <w:pStyle w:val="Heading2"/>
      </w:pPr>
      <w:r>
        <w:t>5. Model Selection and Machine Learning Algorithms Used</w:t>
      </w:r>
    </w:p>
    <w:p>
      <w:r>
        <w:t>Several algorithms were considered during experimentation, including Logistic Regression, Support Vector Machines, and ensemble tree‑based models. The final model selected was a Random Forest classifier combined with TF‑IDF textual features and structured metadata. Random Forest was chosen due to its robustness to mixed feature types, interpretability through feature importance, ability to model nonlinear relationships, and strong empirical performance on the dataset.</w:t>
      </w:r>
    </w:p>
    <w:p/>
    <w:p>
      <w:r>
        <w:t>The modeling pipeline used scikit‑learn’s ColumnTransformer to merge numeric, categorical, and textual transformations into a single end‑to‑end workflow. The final classifier was trained using class weighting to counteract the severe imbalance between exploited and non‑exploited CVEs.</w:t>
      </w:r>
    </w:p>
    <w:p>
      <w:pPr>
        <w:pStyle w:val="Heading2"/>
      </w:pPr>
      <w:r>
        <w:t>6. Train–Test Split and Data Leakage Prevention</w:t>
      </w:r>
    </w:p>
    <w:p>
      <w:r>
        <w:t>A time‑based split strategy was adopted to simulate real‑world deployment conditions and avoid temporal leakage. Older CVEs were used for training, and more recent CVEs were held out for testing. This ensures that the model never has access to future information during training.</w:t>
      </w:r>
    </w:p>
    <w:p>
      <w:pPr>
        <w:pStyle w:val="Heading2"/>
      </w:pPr>
      <w:r>
        <w:t>7. Evaluation Metrics and Final Results</w:t>
      </w:r>
    </w:p>
    <w:p>
      <w:r>
        <w:t>Given the imbalance of the dataset, accuracy was not used as a primary metric. Instead, the evaluation focused on:</w:t>
      </w:r>
    </w:p>
    <w:p>
      <w:r>
        <w:t>- Precision (positive class)</w:t>
      </w:r>
    </w:p>
    <w:p>
      <w:r>
        <w:t>- Recall (positive class)</w:t>
      </w:r>
    </w:p>
    <w:p>
      <w:r>
        <w:t>- F1‑score</w:t>
      </w:r>
    </w:p>
    <w:p>
      <w:r>
        <w:t>- ROC‑AUC</w:t>
      </w:r>
    </w:p>
    <w:p>
      <w:r>
        <w:t>- Precision–Recall AUC (PR‑AUC)</w:t>
      </w:r>
    </w:p>
    <w:p/>
    <w:p>
      <w:r>
        <w:t>Final performance on held‑out test data:</w:t>
      </w:r>
    </w:p>
    <w:p>
      <w:r>
        <w:t>- ROC‑AUC: 0.974</w:t>
      </w:r>
    </w:p>
    <w:p>
      <w:r>
        <w:t>- PR‑AUC: 0.771</w:t>
      </w:r>
    </w:p>
    <w:p>
      <w:r>
        <w:t>- F1‑score: approximately 0.676</w:t>
      </w:r>
    </w:p>
    <w:p/>
    <w:p>
      <w:r>
        <w:t>These results demonstrate strong predictive capability, especially considering the difficulty of the task and the extreme class imbalance.</w:t>
      </w:r>
    </w:p>
    <w:p>
      <w:pPr>
        <w:pStyle w:val="Heading2"/>
      </w:pPr>
      <w:r>
        <w:t>8. Interpretation and Key Exploitability Indicators</w:t>
      </w:r>
    </w:p>
    <w:p>
      <w:r>
        <w:t>Feature importance analysis showed that the following indicators strongly correlate with exploitability:</w:t>
      </w:r>
    </w:p>
    <w:p>
      <w:r>
        <w:t>- Remote or network‑based attack vectors.</w:t>
      </w:r>
    </w:p>
    <w:p>
      <w:r>
        <w:t>- Low attack complexity.</w:t>
      </w:r>
    </w:p>
    <w:p>
      <w:r>
        <w:t>- No required privileges.</w:t>
      </w:r>
    </w:p>
    <w:p>
      <w:r>
        <w:t>- Absence of user interaction.</w:t>
      </w:r>
    </w:p>
    <w:p>
      <w:r>
        <w:t>- High confidentiality, integrity, or availability impact.</w:t>
      </w:r>
    </w:p>
    <w:p>
      <w:r>
        <w:t>- Textual indicators such as terms related to remote code execution, authentication bypass, injection vulnerabilities, and privilege escalation.</w:t>
      </w:r>
    </w:p>
    <w:p/>
    <w:p>
      <w:r>
        <w:t>These findings are consistent with known attacker behaviors and industry threat intelligence.</w:t>
      </w:r>
    </w:p>
    <w:p>
      <w:pPr>
        <w:pStyle w:val="Heading2"/>
      </w:pPr>
      <w:r>
        <w:t>9. Conclusion</w:t>
      </w:r>
    </w:p>
    <w:p>
      <w:r>
        <w:t>This project demonstrates the feasibility of predicting active vulnerability exploitation using publicly available metadata and threat intelligence sources. The combination of structured CVSS‑based attributes, CWE classifications, temporal data, and TF‑IDF text representations allows the model to capture a wide spectrum of exploitability signals. The Random Forest classifier achieved strong performance under realistic evaluation conditions. While no predictive model can eliminate the need for expert analysis, this system offers measurable value for prioritizing vulnerabilities and supporting security risk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