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highlight w:val="cyan"/>
          <w:lang w:val="en-US" w:eastAsia="zh-CN"/>
        </w:rPr>
      </w:pPr>
      <w:r>
        <w:rPr>
          <w:rFonts w:hint="eastAsia"/>
          <w:highlight w:val="cyan"/>
          <w:lang w:val="en-US" w:eastAsia="zh-CN"/>
        </w:rPr>
        <w:t>Clack变换与Park变换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Clack变换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将采集到的三相相电流Ia、Ib、Ic(互差120度)转换为正交的</w:t>
      </w:r>
      <w:r>
        <w:rPr>
          <w:rFonts w:hint="eastAsia"/>
          <w:sz w:val="21"/>
          <w:szCs w:val="21"/>
          <w:lang w:val="en-US" w:eastAsia="zh-CN"/>
        </w:rPr>
        <w:t>Iɑ与Iβ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变换公式如下：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drawing>
          <wp:inline distT="0" distB="0" distL="114300" distR="114300">
            <wp:extent cx="3533775" cy="94297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94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矩阵形式</w:t>
      </w:r>
    </w:p>
    <w:p>
      <w:r>
        <w:drawing>
          <wp:inline distT="0" distB="0" distL="114300" distR="114300">
            <wp:extent cx="3486150" cy="11430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Clack变换</w:t>
      </w:r>
      <w:r>
        <w:rPr>
          <w:rFonts w:hint="eastAsia"/>
          <w:lang w:val="en-US" w:eastAsia="zh-CN"/>
        </w:rPr>
        <w:t>作用：不仅将三个矢量变为两个矢量，且方便进行下一步的park变换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转换后的效果如下：</w:t>
      </w:r>
    </w:p>
    <w:p>
      <w:pPr>
        <w:rPr>
          <w:rFonts w:hint="eastAsia" w:ascii="微软雅黑" w:hAnsi="微软雅黑" w:eastAsia="微软雅黑" w:cs="微软雅黑"/>
          <w:sz w:val="28"/>
          <w:szCs w:val="28"/>
        </w:rPr>
      </w:pPr>
      <w:r>
        <w:drawing>
          <wp:inline distT="0" distB="0" distL="114300" distR="114300">
            <wp:extent cx="4530090" cy="1337945"/>
            <wp:effectExtent l="0" t="0" r="381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30090" cy="1337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eastAsia" w:asciiTheme="minorHAnsi" w:hAnsiTheme="minorHAnsi" w:eastAsiaTheme="minorEastAsia" w:cstheme="minorBidi"/>
          <w:kern w:val="2"/>
          <w:sz w:val="21"/>
          <w:szCs w:val="24"/>
          <w:highlight w:val="yellow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highlight w:val="yellow"/>
          <w:lang w:val="en-US" w:eastAsia="zh-CN" w:bidi="ar-SA"/>
        </w:rPr>
        <w:t>park变换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eastAsia" w:asciiTheme="minorHAnsi" w:hAnsiTheme="minorHAnsi" w:eastAsiaTheme="minorEastAsia" w:cstheme="minorBidi"/>
          <w:kern w:val="2"/>
          <w:sz w:val="21"/>
          <w:szCs w:val="24"/>
          <w:highlight w:val="yellow"/>
          <w:lang w:val="en-US" w:eastAsia="zh-CN" w:bidi="ar-SA"/>
        </w:rPr>
      </w:pPr>
      <w:r>
        <w:drawing>
          <wp:inline distT="0" distB="0" distL="114300" distR="114300">
            <wp:extent cx="4413885" cy="2845435"/>
            <wp:effectExtent l="0" t="0" r="5715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13885" cy="2845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 xml:space="preserve">   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将2个正交的电流矢量Iɑ、Iβ转换为与转子位置正交的Iq与与转子位置平行的Id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变换公式如下：</w:t>
      </w:r>
    </w:p>
    <w:p>
      <w:r>
        <w:drawing>
          <wp:inline distT="0" distB="0" distL="114300" distR="114300">
            <wp:extent cx="3024505" cy="809625"/>
            <wp:effectExtent l="0" t="0" r="444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24505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矩阵形式</w:t>
      </w:r>
    </w:p>
    <w:p>
      <w:r>
        <w:drawing>
          <wp:inline distT="0" distB="0" distL="114300" distR="114300">
            <wp:extent cx="3495040" cy="755015"/>
            <wp:effectExtent l="0" t="0" r="635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95040" cy="755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Park变换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作用：Iɑ、Iβ转化为Iq和Id后，可以更好的控制变量(期望Iq大小恒定，角速度恒定，Id始终为0)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Theme="minorHAnsi" w:hAnsiTheme="minorHAnsi" w:eastAsiaTheme="minorEastAsia" w:cstheme="minorBidi"/>
          <w:kern w:val="2"/>
          <w:sz w:val="21"/>
          <w:szCs w:val="24"/>
          <w:highlight w:val="green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highlight w:val="green"/>
          <w:lang w:val="en-US" w:eastAsia="zh-CN" w:bidi="ar-SA"/>
        </w:rPr>
        <w:t>注意点：d-q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highlight w:val="green"/>
          <w:lang w:val="en-US" w:eastAsia="zh-CN" w:bidi="ar-SA"/>
        </w:rPr>
        <w:t>坐标系是始终跟着转子旋转的</w:t>
      </w:r>
    </w:p>
    <w:p/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转换后的效果如下：</w:t>
      </w:r>
    </w:p>
    <w:p>
      <w:r>
        <w:drawing>
          <wp:inline distT="0" distB="0" distL="114300" distR="114300">
            <wp:extent cx="5267325" cy="1597025"/>
            <wp:effectExtent l="0" t="0" r="0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59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2486025"/>
            <wp:effectExtent l="0" t="0" r="2540" b="0"/>
            <wp:docPr id="51404338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043388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lang w:val="en-US" w:eastAsia="zh-CN"/>
        </w:rPr>
        <w:t>通过Clark变换与Park变换将不易控制的三相电流</w:t>
      </w:r>
      <w:r>
        <w:rPr>
          <w:rFonts w:hint="eastAsia"/>
          <w:sz w:val="21"/>
          <w:szCs w:val="21"/>
          <w:lang w:val="en-US" w:eastAsia="zh-CN"/>
        </w:rPr>
        <w:t>Ia、Ib、Ic</w:t>
      </w:r>
      <w:r>
        <w:rPr>
          <w:rFonts w:hint="eastAsia"/>
          <w:lang w:val="en-US" w:eastAsia="zh-CN"/>
        </w:rPr>
        <w:t>(时刻变化)变换为了幅值恒定、方向与转子方向垂直的Iq变量(Id理想为0),这个过程实际就是解耦的过程，简化了需要控制的对象。实际的Iq与Id与理想的Iq与Id在进行PI调节再转化为Uq、Ud,通过Park逆变换将Uq、Ud转化为U</w:t>
      </w:r>
      <w:r>
        <w:rPr>
          <w:rFonts w:hint="eastAsia"/>
          <w:sz w:val="21"/>
          <w:szCs w:val="21"/>
          <w:lang w:val="en-US" w:eastAsia="zh-CN"/>
        </w:rPr>
        <w:t>ɑ与Uβ，通过SVPWM调制输出到电机上，就是常规FOC电流环调节(如下图)。</w:t>
      </w:r>
    </w:p>
    <w:p>
      <w:pPr>
        <w:rPr>
          <w:rFonts w:hint="eastAsia"/>
          <w:sz w:val="21"/>
          <w:szCs w:val="21"/>
          <w:lang w:val="en-US" w:eastAsia="zh-CN"/>
        </w:rPr>
      </w:pPr>
    </w:p>
    <w:p>
      <w:r>
        <w:drawing>
          <wp:inline distT="0" distB="0" distL="114300" distR="114300">
            <wp:extent cx="5269865" cy="2830195"/>
            <wp:effectExtent l="0" t="0" r="6985" b="825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830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实际上我们输出的电压矢量</w:t>
      </w:r>
      <w:r>
        <w:rPr>
          <w:rFonts w:hint="eastAsia"/>
          <w:highlight w:val="green"/>
          <w:lang w:val="en-US" w:eastAsia="zh-CN"/>
        </w:rPr>
        <w:t>并不是直接与转子位置垂直</w:t>
      </w:r>
      <w:r>
        <w:rPr>
          <w:rFonts w:hint="eastAsia"/>
          <w:lang w:val="en-US" w:eastAsia="zh-CN"/>
        </w:rPr>
        <w:t>，我们还要考虑反电动势、电感的作用，输出的电压矢量还要抵消这两部分的影响，使得转子获得最高效的控制。</w:t>
      </w:r>
    </w:p>
    <w:p>
      <w:r>
        <w:drawing>
          <wp:inline distT="0" distB="0" distL="0" distR="0">
            <wp:extent cx="1842770" cy="1513840"/>
            <wp:effectExtent l="0" t="0" r="5080" b="635"/>
            <wp:docPr id="20155863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586311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42770" cy="151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rPr>
          <w:rFonts w:hint="default"/>
          <w:lang w:val="en-US" w:eastAsia="zh-CN"/>
        </w:rPr>
      </w:pPr>
      <w:r>
        <w:drawing>
          <wp:inline distT="0" distB="0" distL="0" distR="0">
            <wp:extent cx="5274310" cy="3105150"/>
            <wp:effectExtent l="0" t="0" r="2540" b="0"/>
            <wp:docPr id="18348556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855644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TJlNTRhNGY3ZTYzYmI3ZTdkMTQ3MThkYzk5MGVmYjYifQ=="/>
  </w:docVars>
  <w:rsids>
    <w:rsidRoot w:val="7CA932D9"/>
    <w:rsid w:val="7CA932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</Pages>
  <Words>0</Words>
  <Characters>0</Characters>
  <Lines>0</Lines>
  <Paragraphs>0</Paragraphs>
  <TotalTime>0</TotalTime>
  <ScaleCrop>false</ScaleCrop>
  <LinksUpToDate>false</LinksUpToDate>
  <CharactersWithSpaces>0</CharactersWithSpaces>
  <Application>WPS Office_12.1.0.16929_F1E327BC-269C-435d-A152-05C5408002CA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2024-06-05T11:16:00Z</dcterms:created>
  <dc:creator>往川霓歆</dc:creator>
  <cp:lastModifiedBy>往川霓歆</cp:lastModifiedBy>
  <dcterms:modified xsi:type="dcterms:W3CDTF">2024-06-05T11:55:10Z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2052-12.1.0.16929</vt:lpwstr>
  </property>
  <property fmtid="{D5CDD505-2E9C-101B-9397-08002B2CF9AE}" pid="3" name="ICV">
    <vt:lpwstr>59BA09D274AC40788A4B0F801AE02281_11</vt:lpwstr>
  </property>
</Properties>
</file>