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7106"/>
        <w:gridCol w:w="3000"/>
      </w:tblGrid>
      <w:tr>
        <w:tc>
          <w:tcPr>
            <w:tcW w:type="dxa" w:w="7106"/>
            <w:tcBorders>
              <w:top w:val="single" w:color="B7C3D6" w:sz="4"/>
              <w:left w:val="single" w:color="B7C3D6" w:sz="4"/>
              <w:bottom w:val="single" w:color="B7C3D6" w:sz="4"/>
              <w:right w:val="single" w:color="B7C3D6" w:sz="4"/>
            </w:tcBorders>
            <w:shd w:fill="1F3864" w:val="clear"/>
            <w:tcMar>
              <w:top w:type="dxa" w:w="140"/>
              <w:left w:type="dxa" w:w="140"/>
              <w:bottom w:type="dxa" w:w="140"/>
              <w:right w:type="dxa" w:w="140"/>
            </w:tcMar>
          </w:tcPr>
          <w:p>
            <w:pPr>
              <w:spacing w:after="20" w:before="0"/>
            </w:pPr>
            <w:r>
              <w:rPr>
                <w:rFonts w:ascii="Calibri" w:cs="Calibri" w:eastAsia="Calibri" w:hAnsi="Calibri"/>
                <w:b w:val="false"/>
                <w:bCs w:val="false"/>
                <w:i w:val="false"/>
                <w:iCs w:val="false"/>
                <w:color w:val="C9D6EC"/>
                <w:sz w:val="17"/>
                <w:szCs w:val="17"/>
              </w:rPr>
              <w:t xml:space="preserve">KONZERNRICHTLINIE</w:t>
            </w:r>
          </w:p>
          <w:p>
            <w:pPr>
              <w:spacing w:after="20" w:before="0"/>
            </w:pPr>
            <w:r>
              <w:rPr>
                <w:rFonts w:ascii="Calibri" w:cs="Calibri" w:eastAsia="Calibri" w:hAnsi="Calibri"/>
                <w:b/>
                <w:bCs/>
                <w:i w:val="false"/>
                <w:iCs w:val="false"/>
                <w:color w:val="FFFFFF"/>
                <w:sz w:val="32"/>
                <w:szCs w:val="32"/>
              </w:rPr>
              <w:t xml:space="preserve">AI LIFECYCLE MANAGEMENT</w:t>
            </w:r>
          </w:p>
          <w:p>
            <w:pPr>
              <w:spacing w:after="0" w:before="0"/>
            </w:pPr>
            <w:r>
              <w:rPr>
                <w:rFonts w:ascii="Calibri" w:cs="Calibri" w:eastAsia="Calibri" w:hAnsi="Calibri"/>
                <w:b w:val="false"/>
                <w:bCs w:val="false"/>
                <w:i w:val="false"/>
                <w:iCs w:val="false"/>
                <w:color w:val="C9D6EC"/>
                <w:sz w:val="17"/>
                <w:szCs w:val="17"/>
              </w:rPr>
              <w:t xml:space="preserve">Verbindliche Regelung des End-to-End-Lebenszyklus produktiver KI-Lösungen</w:t>
            </w:r>
          </w:p>
        </w:tc>
        <w:tc>
          <w:tcPr>
            <w:tcW w:type="dxa" w:w="3000"/>
            <w:tcBorders>
              <w:top w:val="single" w:color="B7C3D6" w:sz="4"/>
              <w:left w:val="single" w:color="B7C3D6" w:sz="4"/>
              <w:bottom w:val="single" w:color="B7C3D6" w:sz="4"/>
              <w:right w:val="single" w:color="B7C3D6" w:sz="4"/>
            </w:tcBorders>
            <w:shd w:fill="1F3864" w:val="clear"/>
            <w:tcMar>
              <w:top w:type="dxa" w:w="140"/>
              <w:left w:type="dxa" w:w="140"/>
              <w:bottom w:type="dxa" w:w="140"/>
              <w:right w:type="dxa" w:w="140"/>
            </w:tcMar>
            <w:vAlign w:val="center"/>
          </w:tcPr>
          <w:p>
            <w:pPr>
              <w:spacing w:after="20" w:before="0"/>
              <w:jc w:val="center"/>
            </w:pPr>
            <w:r>
              <w:rPr>
                <w:rFonts w:ascii="Calibri" w:cs="Calibri" w:eastAsia="Calibri" w:hAnsi="Calibri"/>
                <w:b/>
                <w:bCs/>
                <w:i w:val="false"/>
                <w:iCs w:val="false"/>
                <w:color w:val="C9D6EC"/>
                <w:sz w:val="16"/>
                <w:szCs w:val="16"/>
              </w:rPr>
              <w:t xml:space="preserve">STATUS</w:t>
            </w:r>
          </w:p>
          <w:p>
            <w:pPr>
              <w:spacing w:after="0" w:before="0"/>
              <w:jc w:val="center"/>
            </w:pPr>
            <w:r>
              <w:rPr>
                <w:rFonts w:ascii="Calibri" w:cs="Calibri" w:eastAsia="Calibri" w:hAnsi="Calibri"/>
                <w:b/>
                <w:bCs/>
                <w:i w:val="false"/>
                <w:iCs w:val="false"/>
                <w:color w:val="FFFFFF"/>
                <w:sz w:val="22"/>
                <w:szCs w:val="22"/>
              </w:rPr>
              <w:t xml:space="preserve">ENTWURF v0.1</w:t>
            </w:r>
          </w:p>
        </w:tc>
      </w:tr>
    </w:tbl>
    <w:p>
      <w:pPr>
        <w:spacing w:after="100" w:before="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400"/>
        <w:gridCol w:w="7706"/>
      </w:tblGrid>
      <w:tr>
        <w:trPr>
          <w:cantSplit/>
        </w:trPr>
        <w:tc>
          <w:tcPr>
            <w:tcW w:type="dxa" w:w="2400"/>
            <w:tcBorders>
              <w:top w:val="single" w:color="B7C3D6" w:sz="4"/>
              <w:left w:val="single" w:color="B7C3D6" w:sz="4"/>
              <w:bottom w:val="single" w:color="B7C3D6" w:sz="4"/>
              <w:right w:val="single" w:color="B7C3D6" w:sz="4"/>
            </w:tcBorders>
            <w:shd w:fill="DCE6F5" w:val="clear"/>
            <w:tcMar>
              <w:top w:type="dxa" w:w="40"/>
              <w:left w:type="dxa" w:w="90"/>
              <w:bottom w:type="dxa" w:w="40"/>
              <w:right w:type="dxa" w:w="90"/>
            </w:tcMar>
            <w:vAlign w:val="center"/>
          </w:tcPr>
          <w:p>
            <w:pPr>
              <w:spacing w:after="10" w:before="10" w:line="270"/>
            </w:pPr>
            <w:r>
              <w:rPr>
                <w:rFonts w:ascii="Calibri" w:cs="Calibri" w:eastAsia="Calibri" w:hAnsi="Calibri"/>
                <w:b/>
                <w:bCs/>
                <w:i w:val="false"/>
                <w:iCs w:val="false"/>
                <w:color w:val="222222"/>
                <w:sz w:val="17"/>
                <w:szCs w:val="17"/>
              </w:rPr>
              <w:t xml:space="preserve">Dokumenten-ID</w:t>
            </w:r>
          </w:p>
        </w:tc>
        <w:tc>
          <w:tcPr>
            <w:tcW w:type="dxa" w:w="7706"/>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pPr>
            <w:r>
              <w:rPr>
                <w:rFonts w:ascii="Calibri" w:cs="Calibri" w:eastAsia="Calibri" w:hAnsi="Calibri"/>
                <w:b/>
                <w:bCs/>
                <w:color w:val="A33232"/>
                <w:sz w:val="17"/>
                <w:szCs w:val="17"/>
              </w:rPr>
              <w:t xml:space="preserve">[DECISION NEEDED: Dokumenten-ID und Einordnung in das Konzern-Richtlinienwerk – durch den Richtlinieneigner zu vergeben]</w:t>
            </w:r>
          </w:p>
        </w:tc>
      </w:tr>
      <w:tr>
        <w:trPr>
          <w:cantSplit/>
        </w:trPr>
        <w:tc>
          <w:tcPr>
            <w:tcW w:type="dxa" w:w="2400"/>
            <w:tcBorders>
              <w:top w:val="single" w:color="B7C3D6" w:sz="4"/>
              <w:left w:val="single" w:color="B7C3D6" w:sz="4"/>
              <w:bottom w:val="single" w:color="B7C3D6" w:sz="4"/>
              <w:right w:val="single" w:color="B7C3D6" w:sz="4"/>
            </w:tcBorders>
            <w:shd w:fill="DCE6F5" w:val="clear"/>
            <w:tcMar>
              <w:top w:type="dxa" w:w="40"/>
              <w:left w:type="dxa" w:w="90"/>
              <w:bottom w:type="dxa" w:w="40"/>
              <w:right w:type="dxa" w:w="90"/>
            </w:tcMar>
            <w:vAlign w:val="center"/>
          </w:tcPr>
          <w:p>
            <w:pPr>
              <w:spacing w:after="10" w:before="10" w:line="270"/>
            </w:pPr>
            <w:r>
              <w:rPr>
                <w:rFonts w:ascii="Calibri" w:cs="Calibri" w:eastAsia="Calibri" w:hAnsi="Calibri"/>
                <w:b/>
                <w:bCs/>
                <w:i w:val="false"/>
                <w:iCs w:val="false"/>
                <w:color w:val="222222"/>
                <w:sz w:val="17"/>
                <w:szCs w:val="17"/>
              </w:rPr>
              <w:t xml:space="preserve">Version / Status</w:t>
            </w:r>
          </w:p>
        </w:tc>
        <w:tc>
          <w:tcPr>
            <w:tcW w:type="dxa" w:w="7706"/>
            <w:tcBorders>
              <w:top w:val="single" w:color="B7C3D6" w:sz="4"/>
              <w:left w:val="single" w:color="B7C3D6" w:sz="4"/>
              <w:bottom w:val="single" w:color="B7C3D6" w:sz="4"/>
              <w:right w:val="single" w:color="B7C3D6" w:sz="4"/>
            </w:tcBorders>
            <w:shd w:fill="F3F6FB" w:val="clear"/>
            <w:tcMar>
              <w:top w:type="dxa" w:w="40"/>
              <w:left w:type="dxa" w:w="90"/>
              <w:bottom w:type="dxa" w:w="40"/>
              <w:right w:type="dxa" w:w="90"/>
            </w:tcMar>
            <w:vAlign w:val="center"/>
          </w:tcPr>
          <w:p>
            <w:pPr>
              <w:spacing w:after="10" w:before="10"/>
            </w:pPr>
            <w:r>
              <w:rPr>
                <w:rFonts w:ascii="Calibri" w:cs="Calibri" w:eastAsia="Calibri" w:hAnsi="Calibri"/>
                <w:b w:val="false"/>
                <w:bCs w:val="false"/>
                <w:i w:val="false"/>
                <w:iCs w:val="false"/>
                <w:color w:val="222222"/>
                <w:sz w:val="17"/>
                <w:szCs w:val="17"/>
              </w:rPr>
              <w:t xml:space="preserve">0.1 / Entwurf zur Beschlussfassung</w:t>
            </w:r>
          </w:p>
        </w:tc>
      </w:tr>
      <w:tr>
        <w:trPr>
          <w:cantSplit/>
        </w:trPr>
        <w:tc>
          <w:tcPr>
            <w:tcW w:type="dxa" w:w="2400"/>
            <w:tcBorders>
              <w:top w:val="single" w:color="B7C3D6" w:sz="4"/>
              <w:left w:val="single" w:color="B7C3D6" w:sz="4"/>
              <w:bottom w:val="single" w:color="B7C3D6" w:sz="4"/>
              <w:right w:val="single" w:color="B7C3D6" w:sz="4"/>
            </w:tcBorders>
            <w:shd w:fill="DCE6F5" w:val="clear"/>
            <w:tcMar>
              <w:top w:type="dxa" w:w="40"/>
              <w:left w:type="dxa" w:w="90"/>
              <w:bottom w:type="dxa" w:w="40"/>
              <w:right w:type="dxa" w:w="90"/>
            </w:tcMar>
            <w:vAlign w:val="center"/>
          </w:tcPr>
          <w:p>
            <w:pPr>
              <w:spacing w:after="10" w:before="10" w:line="270"/>
            </w:pPr>
            <w:r>
              <w:rPr>
                <w:rFonts w:ascii="Calibri" w:cs="Calibri" w:eastAsia="Calibri" w:hAnsi="Calibri"/>
                <w:b/>
                <w:bCs/>
                <w:i w:val="false"/>
                <w:iCs w:val="false"/>
                <w:color w:val="222222"/>
                <w:sz w:val="17"/>
                <w:szCs w:val="17"/>
              </w:rPr>
              <w:t xml:space="preserve">Richtlinieneigner (Sponsor)</w:t>
            </w:r>
          </w:p>
        </w:tc>
        <w:tc>
          <w:tcPr>
            <w:tcW w:type="dxa" w:w="7706"/>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pPr>
            <w:r>
              <w:rPr>
                <w:rFonts w:ascii="Calibri" w:cs="Calibri" w:eastAsia="Calibri" w:hAnsi="Calibri"/>
                <w:b/>
                <w:bCs/>
                <w:color w:val="A33232"/>
                <w:sz w:val="17"/>
                <w:szCs w:val="17"/>
              </w:rPr>
              <w:t xml:space="preserve">[DECISION NEEDED: Richtlinieneigner/Sponsor – durch die Geschäftsleitung zu benennen; alle Eskalations- und Inkraftsetzungsregelungen dieser Richtlinie referenzieren diese Rolle]</w:t>
            </w:r>
          </w:p>
        </w:tc>
      </w:tr>
      <w:tr>
        <w:trPr>
          <w:cantSplit/>
        </w:trPr>
        <w:tc>
          <w:tcPr>
            <w:tcW w:type="dxa" w:w="2400"/>
            <w:tcBorders>
              <w:top w:val="single" w:color="B7C3D6" w:sz="4"/>
              <w:left w:val="single" w:color="B7C3D6" w:sz="4"/>
              <w:bottom w:val="single" w:color="B7C3D6" w:sz="4"/>
              <w:right w:val="single" w:color="B7C3D6" w:sz="4"/>
            </w:tcBorders>
            <w:shd w:fill="DCE6F5" w:val="clear"/>
            <w:tcMar>
              <w:top w:type="dxa" w:w="40"/>
              <w:left w:type="dxa" w:w="90"/>
              <w:bottom w:type="dxa" w:w="40"/>
              <w:right w:type="dxa" w:w="90"/>
            </w:tcMar>
            <w:vAlign w:val="center"/>
          </w:tcPr>
          <w:p>
            <w:pPr>
              <w:spacing w:after="10" w:before="10" w:line="270"/>
            </w:pPr>
            <w:r>
              <w:rPr>
                <w:rFonts w:ascii="Calibri" w:cs="Calibri" w:eastAsia="Calibri" w:hAnsi="Calibri"/>
                <w:b/>
                <w:bCs/>
                <w:i w:val="false"/>
                <w:iCs w:val="false"/>
                <w:color w:val="222222"/>
                <w:sz w:val="17"/>
                <w:szCs w:val="17"/>
              </w:rPr>
              <w:t xml:space="preserve">Erarbeitet durch</w:t>
            </w:r>
          </w:p>
        </w:tc>
        <w:tc>
          <w:tcPr>
            <w:tcW w:type="dxa" w:w="7706"/>
            <w:tcBorders>
              <w:top w:val="single" w:color="B7C3D6" w:sz="4"/>
              <w:left w:val="single" w:color="B7C3D6" w:sz="4"/>
              <w:bottom w:val="single" w:color="B7C3D6" w:sz="4"/>
              <w:right w:val="single" w:color="B7C3D6" w:sz="4"/>
            </w:tcBorders>
            <w:shd w:fill="F3F6FB" w:val="clear"/>
            <w:tcMar>
              <w:top w:type="dxa" w:w="40"/>
              <w:left w:type="dxa" w:w="90"/>
              <w:bottom w:type="dxa" w:w="40"/>
              <w:right w:type="dxa" w:w="90"/>
            </w:tcMar>
            <w:vAlign w:val="center"/>
          </w:tcPr>
          <w:p>
            <w:pPr>
              <w:spacing w:after="10" w:before="10"/>
            </w:pPr>
            <w:r>
              <w:rPr>
                <w:rFonts w:ascii="Calibri" w:cs="Calibri" w:eastAsia="Calibri" w:hAnsi="Calibri"/>
                <w:b w:val="false"/>
                <w:bCs w:val="false"/>
                <w:i w:val="false"/>
                <w:iCs w:val="false"/>
                <w:color w:val="222222"/>
                <w:sz w:val="17"/>
                <w:szCs w:val="17"/>
              </w:rPr>
              <w:t xml:space="preserve">Center of Excellence AI (CoE AI)</w:t>
            </w:r>
          </w:p>
        </w:tc>
      </w:tr>
      <w:tr>
        <w:trPr>
          <w:cantSplit/>
        </w:trPr>
        <w:tc>
          <w:tcPr>
            <w:tcW w:type="dxa" w:w="2400"/>
            <w:tcBorders>
              <w:top w:val="single" w:color="B7C3D6" w:sz="4"/>
              <w:left w:val="single" w:color="B7C3D6" w:sz="4"/>
              <w:bottom w:val="single" w:color="B7C3D6" w:sz="4"/>
              <w:right w:val="single" w:color="B7C3D6" w:sz="4"/>
            </w:tcBorders>
            <w:shd w:fill="DCE6F5" w:val="clear"/>
            <w:tcMar>
              <w:top w:type="dxa" w:w="40"/>
              <w:left w:type="dxa" w:w="90"/>
              <w:bottom w:type="dxa" w:w="40"/>
              <w:right w:type="dxa" w:w="90"/>
            </w:tcMar>
            <w:vAlign w:val="center"/>
          </w:tcPr>
          <w:p>
            <w:pPr>
              <w:spacing w:after="10" w:before="10" w:line="270"/>
            </w:pPr>
            <w:r>
              <w:rPr>
                <w:rFonts w:ascii="Calibri" w:cs="Calibri" w:eastAsia="Calibri" w:hAnsi="Calibri"/>
                <w:b/>
                <w:bCs/>
                <w:i w:val="false"/>
                <w:iCs w:val="false"/>
                <w:color w:val="222222"/>
                <w:sz w:val="17"/>
                <w:szCs w:val="17"/>
              </w:rPr>
              <w:t xml:space="preserve">Inkrafttreten</w:t>
            </w:r>
          </w:p>
        </w:tc>
        <w:tc>
          <w:tcPr>
            <w:tcW w:type="dxa" w:w="7706"/>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pPr>
            <w:r>
              <w:rPr>
                <w:rFonts w:ascii="Calibri" w:cs="Calibri" w:eastAsia="Calibri" w:hAnsi="Calibri"/>
                <w:b w:val="false"/>
                <w:bCs w:val="false"/>
                <w:i w:val="false"/>
                <w:iCs w:val="false"/>
                <w:color w:val="222222"/>
                <w:sz w:val="17"/>
                <w:szCs w:val="17"/>
              </w:rPr>
              <w:t xml:space="preserve">nach Erfüllung der Voraussetzungen gemäß Abschnitt 10.0</w:t>
            </w:r>
          </w:p>
        </w:tc>
      </w:tr>
      <w:tr>
        <w:trPr>
          <w:cantSplit/>
        </w:trPr>
        <w:tc>
          <w:tcPr>
            <w:tcW w:type="dxa" w:w="2400"/>
            <w:tcBorders>
              <w:top w:val="single" w:color="B7C3D6" w:sz="4"/>
              <w:left w:val="single" w:color="B7C3D6" w:sz="4"/>
              <w:bottom w:val="single" w:color="B7C3D6" w:sz="4"/>
              <w:right w:val="single" w:color="B7C3D6" w:sz="4"/>
            </w:tcBorders>
            <w:shd w:fill="DCE6F5" w:val="clear"/>
            <w:tcMar>
              <w:top w:type="dxa" w:w="40"/>
              <w:left w:type="dxa" w:w="90"/>
              <w:bottom w:type="dxa" w:w="40"/>
              <w:right w:type="dxa" w:w="90"/>
            </w:tcMar>
            <w:vAlign w:val="center"/>
          </w:tcPr>
          <w:p>
            <w:pPr>
              <w:spacing w:after="10" w:before="10" w:line="270"/>
            </w:pPr>
            <w:r>
              <w:rPr>
                <w:rFonts w:ascii="Calibri" w:cs="Calibri" w:eastAsia="Calibri" w:hAnsi="Calibri"/>
                <w:b/>
                <w:bCs/>
                <w:i w:val="false"/>
                <w:iCs w:val="false"/>
                <w:color w:val="222222"/>
                <w:sz w:val="17"/>
                <w:szCs w:val="17"/>
              </w:rPr>
              <w:t xml:space="preserve">Überprüfungszyklus</w:t>
            </w:r>
          </w:p>
        </w:tc>
        <w:tc>
          <w:tcPr>
            <w:tcW w:type="dxa" w:w="7706"/>
            <w:tcBorders>
              <w:top w:val="single" w:color="B7C3D6" w:sz="4"/>
              <w:left w:val="single" w:color="B7C3D6" w:sz="4"/>
              <w:bottom w:val="single" w:color="B7C3D6" w:sz="4"/>
              <w:right w:val="single" w:color="B7C3D6" w:sz="4"/>
            </w:tcBorders>
            <w:shd w:fill="F3F6FB" w:val="clear"/>
            <w:tcMar>
              <w:top w:type="dxa" w:w="40"/>
              <w:left w:type="dxa" w:w="90"/>
              <w:bottom w:type="dxa" w:w="40"/>
              <w:right w:type="dxa" w:w="90"/>
            </w:tcMar>
            <w:vAlign w:val="center"/>
          </w:tcPr>
          <w:p>
            <w:pPr>
              <w:spacing w:after="10" w:before="10"/>
            </w:pPr>
            <w:r>
              <w:rPr>
                <w:rFonts w:ascii="Calibri" w:cs="Calibri" w:eastAsia="Calibri" w:hAnsi="Calibri"/>
                <w:b/>
                <w:bCs/>
                <w:color w:val="A33232"/>
                <w:sz w:val="17"/>
                <w:szCs w:val="17"/>
              </w:rPr>
              <w:t xml:space="preserve">[DECISION NEEDED: Überprüfungszyklus der Richtlinie – durch den Richtlinieneigner festzulegen]</w:t>
            </w:r>
          </w:p>
        </w:tc>
      </w:tr>
      <w:tr>
        <w:trPr>
          <w:cantSplit/>
        </w:trPr>
        <w:tc>
          <w:tcPr>
            <w:tcW w:type="dxa" w:w="2400"/>
            <w:tcBorders>
              <w:top w:val="single" w:color="B7C3D6" w:sz="4"/>
              <w:left w:val="single" w:color="B7C3D6" w:sz="4"/>
              <w:bottom w:val="single" w:color="B7C3D6" w:sz="4"/>
              <w:right w:val="single" w:color="B7C3D6" w:sz="4"/>
            </w:tcBorders>
            <w:shd w:fill="DCE6F5" w:val="clear"/>
            <w:tcMar>
              <w:top w:type="dxa" w:w="40"/>
              <w:left w:type="dxa" w:w="90"/>
              <w:bottom w:type="dxa" w:w="40"/>
              <w:right w:type="dxa" w:w="90"/>
            </w:tcMar>
            <w:vAlign w:val="center"/>
          </w:tcPr>
          <w:p>
            <w:pPr>
              <w:spacing w:after="10" w:before="10" w:line="270"/>
            </w:pPr>
            <w:r>
              <w:rPr>
                <w:rFonts w:ascii="Calibri" w:cs="Calibri" w:eastAsia="Calibri" w:hAnsi="Calibri"/>
                <w:b/>
                <w:bCs/>
                <w:i w:val="false"/>
                <w:iCs w:val="false"/>
                <w:color w:val="222222"/>
                <w:sz w:val="17"/>
                <w:szCs w:val="17"/>
              </w:rPr>
              <w:t xml:space="preserve">Mitgeltende Unterlagen</w:t>
            </w:r>
          </w:p>
        </w:tc>
        <w:tc>
          <w:tcPr>
            <w:tcW w:type="dxa" w:w="7706"/>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pPr>
            <w:r>
              <w:rPr>
                <w:rFonts w:ascii="Calibri" w:cs="Calibri" w:eastAsia="Calibri" w:hAnsi="Calibri"/>
                <w:b w:val="false"/>
                <w:bCs w:val="false"/>
                <w:i w:val="false"/>
                <w:iCs w:val="false"/>
                <w:color w:val="222222"/>
                <w:sz w:val="17"/>
                <w:szCs w:val="17"/>
              </w:rPr>
              <w:t xml:space="preserve">siehe Abschnitt 11.0</w:t>
            </w:r>
          </w:p>
        </w:tc>
      </w:tr>
    </w:tbl>
    <w:p>
      <w:pPr>
        <w:spacing w:after="80" w:before="0"/>
      </w:pPr>
    </w:p>
    <w:p>
      <w:pPr>
        <w:pBdr>
          <w:bottom w:val="single" w:color="1F3864" w:sz="8" w:space="2"/>
        </w:pBdr>
        <w:spacing w:after="100" w:before="240"/>
      </w:pPr>
      <w:r>
        <w:rPr>
          <w:rFonts w:ascii="Calibri" w:cs="Calibri" w:eastAsia="Calibri" w:hAnsi="Calibri"/>
          <w:b/>
          <w:bCs/>
          <w:i w:val="false"/>
          <w:iCs w:val="false"/>
          <w:color w:val="1F3864"/>
          <w:sz w:val="24"/>
          <w:szCs w:val="24"/>
        </w:rPr>
        <w:t xml:space="preserve">1.0  Zweck</w:t>
      </w:r>
    </w:p>
    <w:p>
      <w:pPr>
        <w:spacing w:after="80" w:before="20" w:line="270"/>
      </w:pPr>
      <w:r>
        <w:rPr>
          <w:rFonts w:ascii="Calibri" w:cs="Calibri" w:eastAsia="Calibri" w:hAnsi="Calibri"/>
          <w:b w:val="false"/>
          <w:bCs w:val="false"/>
          <w:i w:val="false"/>
          <w:iCs w:val="false"/>
          <w:color w:val="222222"/>
          <w:sz w:val="19"/>
          <w:szCs w:val="19"/>
        </w:rPr>
        <w:t xml:space="preserve">Diese Richtlinie regelt verbindlich den vollständigen Lebenszyklus von KI-Lösungen im Unternehmen – von der Idee über Entwicklung, Betrieb, Wertmessung und Skalierung bis zur Abschaltung (E2E AI Lifecycle Process). Sie stellt sicher, dass jede produktive KI-Lösung ihren wirtschaftlichen Beitrag fortlaufend nachweist, dass Betriebs- und Governance-Verantwortung eindeutig zugeordnet sind und dass Lösungen ohne nachgewiesenen Wert nach einem definierten Verfahren abgeschaltet werden. Die im bestehenden AI Ideation Process geregelten Assessments bleiben unberührt und werden durch diese Richtlinie in einen durchgängigen Lifecycle eingebettet.</w:t>
      </w:r>
    </w:p>
    <w:p>
      <w:pPr>
        <w:pBdr>
          <w:bottom w:val="single" w:color="1F3864" w:sz="8" w:space="2"/>
        </w:pBdr>
        <w:spacing w:after="100" w:before="240"/>
      </w:pPr>
      <w:r>
        <w:rPr>
          <w:rFonts w:ascii="Calibri" w:cs="Calibri" w:eastAsia="Calibri" w:hAnsi="Calibri"/>
          <w:b/>
          <w:bCs/>
          <w:i w:val="false"/>
          <w:iCs w:val="false"/>
          <w:color w:val="1F3864"/>
          <w:sz w:val="24"/>
          <w:szCs w:val="24"/>
        </w:rPr>
        <w:t xml:space="preserve">2.0  Geltungsbereich</w:t>
      </w:r>
    </w:p>
    <w:p>
      <w:pPr>
        <w:spacing w:after="60" w:before="160"/>
      </w:pPr>
      <w:r>
        <w:rPr>
          <w:rFonts w:ascii="Calibri" w:cs="Calibri" w:eastAsia="Calibri" w:hAnsi="Calibri"/>
          <w:b/>
          <w:bCs/>
          <w:i w:val="false"/>
          <w:iCs w:val="false"/>
          <w:color w:val="2E5B9F"/>
          <w:sz w:val="20"/>
          <w:szCs w:val="20"/>
        </w:rPr>
        <w:t xml:space="preserve">2.1  Sachlicher Geltungsbereich</w:t>
      </w:r>
    </w:p>
    <w:p>
      <w:pPr>
        <w:spacing w:after="80" w:before="20" w:line="270"/>
      </w:pPr>
      <w:r>
        <w:rPr>
          <w:rFonts w:ascii="Calibri" w:cs="Calibri" w:eastAsia="Calibri" w:hAnsi="Calibri"/>
          <w:b w:val="false"/>
          <w:bCs w:val="false"/>
          <w:i w:val="false"/>
          <w:iCs w:val="false"/>
          <w:color w:val="222222"/>
          <w:sz w:val="19"/>
          <w:szCs w:val="19"/>
        </w:rPr>
        <w:t xml:space="preserve">Diese Richtlinie gilt für jede KI-Lösung im Sinne von Abschnitt 3.0, unabhängig vom technischen Stack (Cloud-Eigenbau, M365 Copilot / SaaS, On-Prem-Eigenbetrieb). Proof of Concepts und Experimente unterliegen den Pflichten der Phase 1; produktive Lösungen unterliegen allen Phasen. Lösungen mit Vollkosten unter 20 k€ p.a. durchlaufen das Light-Review gemäß Value One-Pager (Abschnitte 1, 3, 4) und müssen mindestens die Telemetrie-Events E1 und E2 sowie das Kosten-Tagging erfüllen.</w:t>
      </w:r>
    </w:p>
    <w:p>
      <w:pPr>
        <w:spacing w:after="60" w:before="160"/>
      </w:pPr>
      <w:r>
        <w:rPr>
          <w:rFonts w:ascii="Calibri" w:cs="Calibri" w:eastAsia="Calibri" w:hAnsi="Calibri"/>
          <w:b/>
          <w:bCs/>
          <w:i w:val="false"/>
          <w:iCs w:val="false"/>
          <w:color w:val="2E5B9F"/>
          <w:sz w:val="20"/>
          <w:szCs w:val="20"/>
        </w:rPr>
        <w:t xml:space="preserve">2.2  Zeitlicher Geltungsbereich</w:t>
      </w:r>
    </w:p>
    <w:p>
      <w:pPr>
        <w:spacing w:after="80" w:before="20" w:line="270"/>
      </w:pPr>
      <w:r>
        <w:rPr>
          <w:rFonts w:ascii="Calibri" w:cs="Calibri" w:eastAsia="Calibri" w:hAnsi="Calibri"/>
          <w:b w:val="false"/>
          <w:bCs w:val="false"/>
          <w:i w:val="false"/>
          <w:iCs w:val="false"/>
          <w:color w:val="222222"/>
          <w:sz w:val="19"/>
          <w:szCs w:val="19"/>
        </w:rPr>
        <w:t xml:space="preserve">Für KI-Lösungen, deren Genehmigung nach Inkrafttreten dieser Richtlinie erfolgt, gilt die Richtlinie vollständig ab Genehmigung. Bestandslösungen müssen die Anforderungen des Minimal-Telemetrie-Standards und des Kosten-Taggings innerhalb von 12 Monaten nach Inkrafttreten erfüllen. Nach Ablauf dieser Frist gilt für nicht konforme Bestandslösungen die Nicht-messbar-Regel (Schwelle S6): Das jeweilige Quartal wird im Value Review rot gewertet und zählt für den Kill-Trigger.</w:t>
      </w:r>
    </w:p>
    <w:p>
      <w:pPr>
        <w:spacing w:after="60" w:before="160"/>
      </w:pPr>
      <w:r>
        <w:rPr>
          <w:rFonts w:ascii="Calibri" w:cs="Calibri" w:eastAsia="Calibri" w:hAnsi="Calibri"/>
          <w:b/>
          <w:bCs/>
          <w:i w:val="false"/>
          <w:iCs w:val="false"/>
          <w:color w:val="2E5B9F"/>
          <w:sz w:val="20"/>
          <w:szCs w:val="20"/>
        </w:rPr>
        <w:t xml:space="preserve">2.3  Organisatorischer Geltungsbereich</w:t>
      </w:r>
    </w:p>
    <w:p>
      <w:pPr>
        <w:spacing w:after="80" w:before="20" w:line="270"/>
      </w:pPr>
      <w:r>
        <w:rPr>
          <w:rFonts w:ascii="Calibri" w:cs="Calibri" w:eastAsia="Calibri" w:hAnsi="Calibri"/>
          <w:b w:val="false"/>
          <w:bCs w:val="false"/>
          <w:i w:val="false"/>
          <w:iCs w:val="false"/>
          <w:color w:val="222222"/>
          <w:sz w:val="19"/>
          <w:szCs w:val="19"/>
        </w:rPr>
        <w:t xml:space="preserve">Die Richtlinie gilt für alle Organisationseinheiten des Unternehmens. </w:t>
      </w:r>
      <w:r>
        <w:rPr>
          <w:rFonts w:ascii="Calibri" w:cs="Calibri" w:eastAsia="Calibri" w:hAnsi="Calibri"/>
          <w:b/>
          <w:bCs/>
          <w:i w:val="false"/>
          <w:iCs w:val="false"/>
          <w:color w:val="A33232"/>
          <w:sz w:val="19"/>
          <w:szCs w:val="19"/>
        </w:rPr>
        <w:t xml:space="preserve">[DECISION NEEDED: Geltung für Tochtergesellschaften und Beteiligungen – durch den Richtlinieneigner festzulegen]</w:t>
      </w:r>
    </w:p>
    <w:p>
      <w:pPr>
        <w:pBdr>
          <w:bottom w:val="single" w:color="1F3864" w:sz="8" w:space="2"/>
        </w:pBdr>
        <w:spacing w:after="100" w:before="240"/>
      </w:pPr>
      <w:r>
        <w:rPr>
          <w:rFonts w:ascii="Calibri" w:cs="Calibri" w:eastAsia="Calibri" w:hAnsi="Calibri"/>
          <w:b/>
          <w:bCs/>
          <w:i w:val="false"/>
          <w:iCs w:val="false"/>
          <w:color w:val="1F3864"/>
          <w:sz w:val="24"/>
          <w:szCs w:val="24"/>
        </w:rPr>
        <w:t xml:space="preserve">3.0  Begriffsbestimmungen</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700"/>
        <w:gridCol w:w="7406"/>
      </w:tblGrid>
      <w:tr>
        <w:trPr>
          <w:tblHeader/>
        </w:trPr>
        <w:tc>
          <w:tcPr>
            <w:tcW w:type="dxa" w:w="2700"/>
            <w:tcBorders>
              <w:top w:val="single" w:color="B7C3D6" w:sz="4"/>
              <w:left w:val="single" w:color="B7C3D6" w:sz="4"/>
              <w:bottom w:val="single" w:color="B7C3D6" w:sz="4"/>
              <w:right w:val="single" w:color="B7C3D6" w:sz="4"/>
            </w:tcBorders>
            <w:shd w:fill="DCE6F5" w:val="clear"/>
            <w:tcMar>
              <w:top w:type="dxa" w:w="40"/>
              <w:left w:type="dxa" w:w="90"/>
              <w:bottom w:type="dxa" w:w="40"/>
              <w:right w:type="dxa" w:w="90"/>
            </w:tcMar>
            <w:vAlign w:val="center"/>
          </w:tcPr>
          <w:p>
            <w:pPr>
              <w:spacing w:after="10" w:before="10" w:line="270"/>
            </w:pPr>
            <w:r>
              <w:rPr>
                <w:rFonts w:ascii="Calibri" w:cs="Calibri" w:eastAsia="Calibri" w:hAnsi="Calibri"/>
                <w:b/>
                <w:bCs/>
                <w:i w:val="false"/>
                <w:iCs w:val="false"/>
                <w:color w:val="222222"/>
                <w:sz w:val="17"/>
                <w:szCs w:val="17"/>
              </w:rPr>
              <w:t xml:space="preserve">Begriff</w:t>
            </w:r>
          </w:p>
        </w:tc>
        <w:tc>
          <w:tcPr>
            <w:tcW w:type="dxa" w:w="7406"/>
            <w:tcBorders>
              <w:top w:val="single" w:color="B7C3D6" w:sz="4"/>
              <w:left w:val="single" w:color="B7C3D6" w:sz="4"/>
              <w:bottom w:val="single" w:color="B7C3D6" w:sz="4"/>
              <w:right w:val="single" w:color="B7C3D6" w:sz="4"/>
            </w:tcBorders>
            <w:shd w:fill="DCE6F5" w:val="clear"/>
            <w:tcMar>
              <w:top w:type="dxa" w:w="40"/>
              <w:left w:type="dxa" w:w="90"/>
              <w:bottom w:type="dxa" w:w="40"/>
              <w:right w:type="dxa" w:w="90"/>
            </w:tcMar>
            <w:vAlign w:val="center"/>
          </w:tcPr>
          <w:p>
            <w:pPr>
              <w:spacing w:after="10" w:before="10" w:line="270"/>
            </w:pPr>
            <w:r>
              <w:rPr>
                <w:rFonts w:ascii="Calibri" w:cs="Calibri" w:eastAsia="Calibri" w:hAnsi="Calibri"/>
                <w:b/>
                <w:bCs/>
                <w:i w:val="false"/>
                <w:iCs w:val="false"/>
                <w:color w:val="222222"/>
                <w:sz w:val="17"/>
                <w:szCs w:val="17"/>
              </w:rPr>
              <w:t xml:space="preserve">Definition</w:t>
            </w:r>
          </w:p>
        </w:tc>
      </w:tr>
      <w:tr>
        <w:trPr>
          <w:cantSplit/>
        </w:trPr>
        <w:tc>
          <w:tcPr>
            <w:tcW w:type="dxa" w:w="2700"/>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line="270"/>
            </w:pPr>
            <w:r>
              <w:rPr>
                <w:rFonts w:ascii="Calibri" w:cs="Calibri" w:eastAsia="Calibri" w:hAnsi="Calibri"/>
                <w:b/>
                <w:bCs/>
                <w:i w:val="false"/>
                <w:iCs w:val="false"/>
                <w:color w:val="222222"/>
                <w:sz w:val="17"/>
                <w:szCs w:val="17"/>
              </w:rPr>
              <w:t xml:space="preserve">KI-Lösung</w:t>
            </w:r>
          </w:p>
        </w:tc>
        <w:tc>
          <w:tcPr>
            <w:tcW w:type="dxa" w:w="7406"/>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line="270"/>
            </w:pPr>
            <w:r>
              <w:rPr>
                <w:rFonts w:ascii="Calibri" w:cs="Calibri" w:eastAsia="Calibri" w:hAnsi="Calibri"/>
                <w:b w:val="false"/>
                <w:bCs w:val="false"/>
                <w:i w:val="false"/>
                <w:iCs w:val="false"/>
                <w:color w:val="333333"/>
                <w:sz w:val="17"/>
                <w:szCs w:val="17"/>
              </w:rPr>
              <w:t xml:space="preserve">Anwendung, die KI-Funktionalität in einen Geschäftsprozess einbringt und im AI-Use-Case-Inventar mit eindeutiger Use-Case-ID (solution_id) registriert ist. Die Use-Case-ID verbindet Business Case, Telemetrie und Kosten.</w:t>
            </w:r>
          </w:p>
        </w:tc>
      </w:tr>
      <w:tr>
        <w:trPr>
          <w:cantSplit/>
        </w:trPr>
        <w:tc>
          <w:tcPr>
            <w:tcW w:type="dxa" w:w="2700"/>
            <w:tcBorders>
              <w:top w:val="single" w:color="B7C3D6" w:sz="4"/>
              <w:left w:val="single" w:color="B7C3D6" w:sz="4"/>
              <w:bottom w:val="single" w:color="B7C3D6" w:sz="4"/>
              <w:right w:val="single" w:color="B7C3D6" w:sz="4"/>
            </w:tcBorders>
            <w:shd w:fill="F3F6FB" w:val="clear"/>
            <w:tcMar>
              <w:top w:type="dxa" w:w="40"/>
              <w:left w:type="dxa" w:w="90"/>
              <w:bottom w:type="dxa" w:w="40"/>
              <w:right w:type="dxa" w:w="90"/>
            </w:tcMar>
            <w:vAlign w:val="center"/>
          </w:tcPr>
          <w:p>
            <w:pPr>
              <w:spacing w:after="10" w:before="10" w:line="270"/>
            </w:pPr>
            <w:r>
              <w:rPr>
                <w:rFonts w:ascii="Calibri" w:cs="Calibri" w:eastAsia="Calibri" w:hAnsi="Calibri"/>
                <w:b/>
                <w:bCs/>
                <w:i w:val="false"/>
                <w:iCs w:val="false"/>
                <w:color w:val="222222"/>
                <w:sz w:val="17"/>
                <w:szCs w:val="17"/>
              </w:rPr>
              <w:t xml:space="preserve">Komponente</w:t>
            </w:r>
          </w:p>
        </w:tc>
        <w:tc>
          <w:tcPr>
            <w:tcW w:type="dxa" w:w="7406"/>
            <w:tcBorders>
              <w:top w:val="single" w:color="B7C3D6" w:sz="4"/>
              <w:left w:val="single" w:color="B7C3D6" w:sz="4"/>
              <w:bottom w:val="single" w:color="B7C3D6" w:sz="4"/>
              <w:right w:val="single" w:color="B7C3D6" w:sz="4"/>
            </w:tcBorders>
            <w:shd w:fill="F3F6FB" w:val="clear"/>
            <w:tcMar>
              <w:top w:type="dxa" w:w="40"/>
              <w:left w:type="dxa" w:w="90"/>
              <w:bottom w:type="dxa" w:w="40"/>
              <w:right w:type="dxa" w:w="90"/>
            </w:tcMar>
            <w:vAlign w:val="center"/>
          </w:tcPr>
          <w:p>
            <w:pPr>
              <w:spacing w:after="10" w:before="10" w:line="270"/>
            </w:pPr>
            <w:r>
              <w:rPr>
                <w:rFonts w:ascii="Calibri" w:cs="Calibri" w:eastAsia="Calibri" w:hAnsi="Calibri"/>
                <w:b w:val="false"/>
                <w:bCs w:val="false"/>
                <w:i w:val="false"/>
                <w:iCs w:val="false"/>
                <w:color w:val="333333"/>
                <w:sz w:val="17"/>
                <w:szCs w:val="17"/>
              </w:rPr>
              <w:t xml:space="preserve">Wiederverwendbarer Bestandteil einer KI-Lösung (Typen K1–K6) gemäß Registry- &amp; Scaling-Standard mit Reifegrad R1–R4.</w:t>
            </w:r>
          </w:p>
        </w:tc>
      </w:tr>
      <w:tr>
        <w:trPr>
          <w:cantSplit/>
        </w:trPr>
        <w:tc>
          <w:tcPr>
            <w:tcW w:type="dxa" w:w="2700"/>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line="270"/>
            </w:pPr>
            <w:r>
              <w:rPr>
                <w:rFonts w:ascii="Calibri" w:cs="Calibri" w:eastAsia="Calibri" w:hAnsi="Calibri"/>
                <w:b/>
                <w:bCs/>
                <w:i w:val="false"/>
                <w:iCs w:val="false"/>
                <w:color w:val="222222"/>
                <w:sz w:val="17"/>
                <w:szCs w:val="17"/>
              </w:rPr>
              <w:t xml:space="preserve">Vollkosten (TCO)</w:t>
            </w:r>
          </w:p>
        </w:tc>
        <w:tc>
          <w:tcPr>
            <w:tcW w:type="dxa" w:w="7406"/>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line="270"/>
            </w:pPr>
            <w:r>
              <w:rPr>
                <w:rFonts w:ascii="Calibri" w:cs="Calibri" w:eastAsia="Calibri" w:hAnsi="Calibri"/>
                <w:b w:val="false"/>
                <w:bCs w:val="false"/>
                <w:i w:val="false"/>
                <w:iCs w:val="false"/>
                <w:color w:val="333333"/>
                <w:sz w:val="17"/>
                <w:szCs w:val="17"/>
              </w:rPr>
              <w:t xml:space="preserve">Summe aus Inferenz-/Compute-Kosten, Lizenzen, anteiligen Run-Team-Kosten, Wartung/Weiterentwicklung und Plattform-/Monitoring-Umlage je Quartal.</w:t>
            </w:r>
          </w:p>
        </w:tc>
      </w:tr>
      <w:tr>
        <w:trPr>
          <w:cantSplit/>
        </w:trPr>
        <w:tc>
          <w:tcPr>
            <w:tcW w:type="dxa" w:w="2700"/>
            <w:tcBorders>
              <w:top w:val="single" w:color="B7C3D6" w:sz="4"/>
              <w:left w:val="single" w:color="B7C3D6" w:sz="4"/>
              <w:bottom w:val="single" w:color="B7C3D6" w:sz="4"/>
              <w:right w:val="single" w:color="B7C3D6" w:sz="4"/>
            </w:tcBorders>
            <w:shd w:fill="F3F6FB" w:val="clear"/>
            <w:tcMar>
              <w:top w:type="dxa" w:w="40"/>
              <w:left w:type="dxa" w:w="90"/>
              <w:bottom w:type="dxa" w:w="40"/>
              <w:right w:type="dxa" w:w="90"/>
            </w:tcMar>
            <w:vAlign w:val="center"/>
          </w:tcPr>
          <w:p>
            <w:pPr>
              <w:spacing w:after="10" w:before="10" w:line="270"/>
            </w:pPr>
            <w:r>
              <w:rPr>
                <w:rFonts w:ascii="Calibri" w:cs="Calibri" w:eastAsia="Calibri" w:hAnsi="Calibri"/>
                <w:b/>
                <w:bCs/>
                <w:i w:val="false"/>
                <w:iCs w:val="false"/>
                <w:color w:val="222222"/>
                <w:sz w:val="17"/>
                <w:szCs w:val="17"/>
              </w:rPr>
              <w:t xml:space="preserve">Realisierter Wert</w:t>
            </w:r>
          </w:p>
        </w:tc>
        <w:tc>
          <w:tcPr>
            <w:tcW w:type="dxa" w:w="7406"/>
            <w:tcBorders>
              <w:top w:val="single" w:color="B7C3D6" w:sz="4"/>
              <w:left w:val="single" w:color="B7C3D6" w:sz="4"/>
              <w:bottom w:val="single" w:color="B7C3D6" w:sz="4"/>
              <w:right w:val="single" w:color="B7C3D6" w:sz="4"/>
            </w:tcBorders>
            <w:shd w:fill="F3F6FB" w:val="clear"/>
            <w:tcMar>
              <w:top w:type="dxa" w:w="40"/>
              <w:left w:type="dxa" w:w="90"/>
              <w:bottom w:type="dxa" w:w="40"/>
              <w:right w:type="dxa" w:w="90"/>
            </w:tcMar>
            <w:vAlign w:val="center"/>
          </w:tcPr>
          <w:p>
            <w:pPr>
              <w:spacing w:after="10" w:before="10" w:line="270"/>
            </w:pPr>
            <w:r>
              <w:rPr>
                <w:rFonts w:ascii="Calibri" w:cs="Calibri" w:eastAsia="Calibri" w:hAnsi="Calibri"/>
                <w:b w:val="false"/>
                <w:bCs w:val="false"/>
                <w:i w:val="false"/>
                <w:iCs w:val="false"/>
                <w:color w:val="333333"/>
                <w:sz w:val="17"/>
                <w:szCs w:val="17"/>
              </w:rPr>
              <w:t xml:space="preserve">Summe der Wertkategorien V1 (Produktivität), V2 (Vermeidung, nur mit Beleg), V3 (Kapazität, nur bei nachgewiesener Umwidmung), V4 (nur falls hart quantifiziert) gemäß Value One-Pager.</w:t>
            </w:r>
          </w:p>
        </w:tc>
      </w:tr>
      <w:tr>
        <w:trPr>
          <w:cantSplit/>
        </w:trPr>
        <w:tc>
          <w:tcPr>
            <w:tcW w:type="dxa" w:w="2700"/>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line="270"/>
            </w:pPr>
            <w:r>
              <w:rPr>
                <w:rFonts w:ascii="Calibri" w:cs="Calibri" w:eastAsia="Calibri" w:hAnsi="Calibri"/>
                <w:b/>
                <w:bCs/>
                <w:i w:val="false"/>
                <w:iCs w:val="false"/>
                <w:color w:val="222222"/>
                <w:sz w:val="17"/>
                <w:szCs w:val="17"/>
              </w:rPr>
              <w:t xml:space="preserve">ROI-Quote</w:t>
            </w:r>
          </w:p>
        </w:tc>
        <w:tc>
          <w:tcPr>
            <w:tcW w:type="dxa" w:w="7406"/>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line="270"/>
            </w:pPr>
            <w:r>
              <w:rPr>
                <w:rFonts w:ascii="Calibri" w:cs="Calibri" w:eastAsia="Calibri" w:hAnsi="Calibri"/>
                <w:b w:val="false"/>
                <w:bCs w:val="false"/>
                <w:i w:val="false"/>
                <w:iCs w:val="false"/>
                <w:color w:val="333333"/>
                <w:sz w:val="17"/>
                <w:szCs w:val="17"/>
              </w:rPr>
              <w:t xml:space="preserve">Realisierter Wert ÷ TCO im Quartal. Ampelschwellen: ≥ 1,0 grün · 0,5–1,0 gelb · &lt; 0,5 rot (ab Q4 nach Go-Live).</w:t>
            </w:r>
          </w:p>
        </w:tc>
      </w:tr>
      <w:tr>
        <w:trPr>
          <w:cantSplit/>
        </w:trPr>
        <w:tc>
          <w:tcPr>
            <w:tcW w:type="dxa" w:w="2700"/>
            <w:tcBorders>
              <w:top w:val="single" w:color="B7C3D6" w:sz="4"/>
              <w:left w:val="single" w:color="B7C3D6" w:sz="4"/>
              <w:bottom w:val="single" w:color="B7C3D6" w:sz="4"/>
              <w:right w:val="single" w:color="B7C3D6" w:sz="4"/>
            </w:tcBorders>
            <w:shd w:fill="F3F6FB" w:val="clear"/>
            <w:tcMar>
              <w:top w:type="dxa" w:w="40"/>
              <w:left w:type="dxa" w:w="90"/>
              <w:bottom w:type="dxa" w:w="40"/>
              <w:right w:type="dxa" w:w="90"/>
            </w:tcMar>
            <w:vAlign w:val="center"/>
          </w:tcPr>
          <w:p>
            <w:pPr>
              <w:spacing w:after="10" w:before="10" w:line="270"/>
            </w:pPr>
            <w:r>
              <w:rPr>
                <w:rFonts w:ascii="Calibri" w:cs="Calibri" w:eastAsia="Calibri" w:hAnsi="Calibri"/>
                <w:b/>
                <w:bCs/>
                <w:i w:val="false"/>
                <w:iCs w:val="false"/>
                <w:color w:val="222222"/>
                <w:sz w:val="17"/>
                <w:szCs w:val="17"/>
              </w:rPr>
              <w:t xml:space="preserve">Berechtigte Nutzer</w:t>
            </w:r>
          </w:p>
        </w:tc>
        <w:tc>
          <w:tcPr>
            <w:tcW w:type="dxa" w:w="7406"/>
            <w:tcBorders>
              <w:top w:val="single" w:color="B7C3D6" w:sz="4"/>
              <w:left w:val="single" w:color="B7C3D6" w:sz="4"/>
              <w:bottom w:val="single" w:color="B7C3D6" w:sz="4"/>
              <w:right w:val="single" w:color="B7C3D6" w:sz="4"/>
            </w:tcBorders>
            <w:shd w:fill="F3F6FB" w:val="clear"/>
            <w:tcMar>
              <w:top w:type="dxa" w:w="40"/>
              <w:left w:type="dxa" w:w="90"/>
              <w:bottom w:type="dxa" w:w="40"/>
              <w:right w:type="dxa" w:w="90"/>
            </w:tcMar>
            <w:vAlign w:val="center"/>
          </w:tcPr>
          <w:p>
            <w:pPr>
              <w:spacing w:after="10" w:before="10" w:line="270"/>
            </w:pPr>
            <w:r>
              <w:rPr>
                <w:rFonts w:ascii="Calibri" w:cs="Calibri" w:eastAsia="Calibri" w:hAnsi="Calibri"/>
                <w:b w:val="false"/>
                <w:bCs w:val="false"/>
                <w:i w:val="false"/>
                <w:iCs w:val="false"/>
                <w:color w:val="333333"/>
                <w:sz w:val="17"/>
                <w:szCs w:val="17"/>
              </w:rPr>
              <w:t xml:space="preserve">Alle Personen mit der Prozessrolle, für die die Lösung gebaut wurde – nicht die zugewiesenen Lizenzen. Festlegung im Business Case; Änderung nur per Beschluss des AI Portfolio Boards.</w:t>
            </w:r>
          </w:p>
        </w:tc>
      </w:tr>
      <w:tr>
        <w:trPr>
          <w:cantSplit/>
        </w:trPr>
        <w:tc>
          <w:tcPr>
            <w:tcW w:type="dxa" w:w="2700"/>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line="270"/>
            </w:pPr>
            <w:r>
              <w:rPr>
                <w:rFonts w:ascii="Calibri" w:cs="Calibri" w:eastAsia="Calibri" w:hAnsi="Calibri"/>
                <w:b/>
                <w:bCs/>
                <w:i w:val="false"/>
                <w:iCs w:val="false"/>
                <w:color w:val="222222"/>
                <w:sz w:val="17"/>
                <w:szCs w:val="17"/>
              </w:rPr>
              <w:t xml:space="preserve">Adoption-Quote</w:t>
            </w:r>
          </w:p>
        </w:tc>
        <w:tc>
          <w:tcPr>
            <w:tcW w:type="dxa" w:w="7406"/>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line="270"/>
            </w:pPr>
            <w:r>
              <w:rPr>
                <w:rFonts w:ascii="Calibri" w:cs="Calibri" w:eastAsia="Calibri" w:hAnsi="Calibri"/>
                <w:b w:val="false"/>
                <w:bCs w:val="false"/>
                <w:i w:val="false"/>
                <w:iCs w:val="false"/>
                <w:color w:val="333333"/>
                <w:sz w:val="17"/>
                <w:szCs w:val="17"/>
              </w:rPr>
              <w:t xml:space="preserve">Ø Weekly Active Users im Quartal ÷ berechtigte Nutzer.</w:t>
            </w:r>
          </w:p>
        </w:tc>
      </w:tr>
      <w:tr>
        <w:trPr>
          <w:cantSplit/>
        </w:trPr>
        <w:tc>
          <w:tcPr>
            <w:tcW w:type="dxa" w:w="2700"/>
            <w:tcBorders>
              <w:top w:val="single" w:color="B7C3D6" w:sz="4"/>
              <w:left w:val="single" w:color="B7C3D6" w:sz="4"/>
              <w:bottom w:val="single" w:color="B7C3D6" w:sz="4"/>
              <w:right w:val="single" w:color="B7C3D6" w:sz="4"/>
            </w:tcBorders>
            <w:shd w:fill="F3F6FB" w:val="clear"/>
            <w:tcMar>
              <w:top w:type="dxa" w:w="40"/>
              <w:left w:type="dxa" w:w="90"/>
              <w:bottom w:type="dxa" w:w="40"/>
              <w:right w:type="dxa" w:w="90"/>
            </w:tcMar>
            <w:vAlign w:val="center"/>
          </w:tcPr>
          <w:p>
            <w:pPr>
              <w:spacing w:after="10" w:before="10" w:line="270"/>
            </w:pPr>
            <w:r>
              <w:rPr>
                <w:rFonts w:ascii="Calibri" w:cs="Calibri" w:eastAsia="Calibri" w:hAnsi="Calibri"/>
                <w:b/>
                <w:bCs/>
                <w:i w:val="false"/>
                <w:iCs w:val="false"/>
                <w:color w:val="222222"/>
                <w:sz w:val="17"/>
                <w:szCs w:val="17"/>
              </w:rPr>
              <w:t xml:space="preserve">Annahmequote</w:t>
            </w:r>
          </w:p>
        </w:tc>
        <w:tc>
          <w:tcPr>
            <w:tcW w:type="dxa" w:w="7406"/>
            <w:tcBorders>
              <w:top w:val="single" w:color="B7C3D6" w:sz="4"/>
              <w:left w:val="single" w:color="B7C3D6" w:sz="4"/>
              <w:bottom w:val="single" w:color="B7C3D6" w:sz="4"/>
              <w:right w:val="single" w:color="B7C3D6" w:sz="4"/>
            </w:tcBorders>
            <w:shd w:fill="F3F6FB" w:val="clear"/>
            <w:tcMar>
              <w:top w:type="dxa" w:w="40"/>
              <w:left w:type="dxa" w:w="90"/>
              <w:bottom w:type="dxa" w:w="40"/>
              <w:right w:type="dxa" w:w="90"/>
            </w:tcMar>
            <w:vAlign w:val="center"/>
          </w:tcPr>
          <w:p>
            <w:pPr>
              <w:spacing w:after="10" w:before="10" w:line="270"/>
            </w:pPr>
            <w:r>
              <w:rPr>
                <w:rFonts w:ascii="Calibri" w:cs="Calibri" w:eastAsia="Calibri" w:hAnsi="Calibri"/>
                <w:b w:val="false"/>
                <w:bCs w:val="false"/>
                <w:i w:val="false"/>
                <w:iCs w:val="false"/>
                <w:color w:val="333333"/>
                <w:sz w:val="17"/>
                <w:szCs w:val="17"/>
              </w:rPr>
              <w:t xml:space="preserve">Übernommene KI-Outputs ÷ alle Outputs (Event E4 oder Quartals-Stichprobe n ≥ 30); Multiplikator im V1-Wert.</w:t>
            </w:r>
          </w:p>
        </w:tc>
      </w:tr>
      <w:tr>
        <w:trPr>
          <w:cantSplit/>
        </w:trPr>
        <w:tc>
          <w:tcPr>
            <w:tcW w:type="dxa" w:w="2700"/>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line="270"/>
            </w:pPr>
            <w:r>
              <w:rPr>
                <w:rFonts w:ascii="Calibri" w:cs="Calibri" w:eastAsia="Calibri" w:hAnsi="Calibri"/>
                <w:b/>
                <w:bCs/>
                <w:i w:val="false"/>
                <w:iCs w:val="false"/>
                <w:color w:val="222222"/>
                <w:sz w:val="17"/>
                <w:szCs w:val="17"/>
              </w:rPr>
              <w:t xml:space="preserve">Value Review</w:t>
            </w:r>
          </w:p>
        </w:tc>
        <w:tc>
          <w:tcPr>
            <w:tcW w:type="dxa" w:w="7406"/>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line="270"/>
            </w:pPr>
            <w:r>
              <w:rPr>
                <w:rFonts w:ascii="Calibri" w:cs="Calibri" w:eastAsia="Calibri" w:hAnsi="Calibri"/>
                <w:b w:val="false"/>
                <w:bCs w:val="false"/>
                <w:i w:val="false"/>
                <w:iCs w:val="false"/>
                <w:color w:val="333333"/>
                <w:sz w:val="17"/>
                <w:szCs w:val="17"/>
              </w:rPr>
              <w:t xml:space="preserve">Quartalsweise Bewertung jeder produktiven Lösung durch das AI Portfolio Board auf Basis des Value One-Pagers (Gate G3).</w:t>
            </w:r>
          </w:p>
        </w:tc>
      </w:tr>
      <w:tr>
        <w:trPr>
          <w:cantSplit/>
        </w:trPr>
        <w:tc>
          <w:tcPr>
            <w:tcW w:type="dxa" w:w="2700"/>
            <w:tcBorders>
              <w:top w:val="single" w:color="B7C3D6" w:sz="4"/>
              <w:left w:val="single" w:color="B7C3D6" w:sz="4"/>
              <w:bottom w:val="single" w:color="B7C3D6" w:sz="4"/>
              <w:right w:val="single" w:color="B7C3D6" w:sz="4"/>
            </w:tcBorders>
            <w:shd w:fill="F3F6FB" w:val="clear"/>
            <w:tcMar>
              <w:top w:type="dxa" w:w="40"/>
              <w:left w:type="dxa" w:w="90"/>
              <w:bottom w:type="dxa" w:w="40"/>
              <w:right w:type="dxa" w:w="90"/>
            </w:tcMar>
            <w:vAlign w:val="center"/>
          </w:tcPr>
          <w:p>
            <w:pPr>
              <w:spacing w:after="10" w:before="10" w:line="270"/>
            </w:pPr>
            <w:r>
              <w:rPr>
                <w:rFonts w:ascii="Calibri" w:cs="Calibri" w:eastAsia="Calibri" w:hAnsi="Calibri"/>
                <w:b/>
                <w:bCs/>
                <w:i w:val="false"/>
                <w:iCs w:val="false"/>
                <w:color w:val="222222"/>
                <w:sz w:val="17"/>
                <w:szCs w:val="17"/>
              </w:rPr>
              <w:t xml:space="preserve">Kill-Trigger</w:t>
            </w:r>
          </w:p>
        </w:tc>
        <w:tc>
          <w:tcPr>
            <w:tcW w:type="dxa" w:w="7406"/>
            <w:tcBorders>
              <w:top w:val="single" w:color="B7C3D6" w:sz="4"/>
              <w:left w:val="single" w:color="B7C3D6" w:sz="4"/>
              <w:bottom w:val="single" w:color="B7C3D6" w:sz="4"/>
              <w:right w:val="single" w:color="B7C3D6" w:sz="4"/>
            </w:tcBorders>
            <w:shd w:fill="F3F6FB" w:val="clear"/>
            <w:tcMar>
              <w:top w:type="dxa" w:w="40"/>
              <w:left w:type="dxa" w:w="90"/>
              <w:bottom w:type="dxa" w:w="40"/>
              <w:right w:type="dxa" w:w="90"/>
            </w:tcMar>
            <w:vAlign w:val="center"/>
          </w:tcPr>
          <w:p>
            <w:pPr>
              <w:spacing w:after="10" w:before="10" w:line="270"/>
            </w:pPr>
            <w:r>
              <w:rPr>
                <w:rFonts w:ascii="Calibri" w:cs="Calibri" w:eastAsia="Calibri" w:hAnsi="Calibri"/>
                <w:b w:val="false"/>
                <w:bCs w:val="false"/>
                <w:i w:val="false"/>
                <w:iCs w:val="false"/>
                <w:color w:val="333333"/>
                <w:sz w:val="17"/>
                <w:szCs w:val="17"/>
              </w:rPr>
              <w:t xml:space="preserve">Zwei rote Quartale in Folge erzeugen automatisch einen Kill-Antrag an das AI Portfolio Board.</w:t>
            </w:r>
          </w:p>
        </w:tc>
      </w:tr>
      <w:tr>
        <w:trPr>
          <w:cantSplit/>
        </w:trPr>
        <w:tc>
          <w:tcPr>
            <w:tcW w:type="dxa" w:w="2700"/>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line="270"/>
            </w:pPr>
            <w:r>
              <w:rPr>
                <w:rFonts w:ascii="Calibri" w:cs="Calibri" w:eastAsia="Calibri" w:hAnsi="Calibri"/>
                <w:b/>
                <w:bCs/>
                <w:i w:val="false"/>
                <w:iCs w:val="false"/>
                <w:color w:val="222222"/>
                <w:sz w:val="17"/>
                <w:szCs w:val="17"/>
              </w:rPr>
              <w:t xml:space="preserve">Waiver</w:t>
            </w:r>
          </w:p>
        </w:tc>
        <w:tc>
          <w:tcPr>
            <w:tcW w:type="dxa" w:w="7406"/>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line="270"/>
            </w:pPr>
            <w:r>
              <w:rPr>
                <w:rFonts w:ascii="Calibri" w:cs="Calibri" w:eastAsia="Calibri" w:hAnsi="Calibri"/>
                <w:b w:val="false"/>
                <w:bCs w:val="false"/>
                <w:i w:val="false"/>
                <w:iCs w:val="false"/>
                <w:color w:val="333333"/>
                <w:sz w:val="17"/>
                <w:szCs w:val="17"/>
              </w:rPr>
              <w:t xml:space="preserve">Befristete, schriftlich beschlossene Ausnahme von einzelnen Regelungen dieser Richtlinie gemäß Abschnitt 8.0.</w:t>
            </w:r>
          </w:p>
        </w:tc>
      </w:tr>
    </w:tbl>
    <w:p>
      <w:pPr>
        <w:pBdr>
          <w:bottom w:val="single" w:color="1F3864" w:sz="8" w:space="2"/>
        </w:pBdr>
        <w:spacing w:after="100" w:before="240"/>
      </w:pPr>
      <w:r>
        <w:rPr>
          <w:rFonts w:ascii="Calibri" w:cs="Calibri" w:eastAsia="Calibri" w:hAnsi="Calibri"/>
          <w:b/>
          <w:bCs/>
          <w:i w:val="false"/>
          <w:iCs w:val="false"/>
          <w:color w:val="1F3864"/>
          <w:sz w:val="24"/>
          <w:szCs w:val="24"/>
        </w:rPr>
        <w:t xml:space="preserve">4.0  Rollen und Verantwortlichkeiten</w:t>
      </w:r>
    </w:p>
    <w:p>
      <w:pPr>
        <w:spacing w:after="60" w:before="20" w:line="270"/>
      </w:pPr>
      <w:r>
        <w:rPr>
          <w:rFonts w:ascii="Calibri" w:cs="Calibri" w:eastAsia="Calibri" w:hAnsi="Calibri"/>
          <w:b w:val="false"/>
          <w:bCs w:val="false"/>
          <w:i w:val="false"/>
          <w:iCs w:val="false"/>
          <w:color w:val="222222"/>
          <w:sz w:val="19"/>
          <w:szCs w:val="19"/>
        </w:rPr>
        <w:t xml:space="preserve">Jede produktive KI-Lösung muss zu jedem Zeitpunkt einen benannten AI Solution Owner und einen benannten Product Owner (IT) haben. Vakanzen müssen dem CoE AI unverzüglich gemeldet und innerhalb von 30 Tagen nachbesetzt werden.</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700"/>
        <w:gridCol w:w="7406"/>
      </w:tblGrid>
      <w:tr>
        <w:trPr>
          <w:tblHeader/>
        </w:trPr>
        <w:tc>
          <w:tcPr>
            <w:tcW w:type="dxa" w:w="2700"/>
            <w:tcBorders>
              <w:top w:val="single" w:color="B7C3D6" w:sz="4"/>
              <w:left w:val="single" w:color="B7C3D6" w:sz="4"/>
              <w:bottom w:val="single" w:color="B7C3D6" w:sz="4"/>
              <w:right w:val="single" w:color="B7C3D6" w:sz="4"/>
            </w:tcBorders>
            <w:shd w:fill="DCE6F5" w:val="clear"/>
            <w:tcMar>
              <w:top w:type="dxa" w:w="40"/>
              <w:left w:type="dxa" w:w="90"/>
              <w:bottom w:type="dxa" w:w="40"/>
              <w:right w:type="dxa" w:w="90"/>
            </w:tcMar>
            <w:vAlign w:val="center"/>
          </w:tcPr>
          <w:p>
            <w:pPr>
              <w:spacing w:after="10" w:before="10" w:line="270"/>
            </w:pPr>
            <w:r>
              <w:rPr>
                <w:rFonts w:ascii="Calibri" w:cs="Calibri" w:eastAsia="Calibri" w:hAnsi="Calibri"/>
                <w:b/>
                <w:bCs/>
                <w:i w:val="false"/>
                <w:iCs w:val="false"/>
                <w:color w:val="222222"/>
                <w:sz w:val="17"/>
                <w:szCs w:val="17"/>
              </w:rPr>
              <w:t xml:space="preserve">Rolle</w:t>
            </w:r>
          </w:p>
        </w:tc>
        <w:tc>
          <w:tcPr>
            <w:tcW w:type="dxa" w:w="7406"/>
            <w:tcBorders>
              <w:top w:val="single" w:color="B7C3D6" w:sz="4"/>
              <w:left w:val="single" w:color="B7C3D6" w:sz="4"/>
              <w:bottom w:val="single" w:color="B7C3D6" w:sz="4"/>
              <w:right w:val="single" w:color="B7C3D6" w:sz="4"/>
            </w:tcBorders>
            <w:shd w:fill="DCE6F5" w:val="clear"/>
            <w:tcMar>
              <w:top w:type="dxa" w:w="40"/>
              <w:left w:type="dxa" w:w="90"/>
              <w:bottom w:type="dxa" w:w="40"/>
              <w:right w:type="dxa" w:w="90"/>
            </w:tcMar>
            <w:vAlign w:val="center"/>
          </w:tcPr>
          <w:p>
            <w:pPr>
              <w:spacing w:after="10" w:before="10" w:line="270"/>
            </w:pPr>
            <w:r>
              <w:rPr>
                <w:rFonts w:ascii="Calibri" w:cs="Calibri" w:eastAsia="Calibri" w:hAnsi="Calibri"/>
                <w:b/>
                <w:bCs/>
                <w:i w:val="false"/>
                <w:iCs w:val="false"/>
                <w:color w:val="222222"/>
                <w:sz w:val="17"/>
                <w:szCs w:val="17"/>
              </w:rPr>
              <w:t xml:space="preserve">Verbindliche Verantwortlichkeiten</w:t>
            </w:r>
          </w:p>
        </w:tc>
      </w:tr>
      <w:tr>
        <w:trPr>
          <w:cantSplit/>
        </w:trPr>
        <w:tc>
          <w:tcPr>
            <w:tcW w:type="dxa" w:w="2700"/>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line="270"/>
            </w:pPr>
            <w:r>
              <w:rPr>
                <w:rFonts w:ascii="Calibri" w:cs="Calibri" w:eastAsia="Calibri" w:hAnsi="Calibri"/>
                <w:b/>
                <w:bCs/>
                <w:i w:val="false"/>
                <w:iCs w:val="false"/>
                <w:color w:val="222222"/>
                <w:sz w:val="17"/>
                <w:szCs w:val="17"/>
              </w:rPr>
              <w:t xml:space="preserve">AI Solution Owner (Fachbereich)</w:t>
            </w:r>
          </w:p>
        </w:tc>
        <w:tc>
          <w:tcPr>
            <w:tcW w:type="dxa" w:w="7406"/>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line="270"/>
            </w:pPr>
            <w:r>
              <w:rPr>
                <w:rFonts w:ascii="Calibri" w:cs="Calibri" w:eastAsia="Calibri" w:hAnsi="Calibri"/>
                <w:b w:val="false"/>
                <w:bCs w:val="false"/>
                <w:i w:val="false"/>
                <w:iCs w:val="false"/>
                <w:color w:val="333333"/>
                <w:sz w:val="17"/>
                <w:szCs w:val="17"/>
              </w:rPr>
              <w:t xml:space="preserve">Ist verantwortlich für den Business Case inkl. Baseline-Messung und Exit-Kriterien, für die Durchführung der Governance-Assessments gemäß AI Ideation Process (Datenschutz, KI &amp; Information Governance, RIA, IT-Ausschuss, VVV, Application Inventory, Application Navigator), für die Adoption entlang der Rampe inkl. der Pflichtmaßnahmen des Adoption-Standards, für die Beibringung der V2-/V3-Belege sowie für den fachlichen Kommentar im Value One-Pager.</w:t>
            </w:r>
          </w:p>
        </w:tc>
      </w:tr>
      <w:tr>
        <w:trPr>
          <w:cantSplit/>
        </w:trPr>
        <w:tc>
          <w:tcPr>
            <w:tcW w:type="dxa" w:w="2700"/>
            <w:tcBorders>
              <w:top w:val="single" w:color="B7C3D6" w:sz="4"/>
              <w:left w:val="single" w:color="B7C3D6" w:sz="4"/>
              <w:bottom w:val="single" w:color="B7C3D6" w:sz="4"/>
              <w:right w:val="single" w:color="B7C3D6" w:sz="4"/>
            </w:tcBorders>
            <w:shd w:fill="F3F6FB" w:val="clear"/>
            <w:tcMar>
              <w:top w:type="dxa" w:w="40"/>
              <w:left w:type="dxa" w:w="90"/>
              <w:bottom w:type="dxa" w:w="40"/>
              <w:right w:type="dxa" w:w="90"/>
            </w:tcMar>
            <w:vAlign w:val="center"/>
          </w:tcPr>
          <w:p>
            <w:pPr>
              <w:spacing w:after="10" w:before="10" w:line="270"/>
            </w:pPr>
            <w:r>
              <w:rPr>
                <w:rFonts w:ascii="Calibri" w:cs="Calibri" w:eastAsia="Calibri" w:hAnsi="Calibri"/>
                <w:b/>
                <w:bCs/>
                <w:i w:val="false"/>
                <w:iCs w:val="false"/>
                <w:color w:val="222222"/>
                <w:sz w:val="17"/>
                <w:szCs w:val="17"/>
              </w:rPr>
              <w:t xml:space="preserve">Product Owner (IT) mit Run-Team</w:t>
            </w:r>
          </w:p>
        </w:tc>
        <w:tc>
          <w:tcPr>
            <w:tcW w:type="dxa" w:w="7406"/>
            <w:tcBorders>
              <w:top w:val="single" w:color="B7C3D6" w:sz="4"/>
              <w:left w:val="single" w:color="B7C3D6" w:sz="4"/>
              <w:bottom w:val="single" w:color="B7C3D6" w:sz="4"/>
              <w:right w:val="single" w:color="B7C3D6" w:sz="4"/>
            </w:tcBorders>
            <w:shd w:fill="F3F6FB" w:val="clear"/>
            <w:tcMar>
              <w:top w:type="dxa" w:w="40"/>
              <w:left w:type="dxa" w:w="90"/>
              <w:bottom w:type="dxa" w:w="40"/>
              <w:right w:type="dxa" w:w="90"/>
            </w:tcMar>
            <w:vAlign w:val="center"/>
          </w:tcPr>
          <w:p>
            <w:pPr>
              <w:spacing w:after="10" w:before="10" w:line="270"/>
            </w:pPr>
            <w:r>
              <w:rPr>
                <w:rFonts w:ascii="Calibri" w:cs="Calibri" w:eastAsia="Calibri" w:hAnsi="Calibri"/>
                <w:b w:val="false"/>
                <w:bCs w:val="false"/>
                <w:i w:val="false"/>
                <w:iCs w:val="false"/>
                <w:color w:val="333333"/>
                <w:sz w:val="17"/>
                <w:szCs w:val="17"/>
              </w:rPr>
              <w:t xml:space="preserve">Ist verantwortlich für den technischen Betrieb (Verfügbarkeit, SLA gemäß Betriebsübergabe-Dokument), für Implementierung und ununterbrochene Verfügbarkeit der Telemetrie (Schwelle S6), für die Bestätigung der TCO-Ist-Werte im Value One-Pager, für die Bearbeitung der Eskalationsschwellen S1, S2, S5, S6 und für die Durchführung des Decommissionings.</w:t>
            </w:r>
          </w:p>
        </w:tc>
      </w:tr>
      <w:tr>
        <w:trPr>
          <w:cantSplit/>
        </w:trPr>
        <w:tc>
          <w:tcPr>
            <w:tcW w:type="dxa" w:w="2700"/>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line="270"/>
            </w:pPr>
            <w:r>
              <w:rPr>
                <w:rFonts w:ascii="Calibri" w:cs="Calibri" w:eastAsia="Calibri" w:hAnsi="Calibri"/>
                <w:b/>
                <w:bCs/>
                <w:i w:val="false"/>
                <w:iCs w:val="false"/>
                <w:color w:val="222222"/>
                <w:sz w:val="17"/>
                <w:szCs w:val="17"/>
              </w:rPr>
              <w:t xml:space="preserve">Center of Excellence AI (CoE AI)</w:t>
            </w:r>
          </w:p>
        </w:tc>
        <w:tc>
          <w:tcPr>
            <w:tcW w:type="dxa" w:w="7406"/>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line="270"/>
            </w:pPr>
            <w:r>
              <w:rPr>
                <w:rFonts w:ascii="Calibri" w:cs="Calibri" w:eastAsia="Calibri" w:hAnsi="Calibri"/>
                <w:b w:val="false"/>
                <w:bCs w:val="false"/>
                <w:i w:val="false"/>
                <w:iCs w:val="false"/>
                <w:color w:val="333333"/>
                <w:sz w:val="17"/>
                <w:szCs w:val="17"/>
              </w:rPr>
              <w:t xml:space="preserve">Ist verantwortlich für den Reuse-Check vor jeder Neuentwicklung, für die Telemetrie-Abnahme am Go-Live-Gate G2, für Scaling-Assessments (max. 4 Wochen), für Betrieb und jährlichen Review der Registry, für die Baseline-Revalidierung bei Lösungen mit Vollkosten über 100 k€ p.a., für die Pflicht-Reviews bei Schwelle S2 sowie für die Feststellung und Eskalation von Verstößen gemäß Abschnitt 9.0.</w:t>
            </w:r>
          </w:p>
        </w:tc>
      </w:tr>
      <w:tr>
        <w:trPr>
          <w:cantSplit/>
        </w:trPr>
        <w:tc>
          <w:tcPr>
            <w:tcW w:type="dxa" w:w="2700"/>
            <w:tcBorders>
              <w:top w:val="single" w:color="B7C3D6" w:sz="4"/>
              <w:left w:val="single" w:color="B7C3D6" w:sz="4"/>
              <w:bottom w:val="single" w:color="B7C3D6" w:sz="4"/>
              <w:right w:val="single" w:color="B7C3D6" w:sz="4"/>
            </w:tcBorders>
            <w:shd w:fill="F3F6FB" w:val="clear"/>
            <w:tcMar>
              <w:top w:type="dxa" w:w="40"/>
              <w:left w:type="dxa" w:w="90"/>
              <w:bottom w:type="dxa" w:w="40"/>
              <w:right w:type="dxa" w:w="90"/>
            </w:tcMar>
            <w:vAlign w:val="center"/>
          </w:tcPr>
          <w:p>
            <w:pPr>
              <w:spacing w:after="10" w:before="10" w:line="270"/>
            </w:pPr>
            <w:r>
              <w:rPr>
                <w:rFonts w:ascii="Calibri" w:cs="Calibri" w:eastAsia="Calibri" w:hAnsi="Calibri"/>
                <w:b/>
                <w:bCs/>
                <w:i w:val="false"/>
                <w:iCs w:val="false"/>
                <w:color w:val="222222"/>
                <w:sz w:val="17"/>
                <w:szCs w:val="17"/>
              </w:rPr>
              <w:t xml:space="preserve">AI Portfolio Board</w:t>
            </w:r>
          </w:p>
        </w:tc>
        <w:tc>
          <w:tcPr>
            <w:tcW w:type="dxa" w:w="7406"/>
            <w:tcBorders>
              <w:top w:val="single" w:color="B7C3D6" w:sz="4"/>
              <w:left w:val="single" w:color="B7C3D6" w:sz="4"/>
              <w:bottom w:val="single" w:color="B7C3D6" w:sz="4"/>
              <w:right w:val="single" w:color="B7C3D6" w:sz="4"/>
            </w:tcBorders>
            <w:shd w:fill="F3F6FB" w:val="clear"/>
            <w:tcMar>
              <w:top w:type="dxa" w:w="40"/>
              <w:left w:type="dxa" w:w="90"/>
              <w:bottom w:type="dxa" w:w="40"/>
              <w:right w:type="dxa" w:w="90"/>
            </w:tcMar>
            <w:vAlign w:val="center"/>
          </w:tcPr>
          <w:p>
            <w:pPr>
              <w:spacing w:after="10" w:before="10"/>
            </w:pPr>
            <w:r>
              <w:rPr>
                <w:rFonts w:ascii="Calibri" w:cs="Calibri" w:eastAsia="Calibri" w:hAnsi="Calibri"/>
                <w:b w:val="false"/>
                <w:bCs w:val="false"/>
                <w:i w:val="false"/>
                <w:iCs w:val="false"/>
                <w:color w:val="333333"/>
                <w:sz w:val="17"/>
                <w:szCs w:val="17"/>
              </w:rPr>
              <w:t xml:space="preserve">Geht aus dem bestehenden AI Synergy Board hervor, erweitert um einen stimmberechtigten Sitz des Konzern-Controllings/CFO-Office </w:t>
            </w:r>
            <w:r>
              <w:rPr>
                <w:rFonts w:ascii="Calibri" w:cs="Calibri" w:eastAsia="Calibri" w:hAnsi="Calibri"/>
                <w:b/>
                <w:bCs/>
                <w:color w:val="A33232"/>
                <w:sz w:val="17"/>
                <w:szCs w:val="17"/>
              </w:rPr>
              <w:t xml:space="preserve">[DECISION NEEDED: Benennung des stimmberechtigten Mitglieds Controlling/CFO-Office – durch das CFO-Ressort]</w:t>
            </w:r>
            <w:r>
              <w:rPr>
                <w:rFonts w:ascii="Calibri" w:cs="Calibri" w:eastAsia="Calibri" w:hAnsi="Calibri"/>
                <w:b w:val="false"/>
                <w:bCs w:val="false"/>
                <w:i w:val="false"/>
                <w:iCs w:val="false"/>
                <w:color w:val="333333"/>
                <w:sz w:val="17"/>
                <w:szCs w:val="17"/>
              </w:rPr>
              <w:t xml:space="preserve">. Ist verantwortlich für die Priorisierung neuer Cases (G1), die Ampelvergabe im Quartals-Value-Review (G3), Rollout-Beschlüsse (G4), Kill-Beschlüsse (G5), Waiver-Entscheidungen (Abschnitt 8.0), Änderungen des Nenners der berechtigten Nutzer sowie Freigaben von Änderungen an den mitgeltenden Standards. Das Abschaltmandat des Boards erfordert einen Vorstandsbeschluss </w:t>
            </w:r>
            <w:r>
              <w:rPr>
                <w:rFonts w:ascii="Calibri" w:cs="Calibri" w:eastAsia="Calibri" w:hAnsi="Calibri"/>
                <w:b/>
                <w:bCs/>
                <w:color w:val="A33232"/>
                <w:sz w:val="17"/>
                <w:szCs w:val="17"/>
              </w:rPr>
              <w:t xml:space="preserve">[DECISION NEEDED: Vorstandsbeschluss zum Abschaltmandat – Datum und Beschluss-Nr. nachzutragen]</w:t>
            </w:r>
            <w:r>
              <w:rPr>
                <w:rFonts w:ascii="Calibri" w:cs="Calibri" w:eastAsia="Calibri" w:hAnsi="Calibri"/>
                <w:b w:val="false"/>
                <w:bCs w:val="false"/>
                <w:i w:val="false"/>
                <w:iCs w:val="false"/>
                <w:color w:val="333333"/>
                <w:sz w:val="17"/>
                <w:szCs w:val="17"/>
              </w:rPr>
              <w:t xml:space="preserve">. Die Scaling-Prüfung erfolgreicher Lösungen hat in der Tagesordnung Vorrang vor der Priorisierung neuer Ideen. </w:t>
            </w:r>
            <w:r>
              <w:rPr>
                <w:rFonts w:ascii="Calibri" w:cs="Calibri" w:eastAsia="Calibri" w:hAnsi="Calibri"/>
                <w:b/>
                <w:bCs/>
                <w:color w:val="A33232"/>
                <w:sz w:val="17"/>
                <w:szCs w:val="17"/>
              </w:rPr>
              <w:t xml:space="preserve">[DECISION NEEDED: Geschäftsordnung des AI Portfolio Boards (Zusammensetzung, Beschlussfähigkeit, Stimmrechte, Sitzungsfrequenz) – im Zuge der Board-Konstituierung festzulegen]</w:t>
            </w:r>
          </w:p>
        </w:tc>
      </w:tr>
      <w:tr>
        <w:trPr>
          <w:cantSplit/>
        </w:trPr>
        <w:tc>
          <w:tcPr>
            <w:tcW w:type="dxa" w:w="2700"/>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line="270"/>
            </w:pPr>
            <w:r>
              <w:rPr>
                <w:rFonts w:ascii="Calibri" w:cs="Calibri" w:eastAsia="Calibri" w:hAnsi="Calibri"/>
                <w:b/>
                <w:bCs/>
                <w:i w:val="false"/>
                <w:iCs w:val="false"/>
                <w:color w:val="222222"/>
                <w:sz w:val="17"/>
                <w:szCs w:val="17"/>
              </w:rPr>
              <w:t xml:space="preserve">Konzern-Controlling</w:t>
            </w:r>
          </w:p>
        </w:tc>
        <w:tc>
          <w:tcPr>
            <w:tcW w:type="dxa" w:w="7406"/>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pPr>
            <w:r>
              <w:rPr>
                <w:rFonts w:ascii="Calibri" w:cs="Calibri" w:eastAsia="Calibri" w:hAnsi="Calibri"/>
                <w:b w:val="false"/>
                <w:bCs w:val="false"/>
                <w:i w:val="false"/>
                <w:iCs w:val="false"/>
                <w:color w:val="333333"/>
                <w:sz w:val="17"/>
                <w:szCs w:val="17"/>
              </w:rPr>
              <w:t xml:space="preserve">Legt die Vollkostensätze je Funktionsgruppe verbindlich fest und pflegt sie zentral; projektindividuelle Sätze sind unzulässig. </w:t>
            </w:r>
            <w:r>
              <w:rPr>
                <w:rFonts w:ascii="Calibri" w:cs="Calibri" w:eastAsia="Calibri" w:hAnsi="Calibri"/>
                <w:b/>
                <w:bCs/>
                <w:color w:val="A33232"/>
                <w:sz w:val="17"/>
                <w:szCs w:val="17"/>
              </w:rPr>
              <w:t xml:space="preserve">[DECISION NEEDED: Liste der Vollkostensätze je Funktionsgruppe – durch Konzern-Controlling bereitzustellen]</w:t>
            </w:r>
          </w:p>
        </w:tc>
      </w:tr>
      <w:tr>
        <w:trPr>
          <w:cantSplit/>
        </w:trPr>
        <w:tc>
          <w:tcPr>
            <w:tcW w:type="dxa" w:w="2700"/>
            <w:tcBorders>
              <w:top w:val="single" w:color="B7C3D6" w:sz="4"/>
              <w:left w:val="single" w:color="B7C3D6" w:sz="4"/>
              <w:bottom w:val="single" w:color="B7C3D6" w:sz="4"/>
              <w:right w:val="single" w:color="B7C3D6" w:sz="4"/>
            </w:tcBorders>
            <w:shd w:fill="F3F6FB" w:val="clear"/>
            <w:tcMar>
              <w:top w:type="dxa" w:w="40"/>
              <w:left w:type="dxa" w:w="90"/>
              <w:bottom w:type="dxa" w:w="40"/>
              <w:right w:type="dxa" w:w="90"/>
            </w:tcMar>
            <w:vAlign w:val="center"/>
          </w:tcPr>
          <w:p>
            <w:pPr>
              <w:spacing w:after="10" w:before="10" w:line="270"/>
            </w:pPr>
            <w:r>
              <w:rPr>
                <w:rFonts w:ascii="Calibri" w:cs="Calibri" w:eastAsia="Calibri" w:hAnsi="Calibri"/>
                <w:b/>
                <w:bCs/>
                <w:i w:val="false"/>
                <w:iCs w:val="false"/>
                <w:color w:val="222222"/>
                <w:sz w:val="17"/>
                <w:szCs w:val="17"/>
              </w:rPr>
              <w:t xml:space="preserve">Bereich Data &amp; AI</w:t>
            </w:r>
          </w:p>
        </w:tc>
        <w:tc>
          <w:tcPr>
            <w:tcW w:type="dxa" w:w="7406"/>
            <w:tcBorders>
              <w:top w:val="single" w:color="B7C3D6" w:sz="4"/>
              <w:left w:val="single" w:color="B7C3D6" w:sz="4"/>
              <w:bottom w:val="single" w:color="B7C3D6" w:sz="4"/>
              <w:right w:val="single" w:color="B7C3D6" w:sz="4"/>
            </w:tcBorders>
            <w:shd w:fill="F3F6FB" w:val="clear"/>
            <w:tcMar>
              <w:top w:type="dxa" w:w="40"/>
              <w:left w:type="dxa" w:w="90"/>
              <w:bottom w:type="dxa" w:w="40"/>
              <w:right w:type="dxa" w:w="90"/>
            </w:tcMar>
            <w:vAlign w:val="center"/>
          </w:tcPr>
          <w:p>
            <w:pPr>
              <w:spacing w:after="10" w:before="10"/>
            </w:pPr>
            <w:r>
              <w:rPr>
                <w:rFonts w:ascii="Calibri" w:cs="Calibri" w:eastAsia="Calibri" w:hAnsi="Calibri"/>
                <w:b w:val="false"/>
                <w:bCs w:val="false"/>
                <w:i w:val="false"/>
                <w:iCs w:val="false"/>
                <w:color w:val="333333"/>
                <w:sz w:val="17"/>
                <w:szCs w:val="17"/>
              </w:rPr>
              <w:t xml:space="preserve">Betreibt den zentralen Telemetrie-Store und das ROI-Dashboard; das ROI-Dashboard liest ausschließlich aus dem zentralen Store und befüllt die Value One-Pager automatisch vor. </w:t>
            </w:r>
            <w:r>
              <w:rPr>
                <w:rFonts w:ascii="Calibri" w:cs="Calibri" w:eastAsia="Calibri" w:hAnsi="Calibri"/>
                <w:b/>
                <w:bCs/>
                <w:color w:val="A33232"/>
                <w:sz w:val="17"/>
                <w:szCs w:val="17"/>
              </w:rPr>
              <w:t xml:space="preserve">[DECISION NEEDED: Technischer Owner des zentralen Telemetrie-Stores und des ROI-Dashboards – durch die Bereichsleitung Data &amp; AI zu benennen]</w:t>
            </w:r>
            <w:r>
              <w:rPr>
                <w:rFonts w:ascii="Calibri" w:cs="Calibri" w:eastAsia="Calibri" w:hAnsi="Calibri"/>
                <w:b w:val="false"/>
                <w:bCs w:val="false"/>
                <w:i w:val="false"/>
                <w:iCs w:val="false"/>
                <w:color w:val="333333"/>
                <w:sz w:val="17"/>
                <w:szCs w:val="17"/>
              </w:rPr>
              <w:t xml:space="preserve"> Der Salt für die Pseudonymisierung liegt ausschließlich bei der IT. </w:t>
            </w:r>
            <w:r>
              <w:rPr>
                <w:rFonts w:ascii="Calibri" w:cs="Calibri" w:eastAsia="Calibri" w:hAnsi="Calibri"/>
                <w:b/>
                <w:bCs/>
                <w:color w:val="A33232"/>
                <w:sz w:val="17"/>
                <w:szCs w:val="17"/>
              </w:rPr>
              <w:t xml:space="preserve">[DECISION NEEDED: Verantwortliche Stelle für die Salt-Verwahrung innerhalb der IT – durch die IT-Leitung zu benennen]</w:t>
            </w:r>
          </w:p>
        </w:tc>
      </w:tr>
      <w:tr>
        <w:trPr>
          <w:cantSplit/>
        </w:trPr>
        <w:tc>
          <w:tcPr>
            <w:tcW w:type="dxa" w:w="2700"/>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line="270"/>
            </w:pPr>
            <w:r>
              <w:rPr>
                <w:rFonts w:ascii="Calibri" w:cs="Calibri" w:eastAsia="Calibri" w:hAnsi="Calibri"/>
                <w:b/>
                <w:bCs/>
                <w:i w:val="false"/>
                <w:iCs w:val="false"/>
                <w:color w:val="222222"/>
                <w:sz w:val="17"/>
                <w:szCs w:val="17"/>
              </w:rPr>
              <w:t xml:space="preserve">Bereichsleiter der zahlenden Business Unit</w:t>
            </w:r>
          </w:p>
        </w:tc>
        <w:tc>
          <w:tcPr>
            <w:tcW w:type="dxa" w:w="7406"/>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line="270"/>
            </w:pPr>
            <w:r>
              <w:rPr>
                <w:rFonts w:ascii="Calibri" w:cs="Calibri" w:eastAsia="Calibri" w:hAnsi="Calibri"/>
                <w:b w:val="false"/>
                <w:bCs w:val="false"/>
                <w:i w:val="false"/>
                <w:iCs w:val="false"/>
                <w:color w:val="333333"/>
                <w:sz w:val="17"/>
                <w:szCs w:val="17"/>
              </w:rPr>
              <w:t xml:space="preserve">Trägt die Vollkosten der Lösung über die BU-Verrechnung. Muss den Remediation-Plan bei einer Kill-Verlängerung gegenzeichnen. Hat im Kill-Verfahren Rederecht, aber kein Vetorecht.</w:t>
            </w:r>
          </w:p>
        </w:tc>
      </w:tr>
      <w:tr>
        <w:trPr>
          <w:cantSplit/>
        </w:trPr>
        <w:tc>
          <w:tcPr>
            <w:tcW w:type="dxa" w:w="2700"/>
            <w:tcBorders>
              <w:top w:val="single" w:color="B7C3D6" w:sz="4"/>
              <w:left w:val="single" w:color="B7C3D6" w:sz="4"/>
              <w:bottom w:val="single" w:color="B7C3D6" w:sz="4"/>
              <w:right w:val="single" w:color="B7C3D6" w:sz="4"/>
            </w:tcBorders>
            <w:shd w:fill="F3F6FB" w:val="clear"/>
            <w:tcMar>
              <w:top w:type="dxa" w:w="40"/>
              <w:left w:type="dxa" w:w="90"/>
              <w:bottom w:type="dxa" w:w="40"/>
              <w:right w:type="dxa" w:w="90"/>
            </w:tcMar>
            <w:vAlign w:val="center"/>
          </w:tcPr>
          <w:p>
            <w:pPr>
              <w:spacing w:after="10" w:before="10" w:line="270"/>
            </w:pPr>
            <w:r>
              <w:rPr>
                <w:rFonts w:ascii="Calibri" w:cs="Calibri" w:eastAsia="Calibri" w:hAnsi="Calibri"/>
                <w:b/>
                <w:bCs/>
                <w:i w:val="false"/>
                <w:iCs w:val="false"/>
                <w:color w:val="222222"/>
                <w:sz w:val="17"/>
                <w:szCs w:val="17"/>
              </w:rPr>
              <w:t xml:space="preserve">IT-Ausschuss (Betriebsrat)</w:t>
            </w:r>
          </w:p>
        </w:tc>
        <w:tc>
          <w:tcPr>
            <w:tcW w:type="dxa" w:w="7406"/>
            <w:tcBorders>
              <w:top w:val="single" w:color="B7C3D6" w:sz="4"/>
              <w:left w:val="single" w:color="B7C3D6" w:sz="4"/>
              <w:bottom w:val="single" w:color="B7C3D6" w:sz="4"/>
              <w:right w:val="single" w:color="B7C3D6" w:sz="4"/>
            </w:tcBorders>
            <w:shd w:fill="F3F6FB" w:val="clear"/>
            <w:tcMar>
              <w:top w:type="dxa" w:w="40"/>
              <w:left w:type="dxa" w:w="90"/>
              <w:bottom w:type="dxa" w:w="40"/>
              <w:right w:type="dxa" w:w="90"/>
            </w:tcMar>
            <w:vAlign w:val="center"/>
          </w:tcPr>
          <w:p>
            <w:pPr>
              <w:spacing w:after="10" w:before="10" w:line="270"/>
            </w:pPr>
            <w:r>
              <w:rPr>
                <w:rFonts w:ascii="Calibri" w:cs="Calibri" w:eastAsia="Calibri" w:hAnsi="Calibri"/>
                <w:b w:val="false"/>
                <w:bCs w:val="false"/>
                <w:i w:val="false"/>
                <w:iCs w:val="false"/>
                <w:color w:val="333333"/>
                <w:sz w:val="17"/>
                <w:szCs w:val="17"/>
              </w:rPr>
              <w:t xml:space="preserve">Stimmt der Rahmenvereinbarung über das Telemetrie-Event-Schema zu und entscheidet über Einzelfreigaben bei Abweichungen vom Schema. Muss über jede Einführung von KI-Systemen gemäß bestehendem AI Ideation Process informiert werden und zustimmen.</w:t>
            </w:r>
          </w:p>
        </w:tc>
      </w:tr>
      <w:tr>
        <w:trPr>
          <w:cantSplit/>
        </w:trPr>
        <w:tc>
          <w:tcPr>
            <w:tcW w:type="dxa" w:w="2700"/>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line="270"/>
            </w:pPr>
            <w:r>
              <w:rPr>
                <w:rFonts w:ascii="Calibri" w:cs="Calibri" w:eastAsia="Calibri" w:hAnsi="Calibri"/>
                <w:b/>
                <w:bCs/>
                <w:i w:val="false"/>
                <w:iCs w:val="false"/>
                <w:color w:val="222222"/>
                <w:sz w:val="17"/>
                <w:szCs w:val="17"/>
              </w:rPr>
              <w:t xml:space="preserve">Datenschutz</w:t>
            </w:r>
          </w:p>
        </w:tc>
        <w:tc>
          <w:tcPr>
            <w:tcW w:type="dxa" w:w="7406"/>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line="270"/>
            </w:pPr>
            <w:r>
              <w:rPr>
                <w:rFonts w:ascii="Calibri" w:cs="Calibri" w:eastAsia="Calibri" w:hAnsi="Calibri"/>
                <w:b w:val="false"/>
                <w:bCs w:val="false"/>
                <w:i w:val="false"/>
                <w:iCs w:val="false"/>
                <w:color w:val="333333"/>
                <w:sz w:val="17"/>
                <w:szCs w:val="17"/>
              </w:rPr>
              <w:t xml:space="preserve">Führt Schwellwertanalyse/DSFA gemäß AI Ideation Process durch, bestätigt die Datenschutz-Konformität der Telemetrie (Gate G2, Prüfpunkt 4) und zeichnet den Decommissioning-Nachweis gegen (Löschplan).</w:t>
            </w:r>
          </w:p>
        </w:tc>
      </w:tr>
      <w:tr>
        <w:trPr>
          <w:cantSplit/>
        </w:trPr>
        <w:tc>
          <w:tcPr>
            <w:tcW w:type="dxa" w:w="2700"/>
            <w:tcBorders>
              <w:top w:val="single" w:color="B7C3D6" w:sz="4"/>
              <w:left w:val="single" w:color="B7C3D6" w:sz="4"/>
              <w:bottom w:val="single" w:color="B7C3D6" w:sz="4"/>
              <w:right w:val="single" w:color="B7C3D6" w:sz="4"/>
            </w:tcBorders>
            <w:shd w:fill="F3F6FB" w:val="clear"/>
            <w:tcMar>
              <w:top w:type="dxa" w:w="40"/>
              <w:left w:type="dxa" w:w="90"/>
              <w:bottom w:type="dxa" w:w="40"/>
              <w:right w:type="dxa" w:w="90"/>
            </w:tcMar>
            <w:vAlign w:val="center"/>
          </w:tcPr>
          <w:p>
            <w:pPr>
              <w:spacing w:after="10" w:before="10" w:line="270"/>
            </w:pPr>
            <w:r>
              <w:rPr>
                <w:rFonts w:ascii="Calibri" w:cs="Calibri" w:eastAsia="Calibri" w:hAnsi="Calibri"/>
                <w:b/>
                <w:bCs/>
                <w:i w:val="false"/>
                <w:iCs w:val="false"/>
                <w:color w:val="222222"/>
                <w:sz w:val="17"/>
                <w:szCs w:val="17"/>
              </w:rPr>
              <w:t xml:space="preserve">KI &amp; Information Governance</w:t>
            </w:r>
          </w:p>
        </w:tc>
        <w:tc>
          <w:tcPr>
            <w:tcW w:type="dxa" w:w="7406"/>
            <w:tcBorders>
              <w:top w:val="single" w:color="B7C3D6" w:sz="4"/>
              <w:left w:val="single" w:color="B7C3D6" w:sz="4"/>
              <w:bottom w:val="single" w:color="B7C3D6" w:sz="4"/>
              <w:right w:val="single" w:color="B7C3D6" w:sz="4"/>
            </w:tcBorders>
            <w:shd w:fill="F3F6FB" w:val="clear"/>
            <w:tcMar>
              <w:top w:type="dxa" w:w="40"/>
              <w:left w:type="dxa" w:w="90"/>
              <w:bottom w:type="dxa" w:w="40"/>
              <w:right w:type="dxa" w:w="90"/>
            </w:tcMar>
            <w:vAlign w:val="center"/>
          </w:tcPr>
          <w:p>
            <w:pPr>
              <w:spacing w:after="10" w:before="10" w:line="270"/>
            </w:pPr>
            <w:r>
              <w:rPr>
                <w:rFonts w:ascii="Calibri" w:cs="Calibri" w:eastAsia="Calibri" w:hAnsi="Calibri"/>
                <w:b w:val="false"/>
                <w:bCs w:val="false"/>
                <w:i w:val="false"/>
                <w:iCs w:val="false"/>
                <w:color w:val="333333"/>
                <w:sz w:val="17"/>
                <w:szCs w:val="17"/>
              </w:rPr>
              <w:t xml:space="preserve">Nimmt die Meldung jedes KI-Anwendungsfalls entgegen, trifft die Kritikalitätseinschätzung und erteilt die PoC-Freigabe gemäß bestehendem AI Ideation Process (Gate G1).</w:t>
            </w:r>
          </w:p>
        </w:tc>
      </w:tr>
    </w:tbl>
    <w:p>
      <w:pPr>
        <w:pBdr>
          <w:bottom w:val="single" w:color="1F3864" w:sz="8" w:space="2"/>
        </w:pBdr>
        <w:spacing w:after="100" w:before="240"/>
      </w:pPr>
      <w:r>
        <w:rPr>
          <w:rFonts w:ascii="Calibri" w:cs="Calibri" w:eastAsia="Calibri" w:hAnsi="Calibri"/>
          <w:b/>
          <w:bCs/>
          <w:i w:val="false"/>
          <w:iCs w:val="false"/>
          <w:color w:val="1F3864"/>
          <w:sz w:val="24"/>
          <w:szCs w:val="24"/>
        </w:rPr>
        <w:t xml:space="preserve">5.0  Der E2E AI Lifecycle Process</w:t>
      </w:r>
    </w:p>
    <w:p>
      <w:pPr>
        <w:spacing w:after="60" w:before="160"/>
      </w:pPr>
      <w:r>
        <w:rPr>
          <w:rFonts w:ascii="Calibri" w:cs="Calibri" w:eastAsia="Calibri" w:hAnsi="Calibri"/>
          <w:b/>
          <w:bCs/>
          <w:i w:val="false"/>
          <w:iCs w:val="false"/>
          <w:color w:val="2E5B9F"/>
          <w:sz w:val="20"/>
          <w:szCs w:val="20"/>
        </w:rPr>
        <w:t xml:space="preserve">5.1  Phase 1 – Ideation &amp; PoC</w:t>
      </w:r>
    </w:p>
    <w:p>
      <w:pPr>
        <w:spacing w:after="80" w:before="20" w:line="270"/>
      </w:pPr>
      <w:r>
        <w:rPr>
          <w:rFonts w:ascii="Calibri" w:cs="Calibri" w:eastAsia="Calibri" w:hAnsi="Calibri"/>
          <w:b w:val="false"/>
          <w:bCs w:val="false"/>
          <w:i w:val="false"/>
          <w:iCs w:val="false"/>
          <w:color w:val="222222"/>
          <w:sz w:val="19"/>
          <w:szCs w:val="19"/>
        </w:rPr>
        <w:t xml:space="preserve">Jeder KI-Anwendungsfall muss im AI-Use-Case-Inventar registriert und an KI &amp; Information Governance gemeldet werden. Der Business Case muss enthalten: (a) eine reale Baseline-Messung der Vorgangsdauer vor PoC-Start (mindestens 20 Vorgänge oder zwei Wochen Selbstaufschreibung; Methode und Rohdaten dokumentiert), (b) vom Einreicher definierte Exit-Kriterien (Ziel-Adoption, Ziel-ROI, Zeitpunkte), (c) das Ergebnis des Reuse-Checks gegen die Registry. Eine Ablehnung verfügbarer R3+-Komponenten muss technisch begründet sein; unbegründete Ablehnungen darf das AI Portfolio Board nicht akzeptieren. Baseline und berechtigte Nutzer werden mit Genehmigung eingefroren. Die Assessments des bestehenden AI Ideation Process (Abstimmung Datenschutz, Abstimmung KI &amp; Information Governance) müssen in dieser Phase durchlaufen werden.</w:t>
      </w:r>
    </w:p>
    <w:p>
      <w:pPr>
        <w:spacing w:after="60" w:before="160"/>
      </w:pPr>
      <w:r>
        <w:rPr>
          <w:rFonts w:ascii="Calibri" w:cs="Calibri" w:eastAsia="Calibri" w:hAnsi="Calibri"/>
          <w:b/>
          <w:bCs/>
          <w:i w:val="false"/>
          <w:iCs w:val="false"/>
          <w:color w:val="2E5B9F"/>
          <w:sz w:val="20"/>
          <w:szCs w:val="20"/>
        </w:rPr>
        <w:t xml:space="preserve">5.2  Phase 2 – Deployment &amp; Integration</w:t>
      </w:r>
    </w:p>
    <w:p>
      <w:pPr>
        <w:spacing w:after="80" w:before="20" w:line="270"/>
      </w:pPr>
      <w:r>
        <w:rPr>
          <w:rFonts w:ascii="Calibri" w:cs="Calibri" w:eastAsia="Calibri" w:hAnsi="Calibri"/>
          <w:b w:val="false"/>
          <w:bCs w:val="false"/>
          <w:i w:val="false"/>
          <w:iCs w:val="false"/>
          <w:color w:val="222222"/>
          <w:sz w:val="19"/>
          <w:szCs w:val="19"/>
        </w:rPr>
        <w:t xml:space="preserve">Vor Go-Live müssen abgeschlossen sein: Risk &amp; Impact Assessment, Abstimmung mit dem IT-Ausschuss, Eintrag im Verzeichnis von Verarbeitungstätigkeiten, Registrierung im Application Inventory, Durchlauf des Application Navigators (gemäß AI Ideation Process) sowie zusätzlich: (a) die Telemetrie-Abnahme durch das CoE AI gemäß Minimal-Telemetrie-Standard Abschnitt 6 (Gate G2) – ohne Abnahme darf kein Go-Live erfolgen; (b) das TCO-Sheet mit den Plan-Vollkosten p.a., gegengezeichnet durch den Bereichsleiter der zahlenden Business Unit; (c) das Betriebsübergabe-Dokument mit namentlicher Benennung von AI Solution Owner und Product Owner; (d) die Adoption-Pflichtmaßnahmen der Phase „Vor Go-Live“ gemäß Adoption-Standard (Prozessverankerung, Champions, Erwartungsmanagement); (e) die Markierung von Extraktionskandidaten für die Registry.</w:t>
      </w:r>
    </w:p>
    <w:p>
      <w:pPr>
        <w:spacing w:after="60" w:before="160"/>
      </w:pPr>
      <w:r>
        <w:rPr>
          <w:rFonts w:ascii="Calibri" w:cs="Calibri" w:eastAsia="Calibri" w:hAnsi="Calibri"/>
          <w:b/>
          <w:bCs/>
          <w:i w:val="false"/>
          <w:iCs w:val="false"/>
          <w:color w:val="2E5B9F"/>
          <w:sz w:val="20"/>
          <w:szCs w:val="20"/>
        </w:rPr>
        <w:t xml:space="preserve">5.3  Phase 3 – Operations &amp; Monitoring</w:t>
      </w:r>
    </w:p>
    <w:p>
      <w:pPr>
        <w:spacing w:after="80" w:before="20" w:line="270"/>
      </w:pPr>
      <w:r>
        <w:rPr>
          <w:rFonts w:ascii="Calibri" w:cs="Calibri" w:eastAsia="Calibri" w:hAnsi="Calibri"/>
          <w:b w:val="false"/>
          <w:bCs w:val="false"/>
          <w:i w:val="false"/>
          <w:iCs w:val="false"/>
          <w:color w:val="222222"/>
          <w:sz w:val="19"/>
          <w:szCs w:val="19"/>
        </w:rPr>
        <w:t xml:space="preserve">Das technische Monitoring (Verfügbarkeit, Latenz, Fehlerrate, Drift, Kosten pro Vorgang) verantwortet der Product Owner; das fachliche Monitoring (WAU, Nutzungstiefe, Annahmequote) verantwortet der AI Solution Owner. Die zahlende Business Unit muss monatlich einen automatisierten Kostenreport (Kosten, aktive Nutzer, Cost per Active User) erhalten. Die Eskalationsschwellen S1–S6 gemäß Minimal-Telemetrie-Standard Abschnitt 5 müssen mit Alert-Empfängern konfiguriert sein und lösen die dort definierten Pflicht-Aktionen aus. Lösungsindividuelle Schatten-Dashboards dürfen nicht als Grundlage für Value Reviews verwendet werden.</w:t>
      </w:r>
    </w:p>
    <w:p>
      <w:pPr>
        <w:spacing w:after="60" w:before="160"/>
      </w:pPr>
      <w:r>
        <w:rPr>
          <w:rFonts w:ascii="Calibri" w:cs="Calibri" w:eastAsia="Calibri" w:hAnsi="Calibri"/>
          <w:b/>
          <w:bCs/>
          <w:i w:val="false"/>
          <w:iCs w:val="false"/>
          <w:color w:val="2E5B9F"/>
          <w:sz w:val="20"/>
          <w:szCs w:val="20"/>
        </w:rPr>
        <w:t xml:space="preserve">5.4  Phase 4 – Value Tracking &amp; Scaling</w:t>
      </w:r>
    </w:p>
    <w:p>
      <w:pPr>
        <w:spacing w:after="80" w:before="20" w:line="270"/>
      </w:pPr>
      <w:r>
        <w:rPr>
          <w:rFonts w:ascii="Calibri" w:cs="Calibri" w:eastAsia="Calibri" w:hAnsi="Calibri"/>
          <w:b w:val="false"/>
          <w:bCs w:val="false"/>
          <w:i w:val="false"/>
          <w:iCs w:val="false"/>
          <w:color w:val="222222"/>
          <w:sz w:val="19"/>
          <w:szCs w:val="19"/>
        </w:rPr>
        <w:t xml:space="preserve">Jede produktive Lösung muss quartalsweise ein Value Review durchlaufen (Gate G3). Der Value One-Pager wird automatisch aus dem ROI-Dashboard vorbefüllt; AI Solution Owner und Product Owner müssen ihre Abschnitte ergänzen. Die Formeln des Value One-Pagers (Real ROI, ROI-Quote, Cost per Active User, Kosten pro Vorgang) sind verbindlich; Abweichungen sind unzulässig. Die Zeitersparnis pro Vorgang muss jährlich per Stichprobe revalidiert werden; bei Vollkosten über 100 k€ p.a. führt das CoE AI die Messung durch. Für die Adoption gilt die Rampe des Adoption-Standards (Q1–2: ≥ 30 % des Zielwerts; Q3: ≥ 60 % und ROI-Quote ≥ 0,5; ab Q4: Zielwert und ROI-Quote ≥ 1,0) einschließlich der Anti-Gaming-Regeln. Bei ROI-Quote ≥ 1,5 über zwei aufeinanderfolgende Quartale und vorliegendem Übertragbarkeitsvermerk muss das AI Portfolio Board den Scaling-Prüfpfad gemäß Registry- &amp; Scaling-Standard auslösen. Für geteilte Komponenten gelten die Verrechnungsregeln des Registry- &amp; Scaling-Standards; durch Reuse vermiedene Entwicklungskosten dürfen nicht als V2 gebucht werden. Die Kosten der Extraktion von Komponenten auf R3/R4 trägt das CoE-/Plattformbudget. </w:t>
      </w:r>
      <w:r>
        <w:rPr>
          <w:rFonts w:ascii="Calibri" w:cs="Calibri" w:eastAsia="Calibri" w:hAnsi="Calibri"/>
          <w:b/>
          <w:bCs/>
          <w:i w:val="false"/>
          <w:iCs w:val="false"/>
          <w:color w:val="A33232"/>
          <w:sz w:val="19"/>
          <w:szCs w:val="19"/>
        </w:rPr>
        <w:t xml:space="preserve">[DECISION NEEDED: Budgetträger und Budgetrahmen für Registry-Extraktionen (Plattformbudget) – durch die Geschäftsleitung festzulegen]</w:t>
      </w:r>
    </w:p>
    <w:p>
      <w:pPr>
        <w:spacing w:after="60" w:before="160"/>
      </w:pPr>
      <w:r>
        <w:rPr>
          <w:rFonts w:ascii="Calibri" w:cs="Calibri" w:eastAsia="Calibri" w:hAnsi="Calibri"/>
          <w:b/>
          <w:bCs/>
          <w:i w:val="false"/>
          <w:iCs w:val="false"/>
          <w:color w:val="2E5B9F"/>
          <w:sz w:val="20"/>
          <w:szCs w:val="20"/>
        </w:rPr>
        <w:t xml:space="preserve">5.5  Phase 5 – Decommissioning</w:t>
      </w:r>
    </w:p>
    <w:p>
      <w:pPr>
        <w:spacing w:after="80" w:before="20" w:line="270"/>
      </w:pPr>
      <w:r>
        <w:rPr>
          <w:rFonts w:ascii="Calibri" w:cs="Calibri" w:eastAsia="Calibri" w:hAnsi="Calibri"/>
          <w:b w:val="false"/>
          <w:bCs w:val="false"/>
          <w:i w:val="false"/>
          <w:iCs w:val="false"/>
          <w:color w:val="222222"/>
          <w:sz w:val="19"/>
          <w:szCs w:val="19"/>
        </w:rPr>
        <w:t xml:space="preserve">Zwei rote Quartale in Folge erzeugen automatisch einen Kill-Antrag aus dem ROI-Dashboard an das AI Portfolio Board. Der betroffene Fachbereich darf genau einmal eine Verlängerung um ein Quartal erwirken; sie erfordert einen schriftlichen Remediation-Plan, der auf der Diagnose-Matrix des Adoption-Standards aufsetzt und genau eine Hauptursache benennt, sowie die Gegenzeichnung des Bereichsleiters. Ein Plan, der ausschließlich weitere Schulungen vorsieht, erfüllt diese Anforderung nicht. Das AI Portfolio Board beschließt den Kill mit einfacher Mehrheit; der betroffene Bereichsleiter hat Rederecht, aber kein Vetorecht. Nach Kill-Beschluss muss die Abschaltung innerhalb von 90 Tagen abgeschlossen sein: Nutzerkommunikation, Datenarchivierung/-löschung gemäß Löschplan und VVV, Austragung aus Application Inventory und RIA-Register, Abbau der Ressourcen sowie Extraktion verwertbarer Komponenten in die Registry vor Abschaltung. Der Decommissioning-Nachweis muss durch den Product Owner (Ressourcen abgebaut, Kosten auf null) und den Datenschutz (Löschplan umgesetzt) gegengezeichnet werden. </w:t>
      </w:r>
      <w:r>
        <w:rPr>
          <w:rFonts w:ascii="Calibri" w:cs="Calibri" w:eastAsia="Calibri" w:hAnsi="Calibri"/>
          <w:b/>
          <w:bCs/>
          <w:i w:val="false"/>
          <w:iCs w:val="false"/>
          <w:color w:val="A33232"/>
          <w:sz w:val="19"/>
          <w:szCs w:val="19"/>
        </w:rPr>
        <w:t xml:space="preserve">[DECISION NEEDED: Abnahmeinstanz des Decommissioning-Nachweises – durch den Richtlinieneigner festzulegen; bis zur Festlegung nimmt das AI Portfolio Board den Nachweis zur Kenntnis]</w:t>
      </w:r>
    </w:p>
    <w:p>
      <w:pPr>
        <w:spacing w:after="60" w:before="160"/>
      </w:pPr>
      <w:r>
        <w:rPr>
          <w:rFonts w:ascii="Calibri" w:cs="Calibri" w:eastAsia="Calibri" w:hAnsi="Calibri"/>
          <w:b/>
          <w:bCs/>
          <w:i w:val="false"/>
          <w:iCs w:val="false"/>
          <w:color w:val="2E5B9F"/>
          <w:sz w:val="20"/>
          <w:szCs w:val="20"/>
        </w:rPr>
        <w:t xml:space="preserve">5.6  Prozessübersicht (Flowchart)</w:t>
      </w:r>
    </w:p>
    <w:p>
      <w:pPr>
        <w:spacing w:after="60" w:before="60"/>
        <w:jc w:val="center"/>
      </w:pPr>
      <w:r>
        <w:drawing>
          <wp:inline distT="0" distB="0" distL="0" distR="0">
            <wp:extent cx="5715000" cy="511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5114925"/>
                    </a:xfrm>
                    <a:prstGeom prst="rect">
                      <a:avLst/>
                    </a:prstGeom>
                  </pic:spPr>
                </pic:pic>
              </a:graphicData>
            </a:graphic>
          </wp:inline>
        </w:drawing>
      </w:r>
    </w:p>
    <w:p>
      <w:pPr>
        <w:spacing w:after="40" w:before="20" w:line="270"/>
      </w:pPr>
      <w:r>
        <w:rPr>
          <w:rFonts w:ascii="Calibri" w:cs="Calibri" w:eastAsia="Calibri" w:hAnsi="Calibri"/>
          <w:b w:val="false"/>
          <w:bCs w:val="false"/>
          <w:i w:val="false"/>
          <w:iCs w:val="false"/>
          <w:color w:val="666666"/>
          <w:sz w:val="16"/>
          <w:szCs w:val="16"/>
        </w:rPr>
        <w:t xml:space="preserve">Mermaid.js-Quellcode des Flowcharts (für die Pflege der Richtlinie im Wiki/Confluence; rendert identisch zur Abbildung):</w:t>
      </w:r>
    </w:p>
    <w:p>
      <w:pPr>
        <w:shd w:fill="F0F0F0" w:val="clear"/>
        <w:spacing w:after="0" w:before="0" w:line="240"/>
      </w:pPr>
      <w:r>
        <w:rPr>
          <w:rFonts w:ascii="Consolas" w:cs="Consolas" w:eastAsia="Consolas" w:hAnsi="Consolas"/>
          <w:color w:val="333333"/>
          <w:sz w:val="14"/>
          <w:szCs w:val="14"/>
        </w:rPr>
        <w:t xml:space="preserve">flowchart TD</w:t>
      </w:r>
    </w:p>
    <w:p>
      <w:pPr>
        <w:shd w:fill="F0F0F0" w:val="clear"/>
        <w:spacing w:after="0" w:before="0" w:line="240"/>
      </w:pPr>
      <w:r>
        <w:rPr>
          <w:rFonts w:ascii="Consolas" w:cs="Consolas" w:eastAsia="Consolas" w:hAnsi="Consolas"/>
          <w:color w:val="333333"/>
          <w:sz w:val="14"/>
          <w:szCs w:val="14"/>
        </w:rPr>
        <w:t xml:space="preserve">    P1["Phase 1: Ideation &amp; PoC&lt;br/&gt;Business Case: Baseline, Exit-Kriterien, Reuse-Check"]</w:t>
      </w:r>
    </w:p>
    <w:p>
      <w:pPr>
        <w:shd w:fill="F0F0F0" w:val="clear"/>
        <w:spacing w:after="0" w:before="0" w:line="240"/>
      </w:pPr>
      <w:r>
        <w:rPr>
          <w:rFonts w:ascii="Consolas" w:cs="Consolas" w:eastAsia="Consolas" w:hAnsi="Consolas"/>
          <w:color w:val="333333"/>
          <w:sz w:val="14"/>
          <w:szCs w:val="14"/>
        </w:rPr>
        <w:t xml:space="preserve">    G1{{"Gate G1: Priorisierung AI Portfolio Board&lt;br/&gt;PoC-Freigabe KI &amp; Information Governance"}}</w:t>
      </w:r>
    </w:p>
    <w:p>
      <w:pPr>
        <w:shd w:fill="F0F0F0" w:val="clear"/>
        <w:spacing w:after="0" w:before="0" w:line="240"/>
      </w:pPr>
      <w:r>
        <w:rPr>
          <w:rFonts w:ascii="Consolas" w:cs="Consolas" w:eastAsia="Consolas" w:hAnsi="Consolas"/>
          <w:color w:val="333333"/>
          <w:sz w:val="14"/>
          <w:szCs w:val="14"/>
        </w:rPr>
        <w:t xml:space="preserve">    P2["Phase 2: Deployment &amp; Integration&lt;br/&gt;Assessments, TCO-Sheet, Betriebsübergabe-Dokument"]</w:t>
      </w:r>
    </w:p>
    <w:p>
      <w:pPr>
        <w:shd w:fill="F0F0F0" w:val="clear"/>
        <w:spacing w:after="0" w:before="0" w:line="240"/>
      </w:pPr>
      <w:r>
        <w:rPr>
          <w:rFonts w:ascii="Consolas" w:cs="Consolas" w:eastAsia="Consolas" w:hAnsi="Consolas"/>
          <w:color w:val="333333"/>
          <w:sz w:val="14"/>
          <w:szCs w:val="14"/>
        </w:rPr>
        <w:t xml:space="preserve">    G2{{"Gate G2 Go-Live: Telemetrie-Abnahme CoE AI&lt;br/&gt;RIA, IT-Ausschuss, VVV, Application Inventory/Navigator"}}</w:t>
      </w:r>
    </w:p>
    <w:p>
      <w:pPr>
        <w:shd w:fill="F0F0F0" w:val="clear"/>
        <w:spacing w:after="0" w:before="0" w:line="240"/>
      </w:pPr>
      <w:r>
        <w:rPr>
          <w:rFonts w:ascii="Consolas" w:cs="Consolas" w:eastAsia="Consolas" w:hAnsi="Consolas"/>
          <w:color w:val="333333"/>
          <w:sz w:val="14"/>
          <w:szCs w:val="14"/>
        </w:rPr>
        <w:t xml:space="preserve">    P3["Phase 3: Operations &amp; Monitoring&lt;br/&gt;Eskalationsschwellen S1-S6, monatlicher Kostenreport"]</w:t>
      </w:r>
    </w:p>
    <w:p>
      <w:pPr>
        <w:shd w:fill="F0F0F0" w:val="clear"/>
        <w:spacing w:after="0" w:before="0" w:line="240"/>
      </w:pPr>
      <w:r>
        <w:rPr>
          <w:rFonts w:ascii="Consolas" w:cs="Consolas" w:eastAsia="Consolas" w:hAnsi="Consolas"/>
          <w:color w:val="333333"/>
          <w:sz w:val="14"/>
          <w:szCs w:val="14"/>
        </w:rPr>
        <w:t xml:space="preserve">    P4["Phase 4: Value Tracking &amp; Scaling&lt;br/&gt;Gate G3: Quartals-Value-Review, Ampel AI Portfolio Board"]</w:t>
      </w:r>
    </w:p>
    <w:p>
      <w:pPr>
        <w:shd w:fill="F0F0F0" w:val="clear"/>
        <w:spacing w:after="0" w:before="0" w:line="240"/>
      </w:pPr>
      <w:r>
        <w:rPr>
          <w:rFonts w:ascii="Consolas" w:cs="Consolas" w:eastAsia="Consolas" w:hAnsi="Consolas"/>
          <w:color w:val="333333"/>
          <w:sz w:val="14"/>
          <w:szCs w:val="14"/>
        </w:rPr>
        <w:t xml:space="preserve">    SC["Scaling-Assessment CoE AI, max. 4 Wochen&lt;br/&gt;+ Scaling Business Case Light"]</w:t>
      </w:r>
    </w:p>
    <w:p>
      <w:pPr>
        <w:shd w:fill="F0F0F0" w:val="clear"/>
        <w:spacing w:after="0" w:before="0" w:line="240"/>
      </w:pPr>
      <w:r>
        <w:rPr>
          <w:rFonts w:ascii="Consolas" w:cs="Consolas" w:eastAsia="Consolas" w:hAnsi="Consolas"/>
          <w:color w:val="333333"/>
          <w:sz w:val="14"/>
          <w:szCs w:val="14"/>
        </w:rPr>
        <w:t xml:space="preserve">    G4{{"Gate G4: Rollout-Beschluss&lt;br/&gt;AI Portfolio Board"}}</w:t>
      </w:r>
    </w:p>
    <w:p>
      <w:pPr>
        <w:shd w:fill="F0F0F0" w:val="clear"/>
        <w:spacing w:after="0" w:before="0" w:line="240"/>
      </w:pPr>
      <w:r>
        <w:rPr>
          <w:rFonts w:ascii="Consolas" w:cs="Consolas" w:eastAsia="Consolas" w:hAnsi="Consolas"/>
          <w:color w:val="333333"/>
          <w:sz w:val="14"/>
          <w:szCs w:val="14"/>
        </w:rPr>
        <w:t xml:space="preserve">    KA["Kill-Antrag&lt;br/&gt;automatisch aus ROI-Dashboard"]</w:t>
      </w:r>
    </w:p>
    <w:p>
      <w:pPr>
        <w:shd w:fill="F0F0F0" w:val="clear"/>
        <w:spacing w:after="0" w:before="0" w:line="240"/>
      </w:pPr>
      <w:r>
        <w:rPr>
          <w:rFonts w:ascii="Consolas" w:cs="Consolas" w:eastAsia="Consolas" w:hAnsi="Consolas"/>
          <w:color w:val="333333"/>
          <w:sz w:val="14"/>
          <w:szCs w:val="14"/>
        </w:rPr>
        <w:t xml:space="preserve">    G5{{"Gate G5: Kill-Beschluss&lt;br/&gt;AI Portfolio Board, einfache Mehrheit"}}</w:t>
      </w:r>
    </w:p>
    <w:p>
      <w:pPr>
        <w:shd w:fill="F0F0F0" w:val="clear"/>
        <w:spacing w:after="0" w:before="0" w:line="240"/>
      </w:pPr>
      <w:r>
        <w:rPr>
          <w:rFonts w:ascii="Consolas" w:cs="Consolas" w:eastAsia="Consolas" w:hAnsi="Consolas"/>
          <w:color w:val="333333"/>
          <w:sz w:val="14"/>
          <w:szCs w:val="14"/>
        </w:rPr>
        <w:t xml:space="preserve">    P5["Phase 5: Decommissioning&lt;br/&gt;max. 90 Tage: Daten, Ressourcen, Registry-Extraktion"]</w:t>
      </w:r>
    </w:p>
    <w:p>
      <w:pPr>
        <w:shd w:fill="F0F0F0" w:val="clear"/>
        <w:spacing w:after="0" w:before="0" w:line="240"/>
      </w:pPr>
      <w:r>
        <w:rPr>
          <w:rFonts w:ascii="Consolas" w:cs="Consolas" w:eastAsia="Consolas" w:hAnsi="Consolas"/>
          <w:color w:val="333333"/>
          <w:sz w:val="14"/>
          <w:szCs w:val="14"/>
        </w:rPr>
        <w:t xml:space="preserve">    NW["Decommissioning-Nachweis&lt;br/&gt;Gegenzeichnung Product Owner + Datenschutz"]</w:t>
      </w:r>
    </w:p>
    <w:p>
      <w:pPr>
        <w:shd w:fill="F0F0F0" w:val="clear"/>
        <w:spacing w:after="0" w:before="0" w:line="240"/>
      </w:pPr>
      <w:r>
        <w:rPr>
          <w:rFonts w:ascii="Consolas" w:cs="Consolas" w:eastAsia="Consolas" w:hAnsi="Consolas"/>
          <w:color w:val="333333"/>
          <w:sz w:val="14"/>
          <w:szCs w:val="14"/>
        </w:rPr>
        <w:t xml:space="preserve">    P1 --&gt; G1 --&gt; P2 --&gt; G2 --&gt; P3 --&gt; P4</w:t>
      </w:r>
    </w:p>
    <w:p>
      <w:pPr>
        <w:shd w:fill="F0F0F0" w:val="clear"/>
        <w:spacing w:after="0" w:before="0" w:line="240"/>
      </w:pPr>
      <w:r>
        <w:rPr>
          <w:rFonts w:ascii="Consolas" w:cs="Consolas" w:eastAsia="Consolas" w:hAnsi="Consolas"/>
          <w:color w:val="333333"/>
          <w:sz w:val="14"/>
          <w:szCs w:val="14"/>
        </w:rPr>
        <w:t xml:space="preserve">    P4 --&gt;|"Ampel grün/gelb"| P3</w:t>
      </w:r>
    </w:p>
    <w:p>
      <w:pPr>
        <w:shd w:fill="F0F0F0" w:val="clear"/>
        <w:spacing w:after="0" w:before="0" w:line="240"/>
      </w:pPr>
      <w:r>
        <w:rPr>
          <w:rFonts w:ascii="Consolas" w:cs="Consolas" w:eastAsia="Consolas" w:hAnsi="Consolas"/>
          <w:color w:val="333333"/>
          <w:sz w:val="14"/>
          <w:szCs w:val="14"/>
        </w:rPr>
        <w:t xml:space="preserve">    P4 --&gt;|"ROI-Quote &gt;= 1,5 über 2 Quartale"| SC --&gt; G4</w:t>
      </w:r>
    </w:p>
    <w:p>
      <w:pPr>
        <w:shd w:fill="F0F0F0" w:val="clear"/>
        <w:spacing w:after="0" w:before="0" w:line="240"/>
      </w:pPr>
      <w:r>
        <w:rPr>
          <w:rFonts w:ascii="Consolas" w:cs="Consolas" w:eastAsia="Consolas" w:hAnsi="Consolas"/>
          <w:color w:val="333333"/>
          <w:sz w:val="14"/>
          <w:szCs w:val="14"/>
        </w:rPr>
        <w:t xml:space="preserve">    G4 --&gt;|"je aufnehmendem Bereich: eigene Value-Review-Einheit"| P2</w:t>
      </w:r>
    </w:p>
    <w:p>
      <w:pPr>
        <w:shd w:fill="F0F0F0" w:val="clear"/>
        <w:spacing w:after="0" w:before="0" w:line="240"/>
      </w:pPr>
      <w:r>
        <w:rPr>
          <w:rFonts w:ascii="Consolas" w:cs="Consolas" w:eastAsia="Consolas" w:hAnsi="Consolas"/>
          <w:color w:val="333333"/>
          <w:sz w:val="14"/>
          <w:szCs w:val="14"/>
        </w:rPr>
        <w:t xml:space="preserve">    P4 --&gt;|"2 rote Quartale in Folge"| KA</w:t>
      </w:r>
    </w:p>
    <w:p>
      <w:pPr>
        <w:shd w:fill="F0F0F0" w:val="clear"/>
        <w:spacing w:after="0" w:before="0" w:line="240"/>
      </w:pPr>
      <w:r>
        <w:rPr>
          <w:rFonts w:ascii="Consolas" w:cs="Consolas" w:eastAsia="Consolas" w:hAnsi="Consolas"/>
          <w:color w:val="333333"/>
          <w:sz w:val="14"/>
          <w:szCs w:val="14"/>
        </w:rPr>
        <w:t xml:space="preserve">    KA --&gt;|"einmalige Verlängerung nur mit Remediation-Plan"| P3</w:t>
      </w:r>
    </w:p>
    <w:p>
      <w:pPr>
        <w:shd w:fill="F0F0F0" w:val="clear"/>
        <w:spacing w:after="0" w:before="0" w:line="240"/>
      </w:pPr>
      <w:r>
        <w:rPr>
          <w:rFonts w:ascii="Consolas" w:cs="Consolas" w:eastAsia="Consolas" w:hAnsi="Consolas"/>
          <w:color w:val="333333"/>
          <w:sz w:val="14"/>
          <w:szCs w:val="14"/>
        </w:rPr>
        <w:t xml:space="preserve">    KA --&gt; G5 --&gt; P5 --&gt; NW</w:t>
      </w:r>
    </w:p>
    <w:p>
      <w:pPr>
        <w:spacing w:after="80" w:before="0"/>
      </w:pPr>
    </w:p>
    <w:p>
      <w:pPr>
        <w:pBdr>
          <w:bottom w:val="single" w:color="1F3864" w:sz="8" w:space="2"/>
        </w:pBdr>
        <w:spacing w:after="100" w:before="240"/>
      </w:pPr>
      <w:r>
        <w:rPr>
          <w:rFonts w:ascii="Calibri" w:cs="Calibri" w:eastAsia="Calibri" w:hAnsi="Calibri"/>
          <w:b/>
          <w:bCs/>
          <w:i w:val="false"/>
          <w:iCs w:val="false"/>
          <w:color w:val="1F3864"/>
          <w:sz w:val="24"/>
          <w:szCs w:val="24"/>
        </w:rPr>
        <w:t xml:space="preserve">6.0  Gates und RACI-Matrix</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5906"/>
      </w:tblGrid>
      <w:tr>
        <w:trPr>
          <w:tblHeader/>
        </w:trPr>
        <w:tc>
          <w:tcPr>
            <w:tcW w:type="dxa" w:w="900"/>
            <w:tcBorders>
              <w:top w:val="single" w:color="B7C3D6" w:sz="4"/>
              <w:left w:val="single" w:color="B7C3D6" w:sz="4"/>
              <w:bottom w:val="single" w:color="B7C3D6" w:sz="4"/>
              <w:right w:val="single" w:color="B7C3D6" w:sz="4"/>
            </w:tcBorders>
            <w:shd w:fill="DCE6F5" w:val="clear"/>
            <w:tcMar>
              <w:top w:type="dxa" w:w="40"/>
              <w:left w:type="dxa" w:w="90"/>
              <w:bottom w:type="dxa" w:w="40"/>
              <w:right w:type="dxa" w:w="90"/>
            </w:tcMar>
            <w:vAlign w:val="center"/>
          </w:tcPr>
          <w:p>
            <w:pPr>
              <w:spacing w:after="10" w:before="10" w:line="270"/>
            </w:pPr>
            <w:r>
              <w:rPr>
                <w:rFonts w:ascii="Calibri" w:cs="Calibri" w:eastAsia="Calibri" w:hAnsi="Calibri"/>
                <w:b/>
                <w:bCs/>
                <w:i w:val="false"/>
                <w:iCs w:val="false"/>
                <w:color w:val="222222"/>
                <w:sz w:val="17"/>
                <w:szCs w:val="17"/>
              </w:rPr>
              <w:t xml:space="preserve">Gate</w:t>
            </w:r>
          </w:p>
        </w:tc>
        <w:tc>
          <w:tcPr>
            <w:tcW w:type="dxa" w:w="3300"/>
            <w:tcBorders>
              <w:top w:val="single" w:color="B7C3D6" w:sz="4"/>
              <w:left w:val="single" w:color="B7C3D6" w:sz="4"/>
              <w:bottom w:val="single" w:color="B7C3D6" w:sz="4"/>
              <w:right w:val="single" w:color="B7C3D6" w:sz="4"/>
            </w:tcBorders>
            <w:shd w:fill="DCE6F5" w:val="clear"/>
            <w:tcMar>
              <w:top w:type="dxa" w:w="40"/>
              <w:left w:type="dxa" w:w="90"/>
              <w:bottom w:type="dxa" w:w="40"/>
              <w:right w:type="dxa" w:w="90"/>
            </w:tcMar>
            <w:vAlign w:val="center"/>
          </w:tcPr>
          <w:p>
            <w:pPr>
              <w:spacing w:after="10" w:before="10" w:line="270"/>
            </w:pPr>
            <w:r>
              <w:rPr>
                <w:rFonts w:ascii="Calibri" w:cs="Calibri" w:eastAsia="Calibri" w:hAnsi="Calibri"/>
                <w:b/>
                <w:bCs/>
                <w:i w:val="false"/>
                <w:iCs w:val="false"/>
                <w:color w:val="222222"/>
                <w:sz w:val="17"/>
                <w:szCs w:val="17"/>
              </w:rPr>
              <w:t xml:space="preserve">Entscheidung</w:t>
            </w:r>
          </w:p>
        </w:tc>
        <w:tc>
          <w:tcPr>
            <w:tcW w:type="dxa" w:w="5906"/>
            <w:tcBorders>
              <w:top w:val="single" w:color="B7C3D6" w:sz="4"/>
              <w:left w:val="single" w:color="B7C3D6" w:sz="4"/>
              <w:bottom w:val="single" w:color="B7C3D6" w:sz="4"/>
              <w:right w:val="single" w:color="B7C3D6" w:sz="4"/>
            </w:tcBorders>
            <w:shd w:fill="DCE6F5" w:val="clear"/>
            <w:tcMar>
              <w:top w:type="dxa" w:w="40"/>
              <w:left w:type="dxa" w:w="90"/>
              <w:bottom w:type="dxa" w:w="40"/>
              <w:right w:type="dxa" w:w="90"/>
            </w:tcMar>
            <w:vAlign w:val="center"/>
          </w:tcPr>
          <w:p>
            <w:pPr>
              <w:spacing w:after="10" w:before="10" w:line="270"/>
            </w:pPr>
            <w:r>
              <w:rPr>
                <w:rFonts w:ascii="Calibri" w:cs="Calibri" w:eastAsia="Calibri" w:hAnsi="Calibri"/>
                <w:b/>
                <w:bCs/>
                <w:i w:val="false"/>
                <w:iCs w:val="false"/>
                <w:color w:val="222222"/>
                <w:sz w:val="17"/>
                <w:szCs w:val="17"/>
              </w:rPr>
              <w:t xml:space="preserve">Verbindliche Voraussetzungen</w:t>
            </w:r>
          </w:p>
        </w:tc>
      </w:tr>
      <w:tr>
        <w:trPr>
          <w:cantSplit/>
        </w:trPr>
        <w:tc>
          <w:tcPr>
            <w:tcW w:type="dxa" w:w="900"/>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line="270"/>
              <w:jc w:val="center"/>
            </w:pPr>
            <w:r>
              <w:rPr>
                <w:rFonts w:ascii="Calibri" w:cs="Calibri" w:eastAsia="Calibri" w:hAnsi="Calibri"/>
                <w:b/>
                <w:bCs/>
                <w:i w:val="false"/>
                <w:iCs w:val="false"/>
                <w:color w:val="222222"/>
                <w:sz w:val="17"/>
                <w:szCs w:val="17"/>
              </w:rPr>
              <w:t xml:space="preserve">G1</w:t>
            </w:r>
          </w:p>
        </w:tc>
        <w:tc>
          <w:tcPr>
            <w:tcW w:type="dxa" w:w="3300"/>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line="270"/>
            </w:pPr>
            <w:r>
              <w:rPr>
                <w:rFonts w:ascii="Calibri" w:cs="Calibri" w:eastAsia="Calibri" w:hAnsi="Calibri"/>
                <w:b w:val="false"/>
                <w:bCs w:val="false"/>
                <w:i w:val="false"/>
                <w:iCs w:val="false"/>
                <w:color w:val="333333"/>
                <w:sz w:val="17"/>
                <w:szCs w:val="17"/>
              </w:rPr>
              <w:t xml:space="preserve">Priorisierung &amp; PoC-Freigabe</w:t>
            </w:r>
          </w:p>
        </w:tc>
        <w:tc>
          <w:tcPr>
            <w:tcW w:type="dxa" w:w="5906"/>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line="270"/>
            </w:pPr>
            <w:r>
              <w:rPr>
                <w:rFonts w:ascii="Calibri" w:cs="Calibri" w:eastAsia="Calibri" w:hAnsi="Calibri"/>
                <w:b w:val="false"/>
                <w:bCs w:val="false"/>
                <w:i w:val="false"/>
                <w:iCs w:val="false"/>
                <w:color w:val="333333"/>
                <w:sz w:val="17"/>
                <w:szCs w:val="17"/>
              </w:rPr>
              <w:t xml:space="preserve">Business Case mit Baseline, Exit-Kriterien und dokumentiertem Reuse-Check; Meldung an KI &amp; Information Governance</w:t>
            </w:r>
          </w:p>
        </w:tc>
      </w:tr>
      <w:tr>
        <w:trPr>
          <w:cantSplit/>
        </w:trPr>
        <w:tc>
          <w:tcPr>
            <w:tcW w:type="dxa" w:w="900"/>
            <w:tcBorders>
              <w:top w:val="single" w:color="B7C3D6" w:sz="4"/>
              <w:left w:val="single" w:color="B7C3D6" w:sz="4"/>
              <w:bottom w:val="single" w:color="B7C3D6" w:sz="4"/>
              <w:right w:val="single" w:color="B7C3D6" w:sz="4"/>
            </w:tcBorders>
            <w:shd w:fill="F3F6FB" w:val="clear"/>
            <w:tcMar>
              <w:top w:type="dxa" w:w="40"/>
              <w:left w:type="dxa" w:w="90"/>
              <w:bottom w:type="dxa" w:w="40"/>
              <w:right w:type="dxa" w:w="90"/>
            </w:tcMar>
            <w:vAlign w:val="center"/>
          </w:tcPr>
          <w:p>
            <w:pPr>
              <w:spacing w:after="10" w:before="10" w:line="270"/>
              <w:jc w:val="center"/>
            </w:pPr>
            <w:r>
              <w:rPr>
                <w:rFonts w:ascii="Calibri" w:cs="Calibri" w:eastAsia="Calibri" w:hAnsi="Calibri"/>
                <w:b/>
                <w:bCs/>
                <w:i w:val="false"/>
                <w:iCs w:val="false"/>
                <w:color w:val="222222"/>
                <w:sz w:val="17"/>
                <w:szCs w:val="17"/>
              </w:rPr>
              <w:t xml:space="preserve">G2</w:t>
            </w:r>
          </w:p>
        </w:tc>
        <w:tc>
          <w:tcPr>
            <w:tcW w:type="dxa" w:w="3300"/>
            <w:tcBorders>
              <w:top w:val="single" w:color="B7C3D6" w:sz="4"/>
              <w:left w:val="single" w:color="B7C3D6" w:sz="4"/>
              <w:bottom w:val="single" w:color="B7C3D6" w:sz="4"/>
              <w:right w:val="single" w:color="B7C3D6" w:sz="4"/>
            </w:tcBorders>
            <w:shd w:fill="F3F6FB" w:val="clear"/>
            <w:tcMar>
              <w:top w:type="dxa" w:w="40"/>
              <w:left w:type="dxa" w:w="90"/>
              <w:bottom w:type="dxa" w:w="40"/>
              <w:right w:type="dxa" w:w="90"/>
            </w:tcMar>
            <w:vAlign w:val="center"/>
          </w:tcPr>
          <w:p>
            <w:pPr>
              <w:spacing w:after="10" w:before="10" w:line="270"/>
            </w:pPr>
            <w:r>
              <w:rPr>
                <w:rFonts w:ascii="Calibri" w:cs="Calibri" w:eastAsia="Calibri" w:hAnsi="Calibri"/>
                <w:b w:val="false"/>
                <w:bCs w:val="false"/>
                <w:i w:val="false"/>
                <w:iCs w:val="false"/>
                <w:color w:val="333333"/>
                <w:sz w:val="17"/>
                <w:szCs w:val="17"/>
              </w:rPr>
              <w:t xml:space="preserve">Go-Live-Freigabe</w:t>
            </w:r>
          </w:p>
        </w:tc>
        <w:tc>
          <w:tcPr>
            <w:tcW w:type="dxa" w:w="5906"/>
            <w:tcBorders>
              <w:top w:val="single" w:color="B7C3D6" w:sz="4"/>
              <w:left w:val="single" w:color="B7C3D6" w:sz="4"/>
              <w:bottom w:val="single" w:color="B7C3D6" w:sz="4"/>
              <w:right w:val="single" w:color="B7C3D6" w:sz="4"/>
            </w:tcBorders>
            <w:shd w:fill="F3F6FB" w:val="clear"/>
            <w:tcMar>
              <w:top w:type="dxa" w:w="40"/>
              <w:left w:type="dxa" w:w="90"/>
              <w:bottom w:type="dxa" w:w="40"/>
              <w:right w:type="dxa" w:w="90"/>
            </w:tcMar>
            <w:vAlign w:val="center"/>
          </w:tcPr>
          <w:p>
            <w:pPr>
              <w:spacing w:after="10" w:before="10" w:line="270"/>
            </w:pPr>
            <w:r>
              <w:rPr>
                <w:rFonts w:ascii="Calibri" w:cs="Calibri" w:eastAsia="Calibri" w:hAnsi="Calibri"/>
                <w:b w:val="false"/>
                <w:bCs w:val="false"/>
                <w:i w:val="false"/>
                <w:iCs w:val="false"/>
                <w:color w:val="333333"/>
                <w:sz w:val="17"/>
                <w:szCs w:val="17"/>
              </w:rPr>
              <w:t xml:space="preserve">Telemetrie-Abnahme (6 Prüfpunkte lt. Minimal-Telemetrie-Standard); RIA, IT-Ausschuss, VVV, Application Inventory/Navigator; gegengezeichnetes TCO-Sheet; Betriebsübergabe-Dokument; Adoption-Pflichtmaßnahmen „Vor Go-Live“</w:t>
            </w:r>
          </w:p>
        </w:tc>
      </w:tr>
      <w:tr>
        <w:trPr>
          <w:cantSplit/>
        </w:trPr>
        <w:tc>
          <w:tcPr>
            <w:tcW w:type="dxa" w:w="900"/>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line="270"/>
              <w:jc w:val="center"/>
            </w:pPr>
            <w:r>
              <w:rPr>
                <w:rFonts w:ascii="Calibri" w:cs="Calibri" w:eastAsia="Calibri" w:hAnsi="Calibri"/>
                <w:b/>
                <w:bCs/>
                <w:i w:val="false"/>
                <w:iCs w:val="false"/>
                <w:color w:val="222222"/>
                <w:sz w:val="17"/>
                <w:szCs w:val="17"/>
              </w:rPr>
              <w:t xml:space="preserve">G3</w:t>
            </w:r>
          </w:p>
        </w:tc>
        <w:tc>
          <w:tcPr>
            <w:tcW w:type="dxa" w:w="3300"/>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line="270"/>
            </w:pPr>
            <w:r>
              <w:rPr>
                <w:rFonts w:ascii="Calibri" w:cs="Calibri" w:eastAsia="Calibri" w:hAnsi="Calibri"/>
                <w:b w:val="false"/>
                <w:bCs w:val="false"/>
                <w:i w:val="false"/>
                <w:iCs w:val="false"/>
                <w:color w:val="333333"/>
                <w:sz w:val="17"/>
                <w:szCs w:val="17"/>
              </w:rPr>
              <w:t xml:space="preserve">Quartals-Value-Review (Ampel)</w:t>
            </w:r>
          </w:p>
        </w:tc>
        <w:tc>
          <w:tcPr>
            <w:tcW w:type="dxa" w:w="5906"/>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line="270"/>
            </w:pPr>
            <w:r>
              <w:rPr>
                <w:rFonts w:ascii="Calibri" w:cs="Calibri" w:eastAsia="Calibri" w:hAnsi="Calibri"/>
                <w:b w:val="false"/>
                <w:bCs w:val="false"/>
                <w:i w:val="false"/>
                <w:iCs w:val="false"/>
                <w:color w:val="333333"/>
                <w:sz w:val="17"/>
                <w:szCs w:val="17"/>
              </w:rPr>
              <w:t xml:space="preserve">Vollständig befüllter Value One-Pager; Kommentare AI Solution Owner und Product Owner</w:t>
            </w:r>
          </w:p>
        </w:tc>
      </w:tr>
      <w:tr>
        <w:trPr>
          <w:cantSplit/>
        </w:trPr>
        <w:tc>
          <w:tcPr>
            <w:tcW w:type="dxa" w:w="900"/>
            <w:tcBorders>
              <w:top w:val="single" w:color="B7C3D6" w:sz="4"/>
              <w:left w:val="single" w:color="B7C3D6" w:sz="4"/>
              <w:bottom w:val="single" w:color="B7C3D6" w:sz="4"/>
              <w:right w:val="single" w:color="B7C3D6" w:sz="4"/>
            </w:tcBorders>
            <w:shd w:fill="F3F6FB" w:val="clear"/>
            <w:tcMar>
              <w:top w:type="dxa" w:w="40"/>
              <w:left w:type="dxa" w:w="90"/>
              <w:bottom w:type="dxa" w:w="40"/>
              <w:right w:type="dxa" w:w="90"/>
            </w:tcMar>
            <w:vAlign w:val="center"/>
          </w:tcPr>
          <w:p>
            <w:pPr>
              <w:spacing w:after="10" w:before="10" w:line="270"/>
              <w:jc w:val="center"/>
            </w:pPr>
            <w:r>
              <w:rPr>
                <w:rFonts w:ascii="Calibri" w:cs="Calibri" w:eastAsia="Calibri" w:hAnsi="Calibri"/>
                <w:b/>
                <w:bCs/>
                <w:i w:val="false"/>
                <w:iCs w:val="false"/>
                <w:color w:val="222222"/>
                <w:sz w:val="17"/>
                <w:szCs w:val="17"/>
              </w:rPr>
              <w:t xml:space="preserve">G4</w:t>
            </w:r>
          </w:p>
        </w:tc>
        <w:tc>
          <w:tcPr>
            <w:tcW w:type="dxa" w:w="3300"/>
            <w:tcBorders>
              <w:top w:val="single" w:color="B7C3D6" w:sz="4"/>
              <w:left w:val="single" w:color="B7C3D6" w:sz="4"/>
              <w:bottom w:val="single" w:color="B7C3D6" w:sz="4"/>
              <w:right w:val="single" w:color="B7C3D6" w:sz="4"/>
            </w:tcBorders>
            <w:shd w:fill="F3F6FB" w:val="clear"/>
            <w:tcMar>
              <w:top w:type="dxa" w:w="40"/>
              <w:left w:type="dxa" w:w="90"/>
              <w:bottom w:type="dxa" w:w="40"/>
              <w:right w:type="dxa" w:w="90"/>
            </w:tcMar>
            <w:vAlign w:val="center"/>
          </w:tcPr>
          <w:p>
            <w:pPr>
              <w:spacing w:after="10" w:before="10" w:line="270"/>
            </w:pPr>
            <w:r>
              <w:rPr>
                <w:rFonts w:ascii="Calibri" w:cs="Calibri" w:eastAsia="Calibri" w:hAnsi="Calibri"/>
                <w:b w:val="false"/>
                <w:bCs w:val="false"/>
                <w:i w:val="false"/>
                <w:iCs w:val="false"/>
                <w:color w:val="333333"/>
                <w:sz w:val="17"/>
                <w:szCs w:val="17"/>
              </w:rPr>
              <w:t xml:space="preserve">Scaling-/Rollout-Beschluss</w:t>
            </w:r>
          </w:p>
        </w:tc>
        <w:tc>
          <w:tcPr>
            <w:tcW w:type="dxa" w:w="5906"/>
            <w:tcBorders>
              <w:top w:val="single" w:color="B7C3D6" w:sz="4"/>
              <w:left w:val="single" w:color="B7C3D6" w:sz="4"/>
              <w:bottom w:val="single" w:color="B7C3D6" w:sz="4"/>
              <w:right w:val="single" w:color="B7C3D6" w:sz="4"/>
            </w:tcBorders>
            <w:shd w:fill="F3F6FB" w:val="clear"/>
            <w:tcMar>
              <w:top w:type="dxa" w:w="40"/>
              <w:left w:type="dxa" w:w="90"/>
              <w:bottom w:type="dxa" w:w="40"/>
              <w:right w:type="dxa" w:w="90"/>
            </w:tcMar>
            <w:vAlign w:val="center"/>
          </w:tcPr>
          <w:p>
            <w:pPr>
              <w:spacing w:after="10" w:before="10" w:line="270"/>
            </w:pPr>
            <w:r>
              <w:rPr>
                <w:rFonts w:ascii="Calibri" w:cs="Calibri" w:eastAsia="Calibri" w:hAnsi="Calibri"/>
                <w:b w:val="false"/>
                <w:bCs w:val="false"/>
                <w:i w:val="false"/>
                <w:iCs w:val="false"/>
                <w:color w:val="333333"/>
                <w:sz w:val="17"/>
                <w:szCs w:val="17"/>
              </w:rPr>
              <w:t xml:space="preserve">ROI-Quote ≥ 1,5 über zwei Quartale; Scaling-Assessment (CoE AI); Scaling Business Case Light mit eigener Zielbereichs-Baseline</w:t>
            </w:r>
          </w:p>
        </w:tc>
      </w:tr>
      <w:tr>
        <w:trPr>
          <w:cantSplit/>
        </w:trPr>
        <w:tc>
          <w:tcPr>
            <w:tcW w:type="dxa" w:w="900"/>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line="270"/>
              <w:jc w:val="center"/>
            </w:pPr>
            <w:r>
              <w:rPr>
                <w:rFonts w:ascii="Calibri" w:cs="Calibri" w:eastAsia="Calibri" w:hAnsi="Calibri"/>
                <w:b/>
                <w:bCs/>
                <w:i w:val="false"/>
                <w:iCs w:val="false"/>
                <w:color w:val="222222"/>
                <w:sz w:val="17"/>
                <w:szCs w:val="17"/>
              </w:rPr>
              <w:t xml:space="preserve">G5</w:t>
            </w:r>
          </w:p>
        </w:tc>
        <w:tc>
          <w:tcPr>
            <w:tcW w:type="dxa" w:w="3300"/>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line="270"/>
            </w:pPr>
            <w:r>
              <w:rPr>
                <w:rFonts w:ascii="Calibri" w:cs="Calibri" w:eastAsia="Calibri" w:hAnsi="Calibri"/>
                <w:b w:val="false"/>
                <w:bCs w:val="false"/>
                <w:i w:val="false"/>
                <w:iCs w:val="false"/>
                <w:color w:val="333333"/>
                <w:sz w:val="17"/>
                <w:szCs w:val="17"/>
              </w:rPr>
              <w:t xml:space="preserve">Kill-Beschluss</w:t>
            </w:r>
          </w:p>
        </w:tc>
        <w:tc>
          <w:tcPr>
            <w:tcW w:type="dxa" w:w="5906"/>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line="270"/>
            </w:pPr>
            <w:r>
              <w:rPr>
                <w:rFonts w:ascii="Calibri" w:cs="Calibri" w:eastAsia="Calibri" w:hAnsi="Calibri"/>
                <w:b w:val="false"/>
                <w:bCs w:val="false"/>
                <w:i w:val="false"/>
                <w:iCs w:val="false"/>
                <w:color w:val="333333"/>
                <w:sz w:val="17"/>
                <w:szCs w:val="17"/>
              </w:rPr>
              <w:t xml:space="preserve">Automatischer Kill-Antrag nach zwei roten Quartalen; ggf. abgelaufene Verlängerung mit Remediation-Plan</w:t>
            </w:r>
          </w:p>
        </w:tc>
      </w:tr>
    </w:tbl>
    <w:p>
      <w:pPr>
        <w:spacing w:after="60" w:before="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706"/>
        <w:gridCol w:w="1050"/>
        <w:gridCol w:w="1050"/>
        <w:gridCol w:w="900"/>
        <w:gridCol w:w="950"/>
        <w:gridCol w:w="900"/>
        <w:gridCol w:w="850"/>
        <w:gridCol w:w="850"/>
        <w:gridCol w:w="900"/>
        <w:gridCol w:w="950"/>
      </w:tblGrid>
      <w:tr>
        <w:trPr>
          <w:tblHeader/>
        </w:trPr>
        <w:tc>
          <w:tcPr>
            <w:tcW w:type="dxa" w:w="2706"/>
            <w:tcBorders>
              <w:top w:val="single" w:color="B7C3D6" w:sz="4"/>
              <w:left w:val="single" w:color="B7C3D6" w:sz="4"/>
              <w:bottom w:val="single" w:color="B7C3D6" w:sz="4"/>
              <w:right w:val="single" w:color="B7C3D6" w:sz="4"/>
            </w:tcBorders>
            <w:shd w:fill="DCE6F5" w:val="clear"/>
            <w:tcMar>
              <w:top w:type="dxa" w:w="40"/>
              <w:left w:type="dxa" w:w="90"/>
              <w:bottom w:type="dxa" w:w="40"/>
              <w:right w:type="dxa" w:w="90"/>
            </w:tcMar>
            <w:vAlign w:val="center"/>
          </w:tcPr>
          <w:p>
            <w:pPr>
              <w:spacing w:after="10" w:before="10" w:line="270"/>
            </w:pPr>
            <w:r>
              <w:rPr>
                <w:rFonts w:ascii="Calibri" w:cs="Calibri" w:eastAsia="Calibri" w:hAnsi="Calibri"/>
                <w:b/>
                <w:bCs/>
                <w:i w:val="false"/>
                <w:iCs w:val="false"/>
                <w:color w:val="222222"/>
                <w:sz w:val="16"/>
                <w:szCs w:val="16"/>
              </w:rPr>
              <w:t xml:space="preserve">Entscheidung / Gate</w:t>
            </w:r>
          </w:p>
        </w:tc>
        <w:tc>
          <w:tcPr>
            <w:tcW w:type="dxa" w:w="1050"/>
            <w:tcBorders>
              <w:top w:val="single" w:color="B7C3D6" w:sz="4"/>
              <w:left w:val="single" w:color="B7C3D6" w:sz="4"/>
              <w:bottom w:val="single" w:color="B7C3D6" w:sz="4"/>
              <w:right w:val="single" w:color="B7C3D6" w:sz="4"/>
            </w:tcBorders>
            <w:shd w:fill="DCE6F5" w:val="clear"/>
            <w:tcMar>
              <w:top w:type="dxa" w:w="40"/>
              <w:left w:type="dxa" w:w="90"/>
              <w:bottom w:type="dxa" w:w="40"/>
              <w:right w:type="dxa" w:w="90"/>
            </w:tcMar>
            <w:vAlign w:val="center"/>
          </w:tcPr>
          <w:p>
            <w:pPr>
              <w:spacing w:after="10" w:before="10" w:line="270"/>
              <w:jc w:val="center"/>
            </w:pPr>
            <w:r>
              <w:rPr>
                <w:rFonts w:ascii="Calibri" w:cs="Calibri" w:eastAsia="Calibri" w:hAnsi="Calibri"/>
                <w:b/>
                <w:bCs/>
                <w:i w:val="false"/>
                <w:iCs w:val="false"/>
                <w:color w:val="222222"/>
                <w:sz w:val="14"/>
                <w:szCs w:val="14"/>
              </w:rPr>
              <w:t xml:space="preserve">AI Solution Owner</w:t>
            </w:r>
          </w:p>
        </w:tc>
        <w:tc>
          <w:tcPr>
            <w:tcW w:type="dxa" w:w="1050"/>
            <w:tcBorders>
              <w:top w:val="single" w:color="B7C3D6" w:sz="4"/>
              <w:left w:val="single" w:color="B7C3D6" w:sz="4"/>
              <w:bottom w:val="single" w:color="B7C3D6" w:sz="4"/>
              <w:right w:val="single" w:color="B7C3D6" w:sz="4"/>
            </w:tcBorders>
            <w:shd w:fill="DCE6F5" w:val="clear"/>
            <w:tcMar>
              <w:top w:type="dxa" w:w="40"/>
              <w:left w:type="dxa" w:w="90"/>
              <w:bottom w:type="dxa" w:w="40"/>
              <w:right w:type="dxa" w:w="90"/>
            </w:tcMar>
            <w:vAlign w:val="center"/>
          </w:tcPr>
          <w:p>
            <w:pPr>
              <w:spacing w:after="10" w:before="10" w:line="270"/>
              <w:jc w:val="center"/>
            </w:pPr>
            <w:r>
              <w:rPr>
                <w:rFonts w:ascii="Calibri" w:cs="Calibri" w:eastAsia="Calibri" w:hAnsi="Calibri"/>
                <w:b/>
                <w:bCs/>
                <w:i w:val="false"/>
                <w:iCs w:val="false"/>
                <w:color w:val="222222"/>
                <w:sz w:val="14"/>
                <w:szCs w:val="14"/>
              </w:rPr>
              <w:t xml:space="preserve">Product Owner / Run-Team</w:t>
            </w:r>
          </w:p>
        </w:tc>
        <w:tc>
          <w:tcPr>
            <w:tcW w:type="dxa" w:w="900"/>
            <w:tcBorders>
              <w:top w:val="single" w:color="B7C3D6" w:sz="4"/>
              <w:left w:val="single" w:color="B7C3D6" w:sz="4"/>
              <w:bottom w:val="single" w:color="B7C3D6" w:sz="4"/>
              <w:right w:val="single" w:color="B7C3D6" w:sz="4"/>
            </w:tcBorders>
            <w:shd w:fill="DCE6F5" w:val="clear"/>
            <w:tcMar>
              <w:top w:type="dxa" w:w="40"/>
              <w:left w:type="dxa" w:w="90"/>
              <w:bottom w:type="dxa" w:w="40"/>
              <w:right w:type="dxa" w:w="90"/>
            </w:tcMar>
            <w:vAlign w:val="center"/>
          </w:tcPr>
          <w:p>
            <w:pPr>
              <w:spacing w:after="10" w:before="10" w:line="270"/>
              <w:jc w:val="center"/>
            </w:pPr>
            <w:r>
              <w:rPr>
                <w:rFonts w:ascii="Calibri" w:cs="Calibri" w:eastAsia="Calibri" w:hAnsi="Calibri"/>
                <w:b/>
                <w:bCs/>
                <w:i w:val="false"/>
                <w:iCs w:val="false"/>
                <w:color w:val="222222"/>
                <w:sz w:val="14"/>
                <w:szCs w:val="14"/>
              </w:rPr>
              <w:t xml:space="preserve">CoE AI</w:t>
            </w:r>
          </w:p>
        </w:tc>
        <w:tc>
          <w:tcPr>
            <w:tcW w:type="dxa" w:w="950"/>
            <w:tcBorders>
              <w:top w:val="single" w:color="B7C3D6" w:sz="4"/>
              <w:left w:val="single" w:color="B7C3D6" w:sz="4"/>
              <w:bottom w:val="single" w:color="B7C3D6" w:sz="4"/>
              <w:right w:val="single" w:color="B7C3D6" w:sz="4"/>
            </w:tcBorders>
            <w:shd w:fill="DCE6F5" w:val="clear"/>
            <w:tcMar>
              <w:top w:type="dxa" w:w="40"/>
              <w:left w:type="dxa" w:w="90"/>
              <w:bottom w:type="dxa" w:w="40"/>
              <w:right w:type="dxa" w:w="90"/>
            </w:tcMar>
            <w:vAlign w:val="center"/>
          </w:tcPr>
          <w:p>
            <w:pPr>
              <w:spacing w:after="10" w:before="10" w:line="270"/>
              <w:jc w:val="center"/>
            </w:pPr>
            <w:r>
              <w:rPr>
                <w:rFonts w:ascii="Calibri" w:cs="Calibri" w:eastAsia="Calibri" w:hAnsi="Calibri"/>
                <w:b/>
                <w:bCs/>
                <w:i w:val="false"/>
                <w:iCs w:val="false"/>
                <w:color w:val="222222"/>
                <w:sz w:val="14"/>
                <w:szCs w:val="14"/>
              </w:rPr>
              <w:t xml:space="preserve">AI Portfolio Board</w:t>
            </w:r>
          </w:p>
        </w:tc>
        <w:tc>
          <w:tcPr>
            <w:tcW w:type="dxa" w:w="900"/>
            <w:tcBorders>
              <w:top w:val="single" w:color="B7C3D6" w:sz="4"/>
              <w:left w:val="single" w:color="B7C3D6" w:sz="4"/>
              <w:bottom w:val="single" w:color="B7C3D6" w:sz="4"/>
              <w:right w:val="single" w:color="B7C3D6" w:sz="4"/>
            </w:tcBorders>
            <w:shd w:fill="DCE6F5" w:val="clear"/>
            <w:tcMar>
              <w:top w:type="dxa" w:w="40"/>
              <w:left w:type="dxa" w:w="90"/>
              <w:bottom w:type="dxa" w:w="40"/>
              <w:right w:type="dxa" w:w="90"/>
            </w:tcMar>
            <w:vAlign w:val="center"/>
          </w:tcPr>
          <w:p>
            <w:pPr>
              <w:spacing w:after="10" w:before="10" w:line="270"/>
              <w:jc w:val="center"/>
            </w:pPr>
            <w:r>
              <w:rPr>
                <w:rFonts w:ascii="Calibri" w:cs="Calibri" w:eastAsia="Calibri" w:hAnsi="Calibri"/>
                <w:b/>
                <w:bCs/>
                <w:i w:val="false"/>
                <w:iCs w:val="false"/>
                <w:color w:val="222222"/>
                <w:sz w:val="14"/>
                <w:szCs w:val="14"/>
              </w:rPr>
              <w:t xml:space="preserve">Bereichs-leiter BU</w:t>
            </w:r>
          </w:p>
        </w:tc>
        <w:tc>
          <w:tcPr>
            <w:tcW w:type="dxa" w:w="850"/>
            <w:tcBorders>
              <w:top w:val="single" w:color="B7C3D6" w:sz="4"/>
              <w:left w:val="single" w:color="B7C3D6" w:sz="4"/>
              <w:bottom w:val="single" w:color="B7C3D6" w:sz="4"/>
              <w:right w:val="single" w:color="B7C3D6" w:sz="4"/>
            </w:tcBorders>
            <w:shd w:fill="DCE6F5" w:val="clear"/>
            <w:tcMar>
              <w:top w:type="dxa" w:w="40"/>
              <w:left w:type="dxa" w:w="90"/>
              <w:bottom w:type="dxa" w:w="40"/>
              <w:right w:type="dxa" w:w="90"/>
            </w:tcMar>
            <w:vAlign w:val="center"/>
          </w:tcPr>
          <w:p>
            <w:pPr>
              <w:spacing w:after="10" w:before="10" w:line="270"/>
              <w:jc w:val="center"/>
            </w:pPr>
            <w:r>
              <w:rPr>
                <w:rFonts w:ascii="Calibri" w:cs="Calibri" w:eastAsia="Calibri" w:hAnsi="Calibri"/>
                <w:b/>
                <w:bCs/>
                <w:i w:val="false"/>
                <w:iCs w:val="false"/>
                <w:color w:val="222222"/>
                <w:sz w:val="14"/>
                <w:szCs w:val="14"/>
              </w:rPr>
              <w:t xml:space="preserve">Konzern-Controlling</w:t>
            </w:r>
          </w:p>
        </w:tc>
        <w:tc>
          <w:tcPr>
            <w:tcW w:type="dxa" w:w="850"/>
            <w:tcBorders>
              <w:top w:val="single" w:color="B7C3D6" w:sz="4"/>
              <w:left w:val="single" w:color="B7C3D6" w:sz="4"/>
              <w:bottom w:val="single" w:color="B7C3D6" w:sz="4"/>
              <w:right w:val="single" w:color="B7C3D6" w:sz="4"/>
            </w:tcBorders>
            <w:shd w:fill="DCE6F5" w:val="clear"/>
            <w:tcMar>
              <w:top w:type="dxa" w:w="40"/>
              <w:left w:type="dxa" w:w="90"/>
              <w:bottom w:type="dxa" w:w="40"/>
              <w:right w:type="dxa" w:w="90"/>
            </w:tcMar>
            <w:vAlign w:val="center"/>
          </w:tcPr>
          <w:p>
            <w:pPr>
              <w:spacing w:after="10" w:before="10" w:line="270"/>
              <w:jc w:val="center"/>
            </w:pPr>
            <w:r>
              <w:rPr>
                <w:rFonts w:ascii="Calibri" w:cs="Calibri" w:eastAsia="Calibri" w:hAnsi="Calibri"/>
                <w:b/>
                <w:bCs/>
                <w:i w:val="false"/>
                <w:iCs w:val="false"/>
                <w:color w:val="222222"/>
                <w:sz w:val="14"/>
                <w:szCs w:val="14"/>
              </w:rPr>
              <w:t xml:space="preserve">IT-Aus-schuss</w:t>
            </w:r>
          </w:p>
        </w:tc>
        <w:tc>
          <w:tcPr>
            <w:tcW w:type="dxa" w:w="900"/>
            <w:tcBorders>
              <w:top w:val="single" w:color="B7C3D6" w:sz="4"/>
              <w:left w:val="single" w:color="B7C3D6" w:sz="4"/>
              <w:bottom w:val="single" w:color="B7C3D6" w:sz="4"/>
              <w:right w:val="single" w:color="B7C3D6" w:sz="4"/>
            </w:tcBorders>
            <w:shd w:fill="DCE6F5" w:val="clear"/>
            <w:tcMar>
              <w:top w:type="dxa" w:w="40"/>
              <w:left w:type="dxa" w:w="90"/>
              <w:bottom w:type="dxa" w:w="40"/>
              <w:right w:type="dxa" w:w="90"/>
            </w:tcMar>
            <w:vAlign w:val="center"/>
          </w:tcPr>
          <w:p>
            <w:pPr>
              <w:spacing w:after="10" w:before="10" w:line="270"/>
              <w:jc w:val="center"/>
            </w:pPr>
            <w:r>
              <w:rPr>
                <w:rFonts w:ascii="Calibri" w:cs="Calibri" w:eastAsia="Calibri" w:hAnsi="Calibri"/>
                <w:b/>
                <w:bCs/>
                <w:i w:val="false"/>
                <w:iCs w:val="false"/>
                <w:color w:val="222222"/>
                <w:sz w:val="14"/>
                <w:szCs w:val="14"/>
              </w:rPr>
              <w:t xml:space="preserve">Daten-schutz</w:t>
            </w:r>
          </w:p>
        </w:tc>
        <w:tc>
          <w:tcPr>
            <w:tcW w:type="dxa" w:w="950"/>
            <w:tcBorders>
              <w:top w:val="single" w:color="B7C3D6" w:sz="4"/>
              <w:left w:val="single" w:color="B7C3D6" w:sz="4"/>
              <w:bottom w:val="single" w:color="B7C3D6" w:sz="4"/>
              <w:right w:val="single" w:color="B7C3D6" w:sz="4"/>
            </w:tcBorders>
            <w:shd w:fill="DCE6F5" w:val="clear"/>
            <w:tcMar>
              <w:top w:type="dxa" w:w="40"/>
              <w:left w:type="dxa" w:w="90"/>
              <w:bottom w:type="dxa" w:w="40"/>
              <w:right w:type="dxa" w:w="90"/>
            </w:tcMar>
            <w:vAlign w:val="center"/>
          </w:tcPr>
          <w:p>
            <w:pPr>
              <w:spacing w:after="10" w:before="10" w:line="270"/>
              <w:jc w:val="center"/>
            </w:pPr>
            <w:r>
              <w:rPr>
                <w:rFonts w:ascii="Calibri" w:cs="Calibri" w:eastAsia="Calibri" w:hAnsi="Calibri"/>
                <w:b/>
                <w:bCs/>
                <w:i w:val="false"/>
                <w:iCs w:val="false"/>
                <w:color w:val="222222"/>
                <w:sz w:val="14"/>
                <w:szCs w:val="14"/>
              </w:rPr>
              <w:t xml:space="preserve">KI &amp; Info-Gov</w:t>
            </w:r>
          </w:p>
        </w:tc>
      </w:tr>
      <w:tr>
        <w:trPr>
          <w:cantSplit/>
        </w:trPr>
        <w:tc>
          <w:tcPr>
            <w:tcW w:type="dxa" w:w="2706"/>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line="270"/>
            </w:pPr>
            <w:r>
              <w:rPr>
                <w:rFonts w:ascii="Calibri" w:cs="Calibri" w:eastAsia="Calibri" w:hAnsi="Calibri"/>
                <w:b/>
                <w:bCs/>
                <w:i w:val="false"/>
                <w:iCs w:val="false"/>
                <w:color w:val="222222"/>
                <w:sz w:val="16"/>
                <w:szCs w:val="16"/>
              </w:rPr>
              <w:t xml:space="preserve">G1a Business-Case-Priorisierung</w:t>
            </w:r>
          </w:p>
        </w:tc>
        <w:tc>
          <w:tcPr>
            <w:tcW w:type="dxa" w:w="1050"/>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line="270"/>
              <w:jc w:val="center"/>
            </w:pPr>
            <w:r>
              <w:rPr>
                <w:rFonts w:ascii="Calibri" w:cs="Calibri" w:eastAsia="Calibri" w:hAnsi="Calibri"/>
                <w:b w:val="false"/>
                <w:bCs w:val="false"/>
                <w:i w:val="false"/>
                <w:iCs w:val="false"/>
                <w:color w:val="333333"/>
                <w:sz w:val="16"/>
                <w:szCs w:val="16"/>
              </w:rPr>
              <w:t xml:space="preserve">R</w:t>
            </w:r>
          </w:p>
        </w:tc>
        <w:tc>
          <w:tcPr>
            <w:tcW w:type="dxa" w:w="1050"/>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line="270"/>
              <w:jc w:val="center"/>
            </w:pPr>
            <w:r>
              <w:rPr>
                <w:rFonts w:ascii="Calibri" w:cs="Calibri" w:eastAsia="Calibri" w:hAnsi="Calibri"/>
                <w:b w:val="false"/>
                <w:bCs w:val="false"/>
                <w:i w:val="false"/>
                <w:iCs w:val="false"/>
                <w:color w:val="333333"/>
                <w:sz w:val="16"/>
                <w:szCs w:val="16"/>
              </w:rPr>
              <w:t xml:space="preserve">–</w:t>
            </w:r>
          </w:p>
        </w:tc>
        <w:tc>
          <w:tcPr>
            <w:tcW w:type="dxa" w:w="900"/>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line="270"/>
              <w:jc w:val="center"/>
            </w:pPr>
            <w:r>
              <w:rPr>
                <w:rFonts w:ascii="Calibri" w:cs="Calibri" w:eastAsia="Calibri" w:hAnsi="Calibri"/>
                <w:b w:val="false"/>
                <w:bCs w:val="false"/>
                <w:i w:val="false"/>
                <w:iCs w:val="false"/>
                <w:color w:val="333333"/>
                <w:sz w:val="16"/>
                <w:szCs w:val="16"/>
              </w:rPr>
              <w:t xml:space="preserve">C</w:t>
            </w:r>
          </w:p>
        </w:tc>
        <w:tc>
          <w:tcPr>
            <w:tcW w:type="dxa" w:w="950"/>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line="270"/>
              <w:jc w:val="center"/>
            </w:pPr>
            <w:r>
              <w:rPr>
                <w:rFonts w:ascii="Calibri" w:cs="Calibri" w:eastAsia="Calibri" w:hAnsi="Calibri"/>
                <w:b/>
                <w:bCs/>
                <w:i w:val="false"/>
                <w:iCs w:val="false"/>
                <w:color w:val="A33232"/>
                <w:sz w:val="16"/>
                <w:szCs w:val="16"/>
              </w:rPr>
              <w:t xml:space="preserve">A</w:t>
            </w:r>
          </w:p>
        </w:tc>
        <w:tc>
          <w:tcPr>
            <w:tcW w:type="dxa" w:w="900"/>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line="270"/>
              <w:jc w:val="center"/>
            </w:pPr>
            <w:r>
              <w:rPr>
                <w:rFonts w:ascii="Calibri" w:cs="Calibri" w:eastAsia="Calibri" w:hAnsi="Calibri"/>
                <w:b w:val="false"/>
                <w:bCs w:val="false"/>
                <w:i w:val="false"/>
                <w:iCs w:val="false"/>
                <w:color w:val="333333"/>
                <w:sz w:val="16"/>
                <w:szCs w:val="16"/>
              </w:rPr>
              <w:t xml:space="preserve">I</w:t>
            </w:r>
          </w:p>
        </w:tc>
        <w:tc>
          <w:tcPr>
            <w:tcW w:type="dxa" w:w="850"/>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line="270"/>
              <w:jc w:val="center"/>
            </w:pPr>
            <w:r>
              <w:rPr>
                <w:rFonts w:ascii="Calibri" w:cs="Calibri" w:eastAsia="Calibri" w:hAnsi="Calibri"/>
                <w:b w:val="false"/>
                <w:bCs w:val="false"/>
                <w:i w:val="false"/>
                <w:iCs w:val="false"/>
                <w:color w:val="333333"/>
                <w:sz w:val="16"/>
                <w:szCs w:val="16"/>
              </w:rPr>
              <w:t xml:space="preserve">C</w:t>
            </w:r>
          </w:p>
        </w:tc>
        <w:tc>
          <w:tcPr>
            <w:tcW w:type="dxa" w:w="850"/>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line="270"/>
              <w:jc w:val="center"/>
            </w:pPr>
            <w:r>
              <w:rPr>
                <w:rFonts w:ascii="Calibri" w:cs="Calibri" w:eastAsia="Calibri" w:hAnsi="Calibri"/>
                <w:b w:val="false"/>
                <w:bCs w:val="false"/>
                <w:i w:val="false"/>
                <w:iCs w:val="false"/>
                <w:color w:val="333333"/>
                <w:sz w:val="16"/>
                <w:szCs w:val="16"/>
              </w:rPr>
              <w:t xml:space="preserve">–</w:t>
            </w:r>
          </w:p>
        </w:tc>
        <w:tc>
          <w:tcPr>
            <w:tcW w:type="dxa" w:w="900"/>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line="270"/>
              <w:jc w:val="center"/>
            </w:pPr>
            <w:r>
              <w:rPr>
                <w:rFonts w:ascii="Calibri" w:cs="Calibri" w:eastAsia="Calibri" w:hAnsi="Calibri"/>
                <w:b w:val="false"/>
                <w:bCs w:val="false"/>
                <w:i w:val="false"/>
                <w:iCs w:val="false"/>
                <w:color w:val="333333"/>
                <w:sz w:val="16"/>
                <w:szCs w:val="16"/>
              </w:rPr>
              <w:t xml:space="preserve">–</w:t>
            </w:r>
          </w:p>
        </w:tc>
        <w:tc>
          <w:tcPr>
            <w:tcW w:type="dxa" w:w="950"/>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line="270"/>
              <w:jc w:val="center"/>
            </w:pPr>
            <w:r>
              <w:rPr>
                <w:rFonts w:ascii="Calibri" w:cs="Calibri" w:eastAsia="Calibri" w:hAnsi="Calibri"/>
                <w:b w:val="false"/>
                <w:bCs w:val="false"/>
                <w:i w:val="false"/>
                <w:iCs w:val="false"/>
                <w:color w:val="333333"/>
                <w:sz w:val="16"/>
                <w:szCs w:val="16"/>
              </w:rPr>
              <w:t xml:space="preserve">I</w:t>
            </w:r>
          </w:p>
        </w:tc>
      </w:tr>
      <w:tr>
        <w:trPr>
          <w:cantSplit/>
        </w:trPr>
        <w:tc>
          <w:tcPr>
            <w:tcW w:type="dxa" w:w="2706"/>
            <w:tcBorders>
              <w:top w:val="single" w:color="B7C3D6" w:sz="4"/>
              <w:left w:val="single" w:color="B7C3D6" w:sz="4"/>
              <w:bottom w:val="single" w:color="B7C3D6" w:sz="4"/>
              <w:right w:val="single" w:color="B7C3D6" w:sz="4"/>
            </w:tcBorders>
            <w:shd w:fill="F3F6FB" w:val="clear"/>
            <w:tcMar>
              <w:top w:type="dxa" w:w="40"/>
              <w:left w:type="dxa" w:w="90"/>
              <w:bottom w:type="dxa" w:w="40"/>
              <w:right w:type="dxa" w:w="90"/>
            </w:tcMar>
            <w:vAlign w:val="center"/>
          </w:tcPr>
          <w:p>
            <w:pPr>
              <w:spacing w:after="10" w:before="10" w:line="270"/>
            </w:pPr>
            <w:r>
              <w:rPr>
                <w:rFonts w:ascii="Calibri" w:cs="Calibri" w:eastAsia="Calibri" w:hAnsi="Calibri"/>
                <w:b/>
                <w:bCs/>
                <w:i w:val="false"/>
                <w:iCs w:val="false"/>
                <w:color w:val="222222"/>
                <w:sz w:val="16"/>
                <w:szCs w:val="16"/>
              </w:rPr>
              <w:t xml:space="preserve">G1b PoC-Freigabe (Kritikalität)</w:t>
            </w:r>
          </w:p>
        </w:tc>
        <w:tc>
          <w:tcPr>
            <w:tcW w:type="dxa" w:w="1050"/>
            <w:tcBorders>
              <w:top w:val="single" w:color="B7C3D6" w:sz="4"/>
              <w:left w:val="single" w:color="B7C3D6" w:sz="4"/>
              <w:bottom w:val="single" w:color="B7C3D6" w:sz="4"/>
              <w:right w:val="single" w:color="B7C3D6" w:sz="4"/>
            </w:tcBorders>
            <w:shd w:fill="F3F6FB" w:val="clear"/>
            <w:tcMar>
              <w:top w:type="dxa" w:w="40"/>
              <w:left w:type="dxa" w:w="90"/>
              <w:bottom w:type="dxa" w:w="40"/>
              <w:right w:type="dxa" w:w="90"/>
            </w:tcMar>
            <w:vAlign w:val="center"/>
          </w:tcPr>
          <w:p>
            <w:pPr>
              <w:spacing w:after="10" w:before="10" w:line="270"/>
              <w:jc w:val="center"/>
            </w:pPr>
            <w:r>
              <w:rPr>
                <w:rFonts w:ascii="Calibri" w:cs="Calibri" w:eastAsia="Calibri" w:hAnsi="Calibri"/>
                <w:b w:val="false"/>
                <w:bCs w:val="false"/>
                <w:i w:val="false"/>
                <w:iCs w:val="false"/>
                <w:color w:val="333333"/>
                <w:sz w:val="16"/>
                <w:szCs w:val="16"/>
              </w:rPr>
              <w:t xml:space="preserve">R</w:t>
            </w:r>
          </w:p>
        </w:tc>
        <w:tc>
          <w:tcPr>
            <w:tcW w:type="dxa" w:w="1050"/>
            <w:tcBorders>
              <w:top w:val="single" w:color="B7C3D6" w:sz="4"/>
              <w:left w:val="single" w:color="B7C3D6" w:sz="4"/>
              <w:bottom w:val="single" w:color="B7C3D6" w:sz="4"/>
              <w:right w:val="single" w:color="B7C3D6" w:sz="4"/>
            </w:tcBorders>
            <w:shd w:fill="F3F6FB" w:val="clear"/>
            <w:tcMar>
              <w:top w:type="dxa" w:w="40"/>
              <w:left w:type="dxa" w:w="90"/>
              <w:bottom w:type="dxa" w:w="40"/>
              <w:right w:type="dxa" w:w="90"/>
            </w:tcMar>
            <w:vAlign w:val="center"/>
          </w:tcPr>
          <w:p>
            <w:pPr>
              <w:spacing w:after="10" w:before="10" w:line="270"/>
              <w:jc w:val="center"/>
            </w:pPr>
            <w:r>
              <w:rPr>
                <w:rFonts w:ascii="Calibri" w:cs="Calibri" w:eastAsia="Calibri" w:hAnsi="Calibri"/>
                <w:b w:val="false"/>
                <w:bCs w:val="false"/>
                <w:i w:val="false"/>
                <w:iCs w:val="false"/>
                <w:color w:val="333333"/>
                <w:sz w:val="16"/>
                <w:szCs w:val="16"/>
              </w:rPr>
              <w:t xml:space="preserve">–</w:t>
            </w:r>
          </w:p>
        </w:tc>
        <w:tc>
          <w:tcPr>
            <w:tcW w:type="dxa" w:w="900"/>
            <w:tcBorders>
              <w:top w:val="single" w:color="B7C3D6" w:sz="4"/>
              <w:left w:val="single" w:color="B7C3D6" w:sz="4"/>
              <w:bottom w:val="single" w:color="B7C3D6" w:sz="4"/>
              <w:right w:val="single" w:color="B7C3D6" w:sz="4"/>
            </w:tcBorders>
            <w:shd w:fill="F3F6FB" w:val="clear"/>
            <w:tcMar>
              <w:top w:type="dxa" w:w="40"/>
              <w:left w:type="dxa" w:w="90"/>
              <w:bottom w:type="dxa" w:w="40"/>
              <w:right w:type="dxa" w:w="90"/>
            </w:tcMar>
            <w:vAlign w:val="center"/>
          </w:tcPr>
          <w:p>
            <w:pPr>
              <w:spacing w:after="10" w:before="10" w:line="270"/>
              <w:jc w:val="center"/>
            </w:pPr>
            <w:r>
              <w:rPr>
                <w:rFonts w:ascii="Calibri" w:cs="Calibri" w:eastAsia="Calibri" w:hAnsi="Calibri"/>
                <w:b w:val="false"/>
                <w:bCs w:val="false"/>
                <w:i w:val="false"/>
                <w:iCs w:val="false"/>
                <w:color w:val="333333"/>
                <w:sz w:val="16"/>
                <w:szCs w:val="16"/>
              </w:rPr>
              <w:t xml:space="preserve">C</w:t>
            </w:r>
          </w:p>
        </w:tc>
        <w:tc>
          <w:tcPr>
            <w:tcW w:type="dxa" w:w="950"/>
            <w:tcBorders>
              <w:top w:val="single" w:color="B7C3D6" w:sz="4"/>
              <w:left w:val="single" w:color="B7C3D6" w:sz="4"/>
              <w:bottom w:val="single" w:color="B7C3D6" w:sz="4"/>
              <w:right w:val="single" w:color="B7C3D6" w:sz="4"/>
            </w:tcBorders>
            <w:shd w:fill="F3F6FB" w:val="clear"/>
            <w:tcMar>
              <w:top w:type="dxa" w:w="40"/>
              <w:left w:type="dxa" w:w="90"/>
              <w:bottom w:type="dxa" w:w="40"/>
              <w:right w:type="dxa" w:w="90"/>
            </w:tcMar>
            <w:vAlign w:val="center"/>
          </w:tcPr>
          <w:p>
            <w:pPr>
              <w:spacing w:after="10" w:before="10" w:line="270"/>
              <w:jc w:val="center"/>
            </w:pPr>
            <w:r>
              <w:rPr>
                <w:rFonts w:ascii="Calibri" w:cs="Calibri" w:eastAsia="Calibri" w:hAnsi="Calibri"/>
                <w:b w:val="false"/>
                <w:bCs w:val="false"/>
                <w:i w:val="false"/>
                <w:iCs w:val="false"/>
                <w:color w:val="333333"/>
                <w:sz w:val="16"/>
                <w:szCs w:val="16"/>
              </w:rPr>
              <w:t xml:space="preserve">I</w:t>
            </w:r>
          </w:p>
        </w:tc>
        <w:tc>
          <w:tcPr>
            <w:tcW w:type="dxa" w:w="900"/>
            <w:tcBorders>
              <w:top w:val="single" w:color="B7C3D6" w:sz="4"/>
              <w:left w:val="single" w:color="B7C3D6" w:sz="4"/>
              <w:bottom w:val="single" w:color="B7C3D6" w:sz="4"/>
              <w:right w:val="single" w:color="B7C3D6" w:sz="4"/>
            </w:tcBorders>
            <w:shd w:fill="F3F6FB" w:val="clear"/>
            <w:tcMar>
              <w:top w:type="dxa" w:w="40"/>
              <w:left w:type="dxa" w:w="90"/>
              <w:bottom w:type="dxa" w:w="40"/>
              <w:right w:type="dxa" w:w="90"/>
            </w:tcMar>
            <w:vAlign w:val="center"/>
          </w:tcPr>
          <w:p>
            <w:pPr>
              <w:spacing w:after="10" w:before="10" w:line="270"/>
              <w:jc w:val="center"/>
            </w:pPr>
            <w:r>
              <w:rPr>
                <w:rFonts w:ascii="Calibri" w:cs="Calibri" w:eastAsia="Calibri" w:hAnsi="Calibri"/>
                <w:b w:val="false"/>
                <w:bCs w:val="false"/>
                <w:i w:val="false"/>
                <w:iCs w:val="false"/>
                <w:color w:val="333333"/>
                <w:sz w:val="16"/>
                <w:szCs w:val="16"/>
              </w:rPr>
              <w:t xml:space="preserve">–</w:t>
            </w:r>
          </w:p>
        </w:tc>
        <w:tc>
          <w:tcPr>
            <w:tcW w:type="dxa" w:w="850"/>
            <w:tcBorders>
              <w:top w:val="single" w:color="B7C3D6" w:sz="4"/>
              <w:left w:val="single" w:color="B7C3D6" w:sz="4"/>
              <w:bottom w:val="single" w:color="B7C3D6" w:sz="4"/>
              <w:right w:val="single" w:color="B7C3D6" w:sz="4"/>
            </w:tcBorders>
            <w:shd w:fill="F3F6FB" w:val="clear"/>
            <w:tcMar>
              <w:top w:type="dxa" w:w="40"/>
              <w:left w:type="dxa" w:w="90"/>
              <w:bottom w:type="dxa" w:w="40"/>
              <w:right w:type="dxa" w:w="90"/>
            </w:tcMar>
            <w:vAlign w:val="center"/>
          </w:tcPr>
          <w:p>
            <w:pPr>
              <w:spacing w:after="10" w:before="10" w:line="270"/>
              <w:jc w:val="center"/>
            </w:pPr>
            <w:r>
              <w:rPr>
                <w:rFonts w:ascii="Calibri" w:cs="Calibri" w:eastAsia="Calibri" w:hAnsi="Calibri"/>
                <w:b w:val="false"/>
                <w:bCs w:val="false"/>
                <w:i w:val="false"/>
                <w:iCs w:val="false"/>
                <w:color w:val="333333"/>
                <w:sz w:val="16"/>
                <w:szCs w:val="16"/>
              </w:rPr>
              <w:t xml:space="preserve">–</w:t>
            </w:r>
          </w:p>
        </w:tc>
        <w:tc>
          <w:tcPr>
            <w:tcW w:type="dxa" w:w="850"/>
            <w:tcBorders>
              <w:top w:val="single" w:color="B7C3D6" w:sz="4"/>
              <w:left w:val="single" w:color="B7C3D6" w:sz="4"/>
              <w:bottom w:val="single" w:color="B7C3D6" w:sz="4"/>
              <w:right w:val="single" w:color="B7C3D6" w:sz="4"/>
            </w:tcBorders>
            <w:shd w:fill="F3F6FB" w:val="clear"/>
            <w:tcMar>
              <w:top w:type="dxa" w:w="40"/>
              <w:left w:type="dxa" w:w="90"/>
              <w:bottom w:type="dxa" w:w="40"/>
              <w:right w:type="dxa" w:w="90"/>
            </w:tcMar>
            <w:vAlign w:val="center"/>
          </w:tcPr>
          <w:p>
            <w:pPr>
              <w:spacing w:after="10" w:before="10" w:line="270"/>
              <w:jc w:val="center"/>
            </w:pPr>
            <w:r>
              <w:rPr>
                <w:rFonts w:ascii="Calibri" w:cs="Calibri" w:eastAsia="Calibri" w:hAnsi="Calibri"/>
                <w:b w:val="false"/>
                <w:bCs w:val="false"/>
                <w:i w:val="false"/>
                <w:iCs w:val="false"/>
                <w:color w:val="333333"/>
                <w:sz w:val="16"/>
                <w:szCs w:val="16"/>
              </w:rPr>
              <w:t xml:space="preserve">–</w:t>
            </w:r>
          </w:p>
        </w:tc>
        <w:tc>
          <w:tcPr>
            <w:tcW w:type="dxa" w:w="900"/>
            <w:tcBorders>
              <w:top w:val="single" w:color="B7C3D6" w:sz="4"/>
              <w:left w:val="single" w:color="B7C3D6" w:sz="4"/>
              <w:bottom w:val="single" w:color="B7C3D6" w:sz="4"/>
              <w:right w:val="single" w:color="B7C3D6" w:sz="4"/>
            </w:tcBorders>
            <w:shd w:fill="F3F6FB" w:val="clear"/>
            <w:tcMar>
              <w:top w:type="dxa" w:w="40"/>
              <w:left w:type="dxa" w:w="90"/>
              <w:bottom w:type="dxa" w:w="40"/>
              <w:right w:type="dxa" w:w="90"/>
            </w:tcMar>
            <w:vAlign w:val="center"/>
          </w:tcPr>
          <w:p>
            <w:pPr>
              <w:spacing w:after="10" w:before="10" w:line="270"/>
              <w:jc w:val="center"/>
            </w:pPr>
            <w:r>
              <w:rPr>
                <w:rFonts w:ascii="Calibri" w:cs="Calibri" w:eastAsia="Calibri" w:hAnsi="Calibri"/>
                <w:b w:val="false"/>
                <w:bCs w:val="false"/>
                <w:i w:val="false"/>
                <w:iCs w:val="false"/>
                <w:color w:val="333333"/>
                <w:sz w:val="16"/>
                <w:szCs w:val="16"/>
              </w:rPr>
              <w:t xml:space="preserve">C</w:t>
            </w:r>
          </w:p>
        </w:tc>
        <w:tc>
          <w:tcPr>
            <w:tcW w:type="dxa" w:w="950"/>
            <w:tcBorders>
              <w:top w:val="single" w:color="B7C3D6" w:sz="4"/>
              <w:left w:val="single" w:color="B7C3D6" w:sz="4"/>
              <w:bottom w:val="single" w:color="B7C3D6" w:sz="4"/>
              <w:right w:val="single" w:color="B7C3D6" w:sz="4"/>
            </w:tcBorders>
            <w:shd w:fill="F3F6FB" w:val="clear"/>
            <w:tcMar>
              <w:top w:type="dxa" w:w="40"/>
              <w:left w:type="dxa" w:w="90"/>
              <w:bottom w:type="dxa" w:w="40"/>
              <w:right w:type="dxa" w:w="90"/>
            </w:tcMar>
            <w:vAlign w:val="center"/>
          </w:tcPr>
          <w:p>
            <w:pPr>
              <w:spacing w:after="10" w:before="10" w:line="270"/>
              <w:jc w:val="center"/>
            </w:pPr>
            <w:r>
              <w:rPr>
                <w:rFonts w:ascii="Calibri" w:cs="Calibri" w:eastAsia="Calibri" w:hAnsi="Calibri"/>
                <w:b/>
                <w:bCs/>
                <w:i w:val="false"/>
                <w:iCs w:val="false"/>
                <w:color w:val="A33232"/>
                <w:sz w:val="16"/>
                <w:szCs w:val="16"/>
              </w:rPr>
              <w:t xml:space="preserve">A</w:t>
            </w:r>
          </w:p>
        </w:tc>
      </w:tr>
      <w:tr>
        <w:trPr>
          <w:cantSplit/>
        </w:trPr>
        <w:tc>
          <w:tcPr>
            <w:tcW w:type="dxa" w:w="2706"/>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line="270"/>
            </w:pPr>
            <w:r>
              <w:rPr>
                <w:rFonts w:ascii="Calibri" w:cs="Calibri" w:eastAsia="Calibri" w:hAnsi="Calibri"/>
                <w:b/>
                <w:bCs/>
                <w:i w:val="false"/>
                <w:iCs w:val="false"/>
                <w:color w:val="222222"/>
                <w:sz w:val="16"/>
                <w:szCs w:val="16"/>
              </w:rPr>
              <w:t xml:space="preserve">G2 Go-Live-Freigabe (Telemetrie-Gate)</w:t>
            </w:r>
          </w:p>
        </w:tc>
        <w:tc>
          <w:tcPr>
            <w:tcW w:type="dxa" w:w="1050"/>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line="270"/>
              <w:jc w:val="center"/>
            </w:pPr>
            <w:r>
              <w:rPr>
                <w:rFonts w:ascii="Calibri" w:cs="Calibri" w:eastAsia="Calibri" w:hAnsi="Calibri"/>
                <w:b w:val="false"/>
                <w:bCs w:val="false"/>
                <w:i w:val="false"/>
                <w:iCs w:val="false"/>
                <w:color w:val="333333"/>
                <w:sz w:val="16"/>
                <w:szCs w:val="16"/>
              </w:rPr>
              <w:t xml:space="preserve">R</w:t>
            </w:r>
          </w:p>
        </w:tc>
        <w:tc>
          <w:tcPr>
            <w:tcW w:type="dxa" w:w="1050"/>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line="270"/>
              <w:jc w:val="center"/>
            </w:pPr>
            <w:r>
              <w:rPr>
                <w:rFonts w:ascii="Calibri" w:cs="Calibri" w:eastAsia="Calibri" w:hAnsi="Calibri"/>
                <w:b w:val="false"/>
                <w:bCs w:val="false"/>
                <w:i w:val="false"/>
                <w:iCs w:val="false"/>
                <w:color w:val="333333"/>
                <w:sz w:val="16"/>
                <w:szCs w:val="16"/>
              </w:rPr>
              <w:t xml:space="preserve">R</w:t>
            </w:r>
          </w:p>
        </w:tc>
        <w:tc>
          <w:tcPr>
            <w:tcW w:type="dxa" w:w="900"/>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line="270"/>
              <w:jc w:val="center"/>
            </w:pPr>
            <w:r>
              <w:rPr>
                <w:rFonts w:ascii="Calibri" w:cs="Calibri" w:eastAsia="Calibri" w:hAnsi="Calibri"/>
                <w:b/>
                <w:bCs/>
                <w:i w:val="false"/>
                <w:iCs w:val="false"/>
                <w:color w:val="A33232"/>
                <w:sz w:val="16"/>
                <w:szCs w:val="16"/>
              </w:rPr>
              <w:t xml:space="preserve">A</w:t>
            </w:r>
          </w:p>
        </w:tc>
        <w:tc>
          <w:tcPr>
            <w:tcW w:type="dxa" w:w="950"/>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line="270"/>
              <w:jc w:val="center"/>
            </w:pPr>
            <w:r>
              <w:rPr>
                <w:rFonts w:ascii="Calibri" w:cs="Calibri" w:eastAsia="Calibri" w:hAnsi="Calibri"/>
                <w:b w:val="false"/>
                <w:bCs w:val="false"/>
                <w:i w:val="false"/>
                <w:iCs w:val="false"/>
                <w:color w:val="333333"/>
                <w:sz w:val="16"/>
                <w:szCs w:val="16"/>
              </w:rPr>
              <w:t xml:space="preserve">I</w:t>
            </w:r>
          </w:p>
        </w:tc>
        <w:tc>
          <w:tcPr>
            <w:tcW w:type="dxa" w:w="900"/>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line="270"/>
              <w:jc w:val="center"/>
            </w:pPr>
            <w:r>
              <w:rPr>
                <w:rFonts w:ascii="Calibri" w:cs="Calibri" w:eastAsia="Calibri" w:hAnsi="Calibri"/>
                <w:b w:val="false"/>
                <w:bCs w:val="false"/>
                <w:i w:val="false"/>
                <w:iCs w:val="false"/>
                <w:color w:val="333333"/>
                <w:sz w:val="16"/>
                <w:szCs w:val="16"/>
              </w:rPr>
              <w:t xml:space="preserve">C</w:t>
            </w:r>
          </w:p>
        </w:tc>
        <w:tc>
          <w:tcPr>
            <w:tcW w:type="dxa" w:w="850"/>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line="270"/>
              <w:jc w:val="center"/>
            </w:pPr>
            <w:r>
              <w:rPr>
                <w:rFonts w:ascii="Calibri" w:cs="Calibri" w:eastAsia="Calibri" w:hAnsi="Calibri"/>
                <w:b w:val="false"/>
                <w:bCs w:val="false"/>
                <w:i w:val="false"/>
                <w:iCs w:val="false"/>
                <w:color w:val="333333"/>
                <w:sz w:val="16"/>
                <w:szCs w:val="16"/>
              </w:rPr>
              <w:t xml:space="preserve">–</w:t>
            </w:r>
          </w:p>
        </w:tc>
        <w:tc>
          <w:tcPr>
            <w:tcW w:type="dxa" w:w="850"/>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line="270"/>
              <w:jc w:val="center"/>
            </w:pPr>
            <w:r>
              <w:rPr>
                <w:rFonts w:ascii="Calibri" w:cs="Calibri" w:eastAsia="Calibri" w:hAnsi="Calibri"/>
                <w:b w:val="false"/>
                <w:bCs w:val="false"/>
                <w:i w:val="false"/>
                <w:iCs w:val="false"/>
                <w:color w:val="333333"/>
                <w:sz w:val="16"/>
                <w:szCs w:val="16"/>
              </w:rPr>
              <w:t xml:space="preserve">C</w:t>
            </w:r>
          </w:p>
        </w:tc>
        <w:tc>
          <w:tcPr>
            <w:tcW w:type="dxa" w:w="900"/>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line="270"/>
              <w:jc w:val="center"/>
            </w:pPr>
            <w:r>
              <w:rPr>
                <w:rFonts w:ascii="Calibri" w:cs="Calibri" w:eastAsia="Calibri" w:hAnsi="Calibri"/>
                <w:b w:val="false"/>
                <w:bCs w:val="false"/>
                <w:i w:val="false"/>
                <w:iCs w:val="false"/>
                <w:color w:val="333333"/>
                <w:sz w:val="16"/>
                <w:szCs w:val="16"/>
              </w:rPr>
              <w:t xml:space="preserve">C</w:t>
            </w:r>
          </w:p>
        </w:tc>
        <w:tc>
          <w:tcPr>
            <w:tcW w:type="dxa" w:w="950"/>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line="270"/>
              <w:jc w:val="center"/>
            </w:pPr>
            <w:r>
              <w:rPr>
                <w:rFonts w:ascii="Calibri" w:cs="Calibri" w:eastAsia="Calibri" w:hAnsi="Calibri"/>
                <w:b w:val="false"/>
                <w:bCs w:val="false"/>
                <w:i w:val="false"/>
                <w:iCs w:val="false"/>
                <w:color w:val="333333"/>
                <w:sz w:val="16"/>
                <w:szCs w:val="16"/>
              </w:rPr>
              <w:t xml:space="preserve">I</w:t>
            </w:r>
          </w:p>
        </w:tc>
      </w:tr>
      <w:tr>
        <w:trPr>
          <w:cantSplit/>
        </w:trPr>
        <w:tc>
          <w:tcPr>
            <w:tcW w:type="dxa" w:w="2706"/>
            <w:tcBorders>
              <w:top w:val="single" w:color="B7C3D6" w:sz="4"/>
              <w:left w:val="single" w:color="B7C3D6" w:sz="4"/>
              <w:bottom w:val="single" w:color="B7C3D6" w:sz="4"/>
              <w:right w:val="single" w:color="B7C3D6" w:sz="4"/>
            </w:tcBorders>
            <w:shd w:fill="F3F6FB" w:val="clear"/>
            <w:tcMar>
              <w:top w:type="dxa" w:w="40"/>
              <w:left w:type="dxa" w:w="90"/>
              <w:bottom w:type="dxa" w:w="40"/>
              <w:right w:type="dxa" w:w="90"/>
            </w:tcMar>
            <w:vAlign w:val="center"/>
          </w:tcPr>
          <w:p>
            <w:pPr>
              <w:spacing w:after="10" w:before="10" w:line="270"/>
            </w:pPr>
            <w:r>
              <w:rPr>
                <w:rFonts w:ascii="Calibri" w:cs="Calibri" w:eastAsia="Calibri" w:hAnsi="Calibri"/>
                <w:b/>
                <w:bCs/>
                <w:i w:val="false"/>
                <w:iCs w:val="false"/>
                <w:color w:val="222222"/>
                <w:sz w:val="16"/>
                <w:szCs w:val="16"/>
              </w:rPr>
              <w:t xml:space="preserve">G3 Quartals-Value-Review (Ampel)</w:t>
            </w:r>
          </w:p>
        </w:tc>
        <w:tc>
          <w:tcPr>
            <w:tcW w:type="dxa" w:w="1050"/>
            <w:tcBorders>
              <w:top w:val="single" w:color="B7C3D6" w:sz="4"/>
              <w:left w:val="single" w:color="B7C3D6" w:sz="4"/>
              <w:bottom w:val="single" w:color="B7C3D6" w:sz="4"/>
              <w:right w:val="single" w:color="B7C3D6" w:sz="4"/>
            </w:tcBorders>
            <w:shd w:fill="F3F6FB" w:val="clear"/>
            <w:tcMar>
              <w:top w:type="dxa" w:w="40"/>
              <w:left w:type="dxa" w:w="90"/>
              <w:bottom w:type="dxa" w:w="40"/>
              <w:right w:type="dxa" w:w="90"/>
            </w:tcMar>
            <w:vAlign w:val="center"/>
          </w:tcPr>
          <w:p>
            <w:pPr>
              <w:spacing w:after="10" w:before="10" w:line="270"/>
              <w:jc w:val="center"/>
            </w:pPr>
            <w:r>
              <w:rPr>
                <w:rFonts w:ascii="Calibri" w:cs="Calibri" w:eastAsia="Calibri" w:hAnsi="Calibri"/>
                <w:b w:val="false"/>
                <w:bCs w:val="false"/>
                <w:i w:val="false"/>
                <w:iCs w:val="false"/>
                <w:color w:val="333333"/>
                <w:sz w:val="16"/>
                <w:szCs w:val="16"/>
              </w:rPr>
              <w:t xml:space="preserve">R</w:t>
            </w:r>
          </w:p>
        </w:tc>
        <w:tc>
          <w:tcPr>
            <w:tcW w:type="dxa" w:w="1050"/>
            <w:tcBorders>
              <w:top w:val="single" w:color="B7C3D6" w:sz="4"/>
              <w:left w:val="single" w:color="B7C3D6" w:sz="4"/>
              <w:bottom w:val="single" w:color="B7C3D6" w:sz="4"/>
              <w:right w:val="single" w:color="B7C3D6" w:sz="4"/>
            </w:tcBorders>
            <w:shd w:fill="F3F6FB" w:val="clear"/>
            <w:tcMar>
              <w:top w:type="dxa" w:w="40"/>
              <w:left w:type="dxa" w:w="90"/>
              <w:bottom w:type="dxa" w:w="40"/>
              <w:right w:type="dxa" w:w="90"/>
            </w:tcMar>
            <w:vAlign w:val="center"/>
          </w:tcPr>
          <w:p>
            <w:pPr>
              <w:spacing w:after="10" w:before="10" w:line="270"/>
              <w:jc w:val="center"/>
            </w:pPr>
            <w:r>
              <w:rPr>
                <w:rFonts w:ascii="Calibri" w:cs="Calibri" w:eastAsia="Calibri" w:hAnsi="Calibri"/>
                <w:b w:val="false"/>
                <w:bCs w:val="false"/>
                <w:i w:val="false"/>
                <w:iCs w:val="false"/>
                <w:color w:val="333333"/>
                <w:sz w:val="16"/>
                <w:szCs w:val="16"/>
              </w:rPr>
              <w:t xml:space="preserve">R</w:t>
            </w:r>
          </w:p>
        </w:tc>
        <w:tc>
          <w:tcPr>
            <w:tcW w:type="dxa" w:w="900"/>
            <w:tcBorders>
              <w:top w:val="single" w:color="B7C3D6" w:sz="4"/>
              <w:left w:val="single" w:color="B7C3D6" w:sz="4"/>
              <w:bottom w:val="single" w:color="B7C3D6" w:sz="4"/>
              <w:right w:val="single" w:color="B7C3D6" w:sz="4"/>
            </w:tcBorders>
            <w:shd w:fill="F3F6FB" w:val="clear"/>
            <w:tcMar>
              <w:top w:type="dxa" w:w="40"/>
              <w:left w:type="dxa" w:w="90"/>
              <w:bottom w:type="dxa" w:w="40"/>
              <w:right w:type="dxa" w:w="90"/>
            </w:tcMar>
            <w:vAlign w:val="center"/>
          </w:tcPr>
          <w:p>
            <w:pPr>
              <w:spacing w:after="10" w:before="10" w:line="270"/>
              <w:jc w:val="center"/>
            </w:pPr>
            <w:r>
              <w:rPr>
                <w:rFonts w:ascii="Calibri" w:cs="Calibri" w:eastAsia="Calibri" w:hAnsi="Calibri"/>
                <w:b w:val="false"/>
                <w:bCs w:val="false"/>
                <w:i w:val="false"/>
                <w:iCs w:val="false"/>
                <w:color w:val="333333"/>
                <w:sz w:val="16"/>
                <w:szCs w:val="16"/>
              </w:rPr>
              <w:t xml:space="preserve">C</w:t>
            </w:r>
          </w:p>
        </w:tc>
        <w:tc>
          <w:tcPr>
            <w:tcW w:type="dxa" w:w="950"/>
            <w:tcBorders>
              <w:top w:val="single" w:color="B7C3D6" w:sz="4"/>
              <w:left w:val="single" w:color="B7C3D6" w:sz="4"/>
              <w:bottom w:val="single" w:color="B7C3D6" w:sz="4"/>
              <w:right w:val="single" w:color="B7C3D6" w:sz="4"/>
            </w:tcBorders>
            <w:shd w:fill="F3F6FB" w:val="clear"/>
            <w:tcMar>
              <w:top w:type="dxa" w:w="40"/>
              <w:left w:type="dxa" w:w="90"/>
              <w:bottom w:type="dxa" w:w="40"/>
              <w:right w:type="dxa" w:w="90"/>
            </w:tcMar>
            <w:vAlign w:val="center"/>
          </w:tcPr>
          <w:p>
            <w:pPr>
              <w:spacing w:after="10" w:before="10" w:line="270"/>
              <w:jc w:val="center"/>
            </w:pPr>
            <w:r>
              <w:rPr>
                <w:rFonts w:ascii="Calibri" w:cs="Calibri" w:eastAsia="Calibri" w:hAnsi="Calibri"/>
                <w:b/>
                <w:bCs/>
                <w:i w:val="false"/>
                <w:iCs w:val="false"/>
                <w:color w:val="A33232"/>
                <w:sz w:val="16"/>
                <w:szCs w:val="16"/>
              </w:rPr>
              <w:t xml:space="preserve">A</w:t>
            </w:r>
          </w:p>
        </w:tc>
        <w:tc>
          <w:tcPr>
            <w:tcW w:type="dxa" w:w="900"/>
            <w:tcBorders>
              <w:top w:val="single" w:color="B7C3D6" w:sz="4"/>
              <w:left w:val="single" w:color="B7C3D6" w:sz="4"/>
              <w:bottom w:val="single" w:color="B7C3D6" w:sz="4"/>
              <w:right w:val="single" w:color="B7C3D6" w:sz="4"/>
            </w:tcBorders>
            <w:shd w:fill="F3F6FB" w:val="clear"/>
            <w:tcMar>
              <w:top w:type="dxa" w:w="40"/>
              <w:left w:type="dxa" w:w="90"/>
              <w:bottom w:type="dxa" w:w="40"/>
              <w:right w:type="dxa" w:w="90"/>
            </w:tcMar>
            <w:vAlign w:val="center"/>
          </w:tcPr>
          <w:p>
            <w:pPr>
              <w:spacing w:after="10" w:before="10" w:line="270"/>
              <w:jc w:val="center"/>
            </w:pPr>
            <w:r>
              <w:rPr>
                <w:rFonts w:ascii="Calibri" w:cs="Calibri" w:eastAsia="Calibri" w:hAnsi="Calibri"/>
                <w:b w:val="false"/>
                <w:bCs w:val="false"/>
                <w:i w:val="false"/>
                <w:iCs w:val="false"/>
                <w:color w:val="333333"/>
                <w:sz w:val="16"/>
                <w:szCs w:val="16"/>
              </w:rPr>
              <w:t xml:space="preserve">I</w:t>
            </w:r>
          </w:p>
        </w:tc>
        <w:tc>
          <w:tcPr>
            <w:tcW w:type="dxa" w:w="850"/>
            <w:tcBorders>
              <w:top w:val="single" w:color="B7C3D6" w:sz="4"/>
              <w:left w:val="single" w:color="B7C3D6" w:sz="4"/>
              <w:bottom w:val="single" w:color="B7C3D6" w:sz="4"/>
              <w:right w:val="single" w:color="B7C3D6" w:sz="4"/>
            </w:tcBorders>
            <w:shd w:fill="F3F6FB" w:val="clear"/>
            <w:tcMar>
              <w:top w:type="dxa" w:w="40"/>
              <w:left w:type="dxa" w:w="90"/>
              <w:bottom w:type="dxa" w:w="40"/>
              <w:right w:type="dxa" w:w="90"/>
            </w:tcMar>
            <w:vAlign w:val="center"/>
          </w:tcPr>
          <w:p>
            <w:pPr>
              <w:spacing w:after="10" w:before="10" w:line="270"/>
              <w:jc w:val="center"/>
            </w:pPr>
            <w:r>
              <w:rPr>
                <w:rFonts w:ascii="Calibri" w:cs="Calibri" w:eastAsia="Calibri" w:hAnsi="Calibri"/>
                <w:b w:val="false"/>
                <w:bCs w:val="false"/>
                <w:i w:val="false"/>
                <w:iCs w:val="false"/>
                <w:color w:val="333333"/>
                <w:sz w:val="16"/>
                <w:szCs w:val="16"/>
              </w:rPr>
              <w:t xml:space="preserve">C</w:t>
            </w:r>
          </w:p>
        </w:tc>
        <w:tc>
          <w:tcPr>
            <w:tcW w:type="dxa" w:w="850"/>
            <w:tcBorders>
              <w:top w:val="single" w:color="B7C3D6" w:sz="4"/>
              <w:left w:val="single" w:color="B7C3D6" w:sz="4"/>
              <w:bottom w:val="single" w:color="B7C3D6" w:sz="4"/>
              <w:right w:val="single" w:color="B7C3D6" w:sz="4"/>
            </w:tcBorders>
            <w:shd w:fill="F3F6FB" w:val="clear"/>
            <w:tcMar>
              <w:top w:type="dxa" w:w="40"/>
              <w:left w:type="dxa" w:w="90"/>
              <w:bottom w:type="dxa" w:w="40"/>
              <w:right w:type="dxa" w:w="90"/>
            </w:tcMar>
            <w:vAlign w:val="center"/>
          </w:tcPr>
          <w:p>
            <w:pPr>
              <w:spacing w:after="10" w:before="10" w:line="270"/>
              <w:jc w:val="center"/>
            </w:pPr>
            <w:r>
              <w:rPr>
                <w:rFonts w:ascii="Calibri" w:cs="Calibri" w:eastAsia="Calibri" w:hAnsi="Calibri"/>
                <w:b w:val="false"/>
                <w:bCs w:val="false"/>
                <w:i w:val="false"/>
                <w:iCs w:val="false"/>
                <w:color w:val="333333"/>
                <w:sz w:val="16"/>
                <w:szCs w:val="16"/>
              </w:rPr>
              <w:t xml:space="preserve">–</w:t>
            </w:r>
          </w:p>
        </w:tc>
        <w:tc>
          <w:tcPr>
            <w:tcW w:type="dxa" w:w="900"/>
            <w:tcBorders>
              <w:top w:val="single" w:color="B7C3D6" w:sz="4"/>
              <w:left w:val="single" w:color="B7C3D6" w:sz="4"/>
              <w:bottom w:val="single" w:color="B7C3D6" w:sz="4"/>
              <w:right w:val="single" w:color="B7C3D6" w:sz="4"/>
            </w:tcBorders>
            <w:shd w:fill="F3F6FB" w:val="clear"/>
            <w:tcMar>
              <w:top w:type="dxa" w:w="40"/>
              <w:left w:type="dxa" w:w="90"/>
              <w:bottom w:type="dxa" w:w="40"/>
              <w:right w:type="dxa" w:w="90"/>
            </w:tcMar>
            <w:vAlign w:val="center"/>
          </w:tcPr>
          <w:p>
            <w:pPr>
              <w:spacing w:after="10" w:before="10" w:line="270"/>
              <w:jc w:val="center"/>
            </w:pPr>
            <w:r>
              <w:rPr>
                <w:rFonts w:ascii="Calibri" w:cs="Calibri" w:eastAsia="Calibri" w:hAnsi="Calibri"/>
                <w:b w:val="false"/>
                <w:bCs w:val="false"/>
                <w:i w:val="false"/>
                <w:iCs w:val="false"/>
                <w:color w:val="333333"/>
                <w:sz w:val="16"/>
                <w:szCs w:val="16"/>
              </w:rPr>
              <w:t xml:space="preserve">–</w:t>
            </w:r>
          </w:p>
        </w:tc>
        <w:tc>
          <w:tcPr>
            <w:tcW w:type="dxa" w:w="950"/>
            <w:tcBorders>
              <w:top w:val="single" w:color="B7C3D6" w:sz="4"/>
              <w:left w:val="single" w:color="B7C3D6" w:sz="4"/>
              <w:bottom w:val="single" w:color="B7C3D6" w:sz="4"/>
              <w:right w:val="single" w:color="B7C3D6" w:sz="4"/>
            </w:tcBorders>
            <w:shd w:fill="F3F6FB" w:val="clear"/>
            <w:tcMar>
              <w:top w:type="dxa" w:w="40"/>
              <w:left w:type="dxa" w:w="90"/>
              <w:bottom w:type="dxa" w:w="40"/>
              <w:right w:type="dxa" w:w="90"/>
            </w:tcMar>
            <w:vAlign w:val="center"/>
          </w:tcPr>
          <w:p>
            <w:pPr>
              <w:spacing w:after="10" w:before="10" w:line="270"/>
              <w:jc w:val="center"/>
            </w:pPr>
            <w:r>
              <w:rPr>
                <w:rFonts w:ascii="Calibri" w:cs="Calibri" w:eastAsia="Calibri" w:hAnsi="Calibri"/>
                <w:b w:val="false"/>
                <w:bCs w:val="false"/>
                <w:i w:val="false"/>
                <w:iCs w:val="false"/>
                <w:color w:val="333333"/>
                <w:sz w:val="16"/>
                <w:szCs w:val="16"/>
              </w:rPr>
              <w:t xml:space="preserve">–</w:t>
            </w:r>
          </w:p>
        </w:tc>
      </w:tr>
      <w:tr>
        <w:trPr>
          <w:cantSplit/>
        </w:trPr>
        <w:tc>
          <w:tcPr>
            <w:tcW w:type="dxa" w:w="2706"/>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line="270"/>
            </w:pPr>
            <w:r>
              <w:rPr>
                <w:rFonts w:ascii="Calibri" w:cs="Calibri" w:eastAsia="Calibri" w:hAnsi="Calibri"/>
                <w:b/>
                <w:bCs/>
                <w:i w:val="false"/>
                <w:iCs w:val="false"/>
                <w:color w:val="222222"/>
                <w:sz w:val="16"/>
                <w:szCs w:val="16"/>
              </w:rPr>
              <w:t xml:space="preserve">G4 Scaling-/Rollout-Beschluss</w:t>
            </w:r>
          </w:p>
        </w:tc>
        <w:tc>
          <w:tcPr>
            <w:tcW w:type="dxa" w:w="1050"/>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line="270"/>
              <w:jc w:val="center"/>
            </w:pPr>
            <w:r>
              <w:rPr>
                <w:rFonts w:ascii="Calibri" w:cs="Calibri" w:eastAsia="Calibri" w:hAnsi="Calibri"/>
                <w:b w:val="false"/>
                <w:bCs w:val="false"/>
                <w:i w:val="false"/>
                <w:iCs w:val="false"/>
                <w:color w:val="333333"/>
                <w:sz w:val="16"/>
                <w:szCs w:val="16"/>
              </w:rPr>
              <w:t xml:space="preserve">C</w:t>
            </w:r>
          </w:p>
        </w:tc>
        <w:tc>
          <w:tcPr>
            <w:tcW w:type="dxa" w:w="1050"/>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line="270"/>
              <w:jc w:val="center"/>
            </w:pPr>
            <w:r>
              <w:rPr>
                <w:rFonts w:ascii="Calibri" w:cs="Calibri" w:eastAsia="Calibri" w:hAnsi="Calibri"/>
                <w:b w:val="false"/>
                <w:bCs w:val="false"/>
                <w:i w:val="false"/>
                <w:iCs w:val="false"/>
                <w:color w:val="333333"/>
                <w:sz w:val="16"/>
                <w:szCs w:val="16"/>
              </w:rPr>
              <w:t xml:space="preserve">C</w:t>
            </w:r>
          </w:p>
        </w:tc>
        <w:tc>
          <w:tcPr>
            <w:tcW w:type="dxa" w:w="900"/>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line="270"/>
              <w:jc w:val="center"/>
            </w:pPr>
            <w:r>
              <w:rPr>
                <w:rFonts w:ascii="Calibri" w:cs="Calibri" w:eastAsia="Calibri" w:hAnsi="Calibri"/>
                <w:b w:val="false"/>
                <w:bCs w:val="false"/>
                <w:i w:val="false"/>
                <w:iCs w:val="false"/>
                <w:color w:val="333333"/>
                <w:sz w:val="16"/>
                <w:szCs w:val="16"/>
              </w:rPr>
              <w:t xml:space="preserve">R</w:t>
            </w:r>
          </w:p>
        </w:tc>
        <w:tc>
          <w:tcPr>
            <w:tcW w:type="dxa" w:w="950"/>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line="270"/>
              <w:jc w:val="center"/>
            </w:pPr>
            <w:r>
              <w:rPr>
                <w:rFonts w:ascii="Calibri" w:cs="Calibri" w:eastAsia="Calibri" w:hAnsi="Calibri"/>
                <w:b/>
                <w:bCs/>
                <w:i w:val="false"/>
                <w:iCs w:val="false"/>
                <w:color w:val="A33232"/>
                <w:sz w:val="16"/>
                <w:szCs w:val="16"/>
              </w:rPr>
              <w:t xml:space="preserve">A</w:t>
            </w:r>
          </w:p>
        </w:tc>
        <w:tc>
          <w:tcPr>
            <w:tcW w:type="dxa" w:w="900"/>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line="270"/>
              <w:jc w:val="center"/>
            </w:pPr>
            <w:r>
              <w:rPr>
                <w:rFonts w:ascii="Calibri" w:cs="Calibri" w:eastAsia="Calibri" w:hAnsi="Calibri"/>
                <w:b w:val="false"/>
                <w:bCs w:val="false"/>
                <w:i w:val="false"/>
                <w:iCs w:val="false"/>
                <w:color w:val="333333"/>
                <w:sz w:val="16"/>
                <w:szCs w:val="16"/>
              </w:rPr>
              <w:t xml:space="preserve">R ¹</w:t>
            </w:r>
          </w:p>
        </w:tc>
        <w:tc>
          <w:tcPr>
            <w:tcW w:type="dxa" w:w="850"/>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line="270"/>
              <w:jc w:val="center"/>
            </w:pPr>
            <w:r>
              <w:rPr>
                <w:rFonts w:ascii="Calibri" w:cs="Calibri" w:eastAsia="Calibri" w:hAnsi="Calibri"/>
                <w:b w:val="false"/>
                <w:bCs w:val="false"/>
                <w:i w:val="false"/>
                <w:iCs w:val="false"/>
                <w:color w:val="333333"/>
                <w:sz w:val="16"/>
                <w:szCs w:val="16"/>
              </w:rPr>
              <w:t xml:space="preserve">I</w:t>
            </w:r>
          </w:p>
        </w:tc>
        <w:tc>
          <w:tcPr>
            <w:tcW w:type="dxa" w:w="850"/>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line="270"/>
              <w:jc w:val="center"/>
            </w:pPr>
            <w:r>
              <w:rPr>
                <w:rFonts w:ascii="Calibri" w:cs="Calibri" w:eastAsia="Calibri" w:hAnsi="Calibri"/>
                <w:b w:val="false"/>
                <w:bCs w:val="false"/>
                <w:i w:val="false"/>
                <w:iCs w:val="false"/>
                <w:color w:val="333333"/>
                <w:sz w:val="16"/>
                <w:szCs w:val="16"/>
              </w:rPr>
              <w:t xml:space="preserve">–</w:t>
            </w:r>
          </w:p>
        </w:tc>
        <w:tc>
          <w:tcPr>
            <w:tcW w:type="dxa" w:w="900"/>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line="270"/>
              <w:jc w:val="center"/>
            </w:pPr>
            <w:r>
              <w:rPr>
                <w:rFonts w:ascii="Calibri" w:cs="Calibri" w:eastAsia="Calibri" w:hAnsi="Calibri"/>
                <w:b w:val="false"/>
                <w:bCs w:val="false"/>
                <w:i w:val="false"/>
                <w:iCs w:val="false"/>
                <w:color w:val="333333"/>
                <w:sz w:val="16"/>
                <w:szCs w:val="16"/>
              </w:rPr>
              <w:t xml:space="preserve">–</w:t>
            </w:r>
          </w:p>
        </w:tc>
        <w:tc>
          <w:tcPr>
            <w:tcW w:type="dxa" w:w="950"/>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line="270"/>
              <w:jc w:val="center"/>
            </w:pPr>
            <w:r>
              <w:rPr>
                <w:rFonts w:ascii="Calibri" w:cs="Calibri" w:eastAsia="Calibri" w:hAnsi="Calibri"/>
                <w:b w:val="false"/>
                <w:bCs w:val="false"/>
                <w:i w:val="false"/>
                <w:iCs w:val="false"/>
                <w:color w:val="333333"/>
                <w:sz w:val="16"/>
                <w:szCs w:val="16"/>
              </w:rPr>
              <w:t xml:space="preserve">–</w:t>
            </w:r>
          </w:p>
        </w:tc>
      </w:tr>
      <w:tr>
        <w:trPr>
          <w:cantSplit/>
        </w:trPr>
        <w:tc>
          <w:tcPr>
            <w:tcW w:type="dxa" w:w="2706"/>
            <w:tcBorders>
              <w:top w:val="single" w:color="B7C3D6" w:sz="4"/>
              <w:left w:val="single" w:color="B7C3D6" w:sz="4"/>
              <w:bottom w:val="single" w:color="B7C3D6" w:sz="4"/>
              <w:right w:val="single" w:color="B7C3D6" w:sz="4"/>
            </w:tcBorders>
            <w:shd w:fill="F3F6FB" w:val="clear"/>
            <w:tcMar>
              <w:top w:type="dxa" w:w="40"/>
              <w:left w:type="dxa" w:w="90"/>
              <w:bottom w:type="dxa" w:w="40"/>
              <w:right w:type="dxa" w:w="90"/>
            </w:tcMar>
            <w:vAlign w:val="center"/>
          </w:tcPr>
          <w:p>
            <w:pPr>
              <w:spacing w:after="10" w:before="10" w:line="270"/>
            </w:pPr>
            <w:r>
              <w:rPr>
                <w:rFonts w:ascii="Calibri" w:cs="Calibri" w:eastAsia="Calibri" w:hAnsi="Calibri"/>
                <w:b/>
                <w:bCs/>
                <w:i w:val="false"/>
                <w:iCs w:val="false"/>
                <w:color w:val="222222"/>
                <w:sz w:val="16"/>
                <w:szCs w:val="16"/>
              </w:rPr>
              <w:t xml:space="preserve">G5 Kill-Beschluss</w:t>
            </w:r>
          </w:p>
        </w:tc>
        <w:tc>
          <w:tcPr>
            <w:tcW w:type="dxa" w:w="1050"/>
            <w:tcBorders>
              <w:top w:val="single" w:color="B7C3D6" w:sz="4"/>
              <w:left w:val="single" w:color="B7C3D6" w:sz="4"/>
              <w:bottom w:val="single" w:color="B7C3D6" w:sz="4"/>
              <w:right w:val="single" w:color="B7C3D6" w:sz="4"/>
            </w:tcBorders>
            <w:shd w:fill="F3F6FB" w:val="clear"/>
            <w:tcMar>
              <w:top w:type="dxa" w:w="40"/>
              <w:left w:type="dxa" w:w="90"/>
              <w:bottom w:type="dxa" w:w="40"/>
              <w:right w:type="dxa" w:w="90"/>
            </w:tcMar>
            <w:vAlign w:val="center"/>
          </w:tcPr>
          <w:p>
            <w:pPr>
              <w:spacing w:after="10" w:before="10" w:line="270"/>
              <w:jc w:val="center"/>
            </w:pPr>
            <w:r>
              <w:rPr>
                <w:rFonts w:ascii="Calibri" w:cs="Calibri" w:eastAsia="Calibri" w:hAnsi="Calibri"/>
                <w:b w:val="false"/>
                <w:bCs w:val="false"/>
                <w:i w:val="false"/>
                <w:iCs w:val="false"/>
                <w:color w:val="333333"/>
                <w:sz w:val="16"/>
                <w:szCs w:val="16"/>
              </w:rPr>
              <w:t xml:space="preserve">C</w:t>
            </w:r>
          </w:p>
        </w:tc>
        <w:tc>
          <w:tcPr>
            <w:tcW w:type="dxa" w:w="1050"/>
            <w:tcBorders>
              <w:top w:val="single" w:color="B7C3D6" w:sz="4"/>
              <w:left w:val="single" w:color="B7C3D6" w:sz="4"/>
              <w:bottom w:val="single" w:color="B7C3D6" w:sz="4"/>
              <w:right w:val="single" w:color="B7C3D6" w:sz="4"/>
            </w:tcBorders>
            <w:shd w:fill="F3F6FB" w:val="clear"/>
            <w:tcMar>
              <w:top w:type="dxa" w:w="40"/>
              <w:left w:type="dxa" w:w="90"/>
              <w:bottom w:type="dxa" w:w="40"/>
              <w:right w:type="dxa" w:w="90"/>
            </w:tcMar>
            <w:vAlign w:val="center"/>
          </w:tcPr>
          <w:p>
            <w:pPr>
              <w:spacing w:after="10" w:before="10" w:line="270"/>
              <w:jc w:val="center"/>
            </w:pPr>
            <w:r>
              <w:rPr>
                <w:rFonts w:ascii="Calibri" w:cs="Calibri" w:eastAsia="Calibri" w:hAnsi="Calibri"/>
                <w:b w:val="false"/>
                <w:bCs w:val="false"/>
                <w:i w:val="false"/>
                <w:iCs w:val="false"/>
                <w:color w:val="333333"/>
                <w:sz w:val="16"/>
                <w:szCs w:val="16"/>
              </w:rPr>
              <w:t xml:space="preserve">C</w:t>
            </w:r>
          </w:p>
        </w:tc>
        <w:tc>
          <w:tcPr>
            <w:tcW w:type="dxa" w:w="900"/>
            <w:tcBorders>
              <w:top w:val="single" w:color="B7C3D6" w:sz="4"/>
              <w:left w:val="single" w:color="B7C3D6" w:sz="4"/>
              <w:bottom w:val="single" w:color="B7C3D6" w:sz="4"/>
              <w:right w:val="single" w:color="B7C3D6" w:sz="4"/>
            </w:tcBorders>
            <w:shd w:fill="F3F6FB" w:val="clear"/>
            <w:tcMar>
              <w:top w:type="dxa" w:w="40"/>
              <w:left w:type="dxa" w:w="90"/>
              <w:bottom w:type="dxa" w:w="40"/>
              <w:right w:type="dxa" w:w="90"/>
            </w:tcMar>
            <w:vAlign w:val="center"/>
          </w:tcPr>
          <w:p>
            <w:pPr>
              <w:spacing w:after="10" w:before="10" w:line="270"/>
              <w:jc w:val="center"/>
            </w:pPr>
            <w:r>
              <w:rPr>
                <w:rFonts w:ascii="Calibri" w:cs="Calibri" w:eastAsia="Calibri" w:hAnsi="Calibri"/>
                <w:b w:val="false"/>
                <w:bCs w:val="false"/>
                <w:i w:val="false"/>
                <w:iCs w:val="false"/>
                <w:color w:val="333333"/>
                <w:sz w:val="16"/>
                <w:szCs w:val="16"/>
              </w:rPr>
              <w:t xml:space="preserve">R</w:t>
            </w:r>
          </w:p>
        </w:tc>
        <w:tc>
          <w:tcPr>
            <w:tcW w:type="dxa" w:w="950"/>
            <w:tcBorders>
              <w:top w:val="single" w:color="B7C3D6" w:sz="4"/>
              <w:left w:val="single" w:color="B7C3D6" w:sz="4"/>
              <w:bottom w:val="single" w:color="B7C3D6" w:sz="4"/>
              <w:right w:val="single" w:color="B7C3D6" w:sz="4"/>
            </w:tcBorders>
            <w:shd w:fill="F3F6FB" w:val="clear"/>
            <w:tcMar>
              <w:top w:type="dxa" w:w="40"/>
              <w:left w:type="dxa" w:w="90"/>
              <w:bottom w:type="dxa" w:w="40"/>
              <w:right w:type="dxa" w:w="90"/>
            </w:tcMar>
            <w:vAlign w:val="center"/>
          </w:tcPr>
          <w:p>
            <w:pPr>
              <w:spacing w:after="10" w:before="10" w:line="270"/>
              <w:jc w:val="center"/>
            </w:pPr>
            <w:r>
              <w:rPr>
                <w:rFonts w:ascii="Calibri" w:cs="Calibri" w:eastAsia="Calibri" w:hAnsi="Calibri"/>
                <w:b/>
                <w:bCs/>
                <w:i w:val="false"/>
                <w:iCs w:val="false"/>
                <w:color w:val="A33232"/>
                <w:sz w:val="16"/>
                <w:szCs w:val="16"/>
              </w:rPr>
              <w:t xml:space="preserve">A</w:t>
            </w:r>
          </w:p>
        </w:tc>
        <w:tc>
          <w:tcPr>
            <w:tcW w:type="dxa" w:w="900"/>
            <w:tcBorders>
              <w:top w:val="single" w:color="B7C3D6" w:sz="4"/>
              <w:left w:val="single" w:color="B7C3D6" w:sz="4"/>
              <w:bottom w:val="single" w:color="B7C3D6" w:sz="4"/>
              <w:right w:val="single" w:color="B7C3D6" w:sz="4"/>
            </w:tcBorders>
            <w:shd w:fill="F3F6FB" w:val="clear"/>
            <w:tcMar>
              <w:top w:type="dxa" w:w="40"/>
              <w:left w:type="dxa" w:w="90"/>
              <w:bottom w:type="dxa" w:w="40"/>
              <w:right w:type="dxa" w:w="90"/>
            </w:tcMar>
            <w:vAlign w:val="center"/>
          </w:tcPr>
          <w:p>
            <w:pPr>
              <w:spacing w:after="10" w:before="10" w:line="270"/>
              <w:jc w:val="center"/>
            </w:pPr>
            <w:r>
              <w:rPr>
                <w:rFonts w:ascii="Calibri" w:cs="Calibri" w:eastAsia="Calibri" w:hAnsi="Calibri"/>
                <w:b w:val="false"/>
                <w:bCs w:val="false"/>
                <w:i w:val="false"/>
                <w:iCs w:val="false"/>
                <w:color w:val="333333"/>
                <w:sz w:val="16"/>
                <w:szCs w:val="16"/>
              </w:rPr>
              <w:t xml:space="preserve">C ²</w:t>
            </w:r>
          </w:p>
        </w:tc>
        <w:tc>
          <w:tcPr>
            <w:tcW w:type="dxa" w:w="850"/>
            <w:tcBorders>
              <w:top w:val="single" w:color="B7C3D6" w:sz="4"/>
              <w:left w:val="single" w:color="B7C3D6" w:sz="4"/>
              <w:bottom w:val="single" w:color="B7C3D6" w:sz="4"/>
              <w:right w:val="single" w:color="B7C3D6" w:sz="4"/>
            </w:tcBorders>
            <w:shd w:fill="F3F6FB" w:val="clear"/>
            <w:tcMar>
              <w:top w:type="dxa" w:w="40"/>
              <w:left w:type="dxa" w:w="90"/>
              <w:bottom w:type="dxa" w:w="40"/>
              <w:right w:type="dxa" w:w="90"/>
            </w:tcMar>
            <w:vAlign w:val="center"/>
          </w:tcPr>
          <w:p>
            <w:pPr>
              <w:spacing w:after="10" w:before="10" w:line="270"/>
              <w:jc w:val="center"/>
            </w:pPr>
            <w:r>
              <w:rPr>
                <w:rFonts w:ascii="Calibri" w:cs="Calibri" w:eastAsia="Calibri" w:hAnsi="Calibri"/>
                <w:b w:val="false"/>
                <w:bCs w:val="false"/>
                <w:i w:val="false"/>
                <w:iCs w:val="false"/>
                <w:color w:val="333333"/>
                <w:sz w:val="16"/>
                <w:szCs w:val="16"/>
              </w:rPr>
              <w:t xml:space="preserve">I</w:t>
            </w:r>
          </w:p>
        </w:tc>
        <w:tc>
          <w:tcPr>
            <w:tcW w:type="dxa" w:w="850"/>
            <w:tcBorders>
              <w:top w:val="single" w:color="B7C3D6" w:sz="4"/>
              <w:left w:val="single" w:color="B7C3D6" w:sz="4"/>
              <w:bottom w:val="single" w:color="B7C3D6" w:sz="4"/>
              <w:right w:val="single" w:color="B7C3D6" w:sz="4"/>
            </w:tcBorders>
            <w:shd w:fill="F3F6FB" w:val="clear"/>
            <w:tcMar>
              <w:top w:type="dxa" w:w="40"/>
              <w:left w:type="dxa" w:w="90"/>
              <w:bottom w:type="dxa" w:w="40"/>
              <w:right w:type="dxa" w:w="90"/>
            </w:tcMar>
            <w:vAlign w:val="center"/>
          </w:tcPr>
          <w:p>
            <w:pPr>
              <w:spacing w:after="10" w:before="10" w:line="270"/>
              <w:jc w:val="center"/>
            </w:pPr>
            <w:r>
              <w:rPr>
                <w:rFonts w:ascii="Calibri" w:cs="Calibri" w:eastAsia="Calibri" w:hAnsi="Calibri"/>
                <w:b w:val="false"/>
                <w:bCs w:val="false"/>
                <w:i w:val="false"/>
                <w:iCs w:val="false"/>
                <w:color w:val="333333"/>
                <w:sz w:val="16"/>
                <w:szCs w:val="16"/>
              </w:rPr>
              <w:t xml:space="preserve">–</w:t>
            </w:r>
          </w:p>
        </w:tc>
        <w:tc>
          <w:tcPr>
            <w:tcW w:type="dxa" w:w="900"/>
            <w:tcBorders>
              <w:top w:val="single" w:color="B7C3D6" w:sz="4"/>
              <w:left w:val="single" w:color="B7C3D6" w:sz="4"/>
              <w:bottom w:val="single" w:color="B7C3D6" w:sz="4"/>
              <w:right w:val="single" w:color="B7C3D6" w:sz="4"/>
            </w:tcBorders>
            <w:shd w:fill="F3F6FB" w:val="clear"/>
            <w:tcMar>
              <w:top w:type="dxa" w:w="40"/>
              <w:left w:type="dxa" w:w="90"/>
              <w:bottom w:type="dxa" w:w="40"/>
              <w:right w:type="dxa" w:w="90"/>
            </w:tcMar>
            <w:vAlign w:val="center"/>
          </w:tcPr>
          <w:p>
            <w:pPr>
              <w:spacing w:after="10" w:before="10" w:line="270"/>
              <w:jc w:val="center"/>
            </w:pPr>
            <w:r>
              <w:rPr>
                <w:rFonts w:ascii="Calibri" w:cs="Calibri" w:eastAsia="Calibri" w:hAnsi="Calibri"/>
                <w:b w:val="false"/>
                <w:bCs w:val="false"/>
                <w:i w:val="false"/>
                <w:iCs w:val="false"/>
                <w:color w:val="333333"/>
                <w:sz w:val="16"/>
                <w:szCs w:val="16"/>
              </w:rPr>
              <w:t xml:space="preserve">–</w:t>
            </w:r>
          </w:p>
        </w:tc>
        <w:tc>
          <w:tcPr>
            <w:tcW w:type="dxa" w:w="950"/>
            <w:tcBorders>
              <w:top w:val="single" w:color="B7C3D6" w:sz="4"/>
              <w:left w:val="single" w:color="B7C3D6" w:sz="4"/>
              <w:bottom w:val="single" w:color="B7C3D6" w:sz="4"/>
              <w:right w:val="single" w:color="B7C3D6" w:sz="4"/>
            </w:tcBorders>
            <w:shd w:fill="F3F6FB" w:val="clear"/>
            <w:tcMar>
              <w:top w:type="dxa" w:w="40"/>
              <w:left w:type="dxa" w:w="90"/>
              <w:bottom w:type="dxa" w:w="40"/>
              <w:right w:type="dxa" w:w="90"/>
            </w:tcMar>
            <w:vAlign w:val="center"/>
          </w:tcPr>
          <w:p>
            <w:pPr>
              <w:spacing w:after="10" w:before="10" w:line="270"/>
              <w:jc w:val="center"/>
            </w:pPr>
            <w:r>
              <w:rPr>
                <w:rFonts w:ascii="Calibri" w:cs="Calibri" w:eastAsia="Calibri" w:hAnsi="Calibri"/>
                <w:b w:val="false"/>
                <w:bCs w:val="false"/>
                <w:i w:val="false"/>
                <w:iCs w:val="false"/>
                <w:color w:val="333333"/>
                <w:sz w:val="16"/>
                <w:szCs w:val="16"/>
              </w:rPr>
              <w:t xml:space="preserve">–</w:t>
            </w:r>
          </w:p>
        </w:tc>
      </w:tr>
      <w:tr>
        <w:trPr>
          <w:cantSplit/>
        </w:trPr>
        <w:tc>
          <w:tcPr>
            <w:tcW w:type="dxa" w:w="2706"/>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line="270"/>
            </w:pPr>
            <w:r>
              <w:rPr>
                <w:rFonts w:ascii="Calibri" w:cs="Calibri" w:eastAsia="Calibri" w:hAnsi="Calibri"/>
                <w:b/>
                <w:bCs/>
                <w:i w:val="false"/>
                <w:iCs w:val="false"/>
                <w:color w:val="222222"/>
                <w:sz w:val="16"/>
                <w:szCs w:val="16"/>
              </w:rPr>
              <w:t xml:space="preserve">Waiver-Entscheidung (Abschnitt 8.0)</w:t>
            </w:r>
          </w:p>
        </w:tc>
        <w:tc>
          <w:tcPr>
            <w:tcW w:type="dxa" w:w="1050"/>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line="270"/>
              <w:jc w:val="center"/>
            </w:pPr>
            <w:r>
              <w:rPr>
                <w:rFonts w:ascii="Calibri" w:cs="Calibri" w:eastAsia="Calibri" w:hAnsi="Calibri"/>
                <w:b w:val="false"/>
                <w:bCs w:val="false"/>
                <w:i w:val="false"/>
                <w:iCs w:val="false"/>
                <w:color w:val="333333"/>
                <w:sz w:val="16"/>
                <w:szCs w:val="16"/>
              </w:rPr>
              <w:t xml:space="preserve">R</w:t>
            </w:r>
          </w:p>
        </w:tc>
        <w:tc>
          <w:tcPr>
            <w:tcW w:type="dxa" w:w="1050"/>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line="270"/>
              <w:jc w:val="center"/>
            </w:pPr>
            <w:r>
              <w:rPr>
                <w:rFonts w:ascii="Calibri" w:cs="Calibri" w:eastAsia="Calibri" w:hAnsi="Calibri"/>
                <w:b w:val="false"/>
                <w:bCs w:val="false"/>
                <w:i w:val="false"/>
                <w:iCs w:val="false"/>
                <w:color w:val="333333"/>
                <w:sz w:val="16"/>
                <w:szCs w:val="16"/>
              </w:rPr>
              <w:t xml:space="preserve">C</w:t>
            </w:r>
          </w:p>
        </w:tc>
        <w:tc>
          <w:tcPr>
            <w:tcW w:type="dxa" w:w="900"/>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line="270"/>
              <w:jc w:val="center"/>
            </w:pPr>
            <w:r>
              <w:rPr>
                <w:rFonts w:ascii="Calibri" w:cs="Calibri" w:eastAsia="Calibri" w:hAnsi="Calibri"/>
                <w:b w:val="false"/>
                <w:bCs w:val="false"/>
                <w:i w:val="false"/>
                <w:iCs w:val="false"/>
                <w:color w:val="333333"/>
                <w:sz w:val="16"/>
                <w:szCs w:val="16"/>
              </w:rPr>
              <w:t xml:space="preserve">C</w:t>
            </w:r>
          </w:p>
        </w:tc>
        <w:tc>
          <w:tcPr>
            <w:tcW w:type="dxa" w:w="950"/>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line="270"/>
              <w:jc w:val="center"/>
            </w:pPr>
            <w:r>
              <w:rPr>
                <w:rFonts w:ascii="Calibri" w:cs="Calibri" w:eastAsia="Calibri" w:hAnsi="Calibri"/>
                <w:b/>
                <w:bCs/>
                <w:i w:val="false"/>
                <w:iCs w:val="false"/>
                <w:color w:val="A33232"/>
                <w:sz w:val="16"/>
                <w:szCs w:val="16"/>
              </w:rPr>
              <w:t xml:space="preserve">A</w:t>
            </w:r>
          </w:p>
        </w:tc>
        <w:tc>
          <w:tcPr>
            <w:tcW w:type="dxa" w:w="900"/>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line="270"/>
              <w:jc w:val="center"/>
            </w:pPr>
            <w:r>
              <w:rPr>
                <w:rFonts w:ascii="Calibri" w:cs="Calibri" w:eastAsia="Calibri" w:hAnsi="Calibri"/>
                <w:b w:val="false"/>
                <w:bCs w:val="false"/>
                <w:i w:val="false"/>
                <w:iCs w:val="false"/>
                <w:color w:val="333333"/>
                <w:sz w:val="16"/>
                <w:szCs w:val="16"/>
              </w:rPr>
              <w:t xml:space="preserve">I</w:t>
            </w:r>
          </w:p>
        </w:tc>
        <w:tc>
          <w:tcPr>
            <w:tcW w:type="dxa" w:w="850"/>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line="270"/>
              <w:jc w:val="center"/>
            </w:pPr>
            <w:r>
              <w:rPr>
                <w:rFonts w:ascii="Calibri" w:cs="Calibri" w:eastAsia="Calibri" w:hAnsi="Calibri"/>
                <w:b w:val="false"/>
                <w:bCs w:val="false"/>
                <w:i w:val="false"/>
                <w:iCs w:val="false"/>
                <w:color w:val="333333"/>
                <w:sz w:val="16"/>
                <w:szCs w:val="16"/>
              </w:rPr>
              <w:t xml:space="preserve">–</w:t>
            </w:r>
          </w:p>
        </w:tc>
        <w:tc>
          <w:tcPr>
            <w:tcW w:type="dxa" w:w="850"/>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line="270"/>
              <w:jc w:val="center"/>
            </w:pPr>
            <w:r>
              <w:rPr>
                <w:rFonts w:ascii="Calibri" w:cs="Calibri" w:eastAsia="Calibri" w:hAnsi="Calibri"/>
                <w:b w:val="false"/>
                <w:bCs w:val="false"/>
                <w:i w:val="false"/>
                <w:iCs w:val="false"/>
                <w:color w:val="333333"/>
                <w:sz w:val="16"/>
                <w:szCs w:val="16"/>
              </w:rPr>
              <w:t xml:space="preserve">–</w:t>
            </w:r>
          </w:p>
        </w:tc>
        <w:tc>
          <w:tcPr>
            <w:tcW w:type="dxa" w:w="900"/>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line="270"/>
              <w:jc w:val="center"/>
            </w:pPr>
            <w:r>
              <w:rPr>
                <w:rFonts w:ascii="Calibri" w:cs="Calibri" w:eastAsia="Calibri" w:hAnsi="Calibri"/>
                <w:b w:val="false"/>
                <w:bCs w:val="false"/>
                <w:i w:val="false"/>
                <w:iCs w:val="false"/>
                <w:color w:val="333333"/>
                <w:sz w:val="16"/>
                <w:szCs w:val="16"/>
              </w:rPr>
              <w:t xml:space="preserve">–</w:t>
            </w:r>
          </w:p>
        </w:tc>
        <w:tc>
          <w:tcPr>
            <w:tcW w:type="dxa" w:w="950"/>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line="270"/>
              <w:jc w:val="center"/>
            </w:pPr>
            <w:r>
              <w:rPr>
                <w:rFonts w:ascii="Calibri" w:cs="Calibri" w:eastAsia="Calibri" w:hAnsi="Calibri"/>
                <w:b w:val="false"/>
                <w:bCs w:val="false"/>
                <w:i w:val="false"/>
                <w:iCs w:val="false"/>
                <w:color w:val="333333"/>
                <w:sz w:val="16"/>
                <w:szCs w:val="16"/>
              </w:rPr>
              <w:t xml:space="preserve">–</w:t>
            </w:r>
          </w:p>
        </w:tc>
      </w:tr>
      <w:tr>
        <w:trPr>
          <w:cantSplit/>
        </w:trPr>
        <w:tc>
          <w:tcPr>
            <w:tcW w:type="dxa" w:w="2706"/>
            <w:tcBorders>
              <w:top w:val="single" w:color="B7C3D6" w:sz="4"/>
              <w:left w:val="single" w:color="B7C3D6" w:sz="4"/>
              <w:bottom w:val="single" w:color="B7C3D6" w:sz="4"/>
              <w:right w:val="single" w:color="B7C3D6" w:sz="4"/>
            </w:tcBorders>
            <w:shd w:fill="F3F6FB" w:val="clear"/>
            <w:tcMar>
              <w:top w:type="dxa" w:w="40"/>
              <w:left w:type="dxa" w:w="90"/>
              <w:bottom w:type="dxa" w:w="40"/>
              <w:right w:type="dxa" w:w="90"/>
            </w:tcMar>
            <w:vAlign w:val="center"/>
          </w:tcPr>
          <w:p>
            <w:pPr>
              <w:spacing w:after="10" w:before="10" w:line="270"/>
            </w:pPr>
            <w:r>
              <w:rPr>
                <w:rFonts w:ascii="Calibri" w:cs="Calibri" w:eastAsia="Calibri" w:hAnsi="Calibri"/>
                <w:b/>
                <w:bCs/>
                <w:i w:val="false"/>
                <w:iCs w:val="false"/>
                <w:color w:val="222222"/>
                <w:sz w:val="16"/>
                <w:szCs w:val="16"/>
              </w:rPr>
              <w:t xml:space="preserve">Decommissioning-Durchführung &amp; Nachweis</w:t>
            </w:r>
          </w:p>
        </w:tc>
        <w:tc>
          <w:tcPr>
            <w:tcW w:type="dxa" w:w="1050"/>
            <w:tcBorders>
              <w:top w:val="single" w:color="B7C3D6" w:sz="4"/>
              <w:left w:val="single" w:color="B7C3D6" w:sz="4"/>
              <w:bottom w:val="single" w:color="B7C3D6" w:sz="4"/>
              <w:right w:val="single" w:color="B7C3D6" w:sz="4"/>
            </w:tcBorders>
            <w:shd w:fill="F3F6FB" w:val="clear"/>
            <w:tcMar>
              <w:top w:type="dxa" w:w="40"/>
              <w:left w:type="dxa" w:w="90"/>
              <w:bottom w:type="dxa" w:w="40"/>
              <w:right w:type="dxa" w:w="90"/>
            </w:tcMar>
            <w:vAlign w:val="center"/>
          </w:tcPr>
          <w:p>
            <w:pPr>
              <w:spacing w:after="10" w:before="10" w:line="270"/>
              <w:jc w:val="center"/>
            </w:pPr>
            <w:r>
              <w:rPr>
                <w:rFonts w:ascii="Calibri" w:cs="Calibri" w:eastAsia="Calibri" w:hAnsi="Calibri"/>
                <w:b w:val="false"/>
                <w:bCs w:val="false"/>
                <w:i w:val="false"/>
                <w:iCs w:val="false"/>
                <w:color w:val="333333"/>
                <w:sz w:val="16"/>
                <w:szCs w:val="16"/>
              </w:rPr>
              <w:t xml:space="preserve">C</w:t>
            </w:r>
          </w:p>
        </w:tc>
        <w:tc>
          <w:tcPr>
            <w:tcW w:type="dxa" w:w="1050"/>
            <w:tcBorders>
              <w:top w:val="single" w:color="B7C3D6" w:sz="4"/>
              <w:left w:val="single" w:color="B7C3D6" w:sz="4"/>
              <w:bottom w:val="single" w:color="B7C3D6" w:sz="4"/>
              <w:right w:val="single" w:color="B7C3D6" w:sz="4"/>
            </w:tcBorders>
            <w:shd w:fill="F3F6FB" w:val="clear"/>
            <w:tcMar>
              <w:top w:type="dxa" w:w="40"/>
              <w:left w:type="dxa" w:w="90"/>
              <w:bottom w:type="dxa" w:w="40"/>
              <w:right w:type="dxa" w:w="90"/>
            </w:tcMar>
            <w:vAlign w:val="center"/>
          </w:tcPr>
          <w:p>
            <w:pPr>
              <w:spacing w:after="10" w:before="10" w:line="270"/>
              <w:jc w:val="center"/>
            </w:pPr>
            <w:r>
              <w:rPr>
                <w:rFonts w:ascii="Calibri" w:cs="Calibri" w:eastAsia="Calibri" w:hAnsi="Calibri"/>
                <w:b w:val="false"/>
                <w:bCs w:val="false"/>
                <w:i w:val="false"/>
                <w:iCs w:val="false"/>
                <w:color w:val="333333"/>
                <w:sz w:val="16"/>
                <w:szCs w:val="16"/>
              </w:rPr>
              <w:t xml:space="preserve">R</w:t>
            </w:r>
          </w:p>
        </w:tc>
        <w:tc>
          <w:tcPr>
            <w:tcW w:type="dxa" w:w="900"/>
            <w:tcBorders>
              <w:top w:val="single" w:color="B7C3D6" w:sz="4"/>
              <w:left w:val="single" w:color="B7C3D6" w:sz="4"/>
              <w:bottom w:val="single" w:color="B7C3D6" w:sz="4"/>
              <w:right w:val="single" w:color="B7C3D6" w:sz="4"/>
            </w:tcBorders>
            <w:shd w:fill="F3F6FB" w:val="clear"/>
            <w:tcMar>
              <w:top w:type="dxa" w:w="40"/>
              <w:left w:type="dxa" w:w="90"/>
              <w:bottom w:type="dxa" w:w="40"/>
              <w:right w:type="dxa" w:w="90"/>
            </w:tcMar>
            <w:vAlign w:val="center"/>
          </w:tcPr>
          <w:p>
            <w:pPr>
              <w:spacing w:after="10" w:before="10" w:line="270"/>
              <w:jc w:val="center"/>
            </w:pPr>
            <w:r>
              <w:rPr>
                <w:rFonts w:ascii="Calibri" w:cs="Calibri" w:eastAsia="Calibri" w:hAnsi="Calibri"/>
                <w:b w:val="false"/>
                <w:bCs w:val="false"/>
                <w:i w:val="false"/>
                <w:iCs w:val="false"/>
                <w:color w:val="333333"/>
                <w:sz w:val="16"/>
                <w:szCs w:val="16"/>
              </w:rPr>
              <w:t xml:space="preserve">R ³</w:t>
            </w:r>
          </w:p>
        </w:tc>
        <w:tc>
          <w:tcPr>
            <w:tcW w:type="dxa" w:w="950"/>
            <w:tcBorders>
              <w:top w:val="single" w:color="B7C3D6" w:sz="4"/>
              <w:left w:val="single" w:color="B7C3D6" w:sz="4"/>
              <w:bottom w:val="single" w:color="B7C3D6" w:sz="4"/>
              <w:right w:val="single" w:color="B7C3D6" w:sz="4"/>
            </w:tcBorders>
            <w:shd w:fill="F3F6FB" w:val="clear"/>
            <w:tcMar>
              <w:top w:type="dxa" w:w="40"/>
              <w:left w:type="dxa" w:w="90"/>
              <w:bottom w:type="dxa" w:w="40"/>
              <w:right w:type="dxa" w:w="90"/>
            </w:tcMar>
            <w:vAlign w:val="center"/>
          </w:tcPr>
          <w:p>
            <w:pPr>
              <w:spacing w:after="10" w:before="10" w:line="270"/>
              <w:jc w:val="center"/>
            </w:pPr>
            <w:r>
              <w:rPr>
                <w:rFonts w:ascii="Calibri" w:cs="Calibri" w:eastAsia="Calibri" w:hAnsi="Calibri"/>
                <w:b/>
                <w:bCs/>
                <w:i w:val="false"/>
                <w:iCs w:val="false"/>
                <w:color w:val="A33232"/>
                <w:sz w:val="16"/>
                <w:szCs w:val="16"/>
              </w:rPr>
              <w:t xml:space="preserve">(A) ⁴</w:t>
            </w:r>
          </w:p>
        </w:tc>
        <w:tc>
          <w:tcPr>
            <w:tcW w:type="dxa" w:w="900"/>
            <w:tcBorders>
              <w:top w:val="single" w:color="B7C3D6" w:sz="4"/>
              <w:left w:val="single" w:color="B7C3D6" w:sz="4"/>
              <w:bottom w:val="single" w:color="B7C3D6" w:sz="4"/>
              <w:right w:val="single" w:color="B7C3D6" w:sz="4"/>
            </w:tcBorders>
            <w:shd w:fill="F3F6FB" w:val="clear"/>
            <w:tcMar>
              <w:top w:type="dxa" w:w="40"/>
              <w:left w:type="dxa" w:w="90"/>
              <w:bottom w:type="dxa" w:w="40"/>
              <w:right w:type="dxa" w:w="90"/>
            </w:tcMar>
            <w:vAlign w:val="center"/>
          </w:tcPr>
          <w:p>
            <w:pPr>
              <w:spacing w:after="10" w:before="10" w:line="270"/>
              <w:jc w:val="center"/>
            </w:pPr>
            <w:r>
              <w:rPr>
                <w:rFonts w:ascii="Calibri" w:cs="Calibri" w:eastAsia="Calibri" w:hAnsi="Calibri"/>
                <w:b w:val="false"/>
                <w:bCs w:val="false"/>
                <w:i w:val="false"/>
                <w:iCs w:val="false"/>
                <w:color w:val="333333"/>
                <w:sz w:val="16"/>
                <w:szCs w:val="16"/>
              </w:rPr>
              <w:t xml:space="preserve">I</w:t>
            </w:r>
          </w:p>
        </w:tc>
        <w:tc>
          <w:tcPr>
            <w:tcW w:type="dxa" w:w="850"/>
            <w:tcBorders>
              <w:top w:val="single" w:color="B7C3D6" w:sz="4"/>
              <w:left w:val="single" w:color="B7C3D6" w:sz="4"/>
              <w:bottom w:val="single" w:color="B7C3D6" w:sz="4"/>
              <w:right w:val="single" w:color="B7C3D6" w:sz="4"/>
            </w:tcBorders>
            <w:shd w:fill="F3F6FB" w:val="clear"/>
            <w:tcMar>
              <w:top w:type="dxa" w:w="40"/>
              <w:left w:type="dxa" w:w="90"/>
              <w:bottom w:type="dxa" w:w="40"/>
              <w:right w:type="dxa" w:w="90"/>
            </w:tcMar>
            <w:vAlign w:val="center"/>
          </w:tcPr>
          <w:p>
            <w:pPr>
              <w:spacing w:after="10" w:before="10" w:line="270"/>
              <w:jc w:val="center"/>
            </w:pPr>
            <w:r>
              <w:rPr>
                <w:rFonts w:ascii="Calibri" w:cs="Calibri" w:eastAsia="Calibri" w:hAnsi="Calibri"/>
                <w:b w:val="false"/>
                <w:bCs w:val="false"/>
                <w:i w:val="false"/>
                <w:iCs w:val="false"/>
                <w:color w:val="333333"/>
                <w:sz w:val="16"/>
                <w:szCs w:val="16"/>
              </w:rPr>
              <w:t xml:space="preserve">I</w:t>
            </w:r>
          </w:p>
        </w:tc>
        <w:tc>
          <w:tcPr>
            <w:tcW w:type="dxa" w:w="850"/>
            <w:tcBorders>
              <w:top w:val="single" w:color="B7C3D6" w:sz="4"/>
              <w:left w:val="single" w:color="B7C3D6" w:sz="4"/>
              <w:bottom w:val="single" w:color="B7C3D6" w:sz="4"/>
              <w:right w:val="single" w:color="B7C3D6" w:sz="4"/>
            </w:tcBorders>
            <w:shd w:fill="F3F6FB" w:val="clear"/>
            <w:tcMar>
              <w:top w:type="dxa" w:w="40"/>
              <w:left w:type="dxa" w:w="90"/>
              <w:bottom w:type="dxa" w:w="40"/>
              <w:right w:type="dxa" w:w="90"/>
            </w:tcMar>
            <w:vAlign w:val="center"/>
          </w:tcPr>
          <w:p>
            <w:pPr>
              <w:spacing w:after="10" w:before="10" w:line="270"/>
              <w:jc w:val="center"/>
            </w:pPr>
            <w:r>
              <w:rPr>
                <w:rFonts w:ascii="Calibri" w:cs="Calibri" w:eastAsia="Calibri" w:hAnsi="Calibri"/>
                <w:b w:val="false"/>
                <w:bCs w:val="false"/>
                <w:i w:val="false"/>
                <w:iCs w:val="false"/>
                <w:color w:val="333333"/>
                <w:sz w:val="16"/>
                <w:szCs w:val="16"/>
              </w:rPr>
              <w:t xml:space="preserve">–</w:t>
            </w:r>
          </w:p>
        </w:tc>
        <w:tc>
          <w:tcPr>
            <w:tcW w:type="dxa" w:w="900"/>
            <w:tcBorders>
              <w:top w:val="single" w:color="B7C3D6" w:sz="4"/>
              <w:left w:val="single" w:color="B7C3D6" w:sz="4"/>
              <w:bottom w:val="single" w:color="B7C3D6" w:sz="4"/>
              <w:right w:val="single" w:color="B7C3D6" w:sz="4"/>
            </w:tcBorders>
            <w:shd w:fill="F3F6FB" w:val="clear"/>
            <w:tcMar>
              <w:top w:type="dxa" w:w="40"/>
              <w:left w:type="dxa" w:w="90"/>
              <w:bottom w:type="dxa" w:w="40"/>
              <w:right w:type="dxa" w:w="90"/>
            </w:tcMar>
            <w:vAlign w:val="center"/>
          </w:tcPr>
          <w:p>
            <w:pPr>
              <w:spacing w:after="10" w:before="10" w:line="270"/>
              <w:jc w:val="center"/>
            </w:pPr>
            <w:r>
              <w:rPr>
                <w:rFonts w:ascii="Calibri" w:cs="Calibri" w:eastAsia="Calibri" w:hAnsi="Calibri"/>
                <w:b w:val="false"/>
                <w:bCs w:val="false"/>
                <w:i w:val="false"/>
                <w:iCs w:val="false"/>
                <w:color w:val="333333"/>
                <w:sz w:val="16"/>
                <w:szCs w:val="16"/>
              </w:rPr>
              <w:t xml:space="preserve">C</w:t>
            </w:r>
          </w:p>
        </w:tc>
        <w:tc>
          <w:tcPr>
            <w:tcW w:type="dxa" w:w="950"/>
            <w:tcBorders>
              <w:top w:val="single" w:color="B7C3D6" w:sz="4"/>
              <w:left w:val="single" w:color="B7C3D6" w:sz="4"/>
              <w:bottom w:val="single" w:color="B7C3D6" w:sz="4"/>
              <w:right w:val="single" w:color="B7C3D6" w:sz="4"/>
            </w:tcBorders>
            <w:shd w:fill="F3F6FB" w:val="clear"/>
            <w:tcMar>
              <w:top w:type="dxa" w:w="40"/>
              <w:left w:type="dxa" w:w="90"/>
              <w:bottom w:type="dxa" w:w="40"/>
              <w:right w:type="dxa" w:w="90"/>
            </w:tcMar>
            <w:vAlign w:val="center"/>
          </w:tcPr>
          <w:p>
            <w:pPr>
              <w:spacing w:after="10" w:before="10" w:line="270"/>
              <w:jc w:val="center"/>
            </w:pPr>
            <w:r>
              <w:rPr>
                <w:rFonts w:ascii="Calibri" w:cs="Calibri" w:eastAsia="Calibri" w:hAnsi="Calibri"/>
                <w:b w:val="false"/>
                <w:bCs w:val="false"/>
                <w:i w:val="false"/>
                <w:iCs w:val="false"/>
                <w:color w:val="333333"/>
                <w:sz w:val="16"/>
                <w:szCs w:val="16"/>
              </w:rPr>
              <w:t xml:space="preserve">–</w:t>
            </w:r>
          </w:p>
        </w:tc>
      </w:tr>
    </w:tbl>
    <w:p>
      <w:pPr>
        <w:spacing w:after="40" w:before="0"/>
      </w:pPr>
    </w:p>
    <w:p>
      <w:pPr>
        <w:spacing w:after="0" w:before="20" w:line="270"/>
      </w:pPr>
      <w:r>
        <w:rPr>
          <w:rFonts w:ascii="Calibri" w:cs="Calibri" w:eastAsia="Calibri" w:hAnsi="Calibri"/>
          <w:b w:val="false"/>
          <w:bCs w:val="false"/>
          <w:i w:val="false"/>
          <w:iCs w:val="false"/>
          <w:color w:val="666666"/>
          <w:sz w:val="15"/>
          <w:szCs w:val="15"/>
        </w:rPr>
        <w:t xml:space="preserve">R = Responsible (führt aus) · A = Accountable (genau eine Instanz je Zeile, trägt die Entscheidung) · C = Consulted · I = Informed.  </w:t>
      </w:r>
      <w:r>
        <w:rPr>
          <w:rFonts w:ascii="Calibri" w:cs="Calibri" w:eastAsia="Calibri" w:hAnsi="Calibri"/>
          <w:b w:val="false"/>
          <w:bCs w:val="false"/>
          <w:i w:val="false"/>
          <w:iCs w:val="false"/>
          <w:color w:val="666666"/>
          <w:sz w:val="15"/>
          <w:szCs w:val="15"/>
        </w:rPr>
        <w:t xml:space="preserve">¹ aufnehmender Fachbereich: Scaling Business Case Light.  ² Rederecht, kein Vetorecht.  ³ Registry-Extraktion.  ⁴ </w:t>
      </w:r>
      <w:r>
        <w:rPr>
          <w:rFonts w:ascii="Calibri" w:cs="Calibri" w:eastAsia="Calibri" w:hAnsi="Calibri"/>
          <w:b/>
          <w:bCs/>
          <w:color w:val="A33232"/>
          <w:sz w:val="15"/>
          <w:szCs w:val="15"/>
        </w:rPr>
        <w:t xml:space="preserve">[DECISION NEEDED: Abnahmeinstanz Decommissioning-Nachweis (siehe 5.5) – bis zur Festlegung: Kenntnisnahme durch das AI Portfolio Board]</w:t>
      </w:r>
    </w:p>
    <w:p>
      <w:pPr>
        <w:pBdr>
          <w:bottom w:val="single" w:color="1F3864" w:sz="8" w:space="2"/>
        </w:pBdr>
        <w:spacing w:after="100" w:before="240"/>
      </w:pPr>
      <w:r>
        <w:rPr>
          <w:rFonts w:ascii="Calibri" w:cs="Calibri" w:eastAsia="Calibri" w:hAnsi="Calibri"/>
          <w:b/>
          <w:bCs/>
          <w:i w:val="false"/>
          <w:iCs w:val="false"/>
          <w:color w:val="1F3864"/>
          <w:sz w:val="24"/>
          <w:szCs w:val="24"/>
        </w:rPr>
        <w:t xml:space="preserve">7.0  Verbindliche Standards (normative Anlagen)</w:t>
      </w:r>
    </w:p>
    <w:p>
      <w:pPr>
        <w:spacing w:after="80" w:before="20" w:line="270"/>
      </w:pPr>
      <w:r>
        <w:rPr>
          <w:rFonts w:ascii="Calibri" w:cs="Calibri" w:eastAsia="Calibri" w:hAnsi="Calibri"/>
          <w:b w:val="false"/>
          <w:bCs w:val="false"/>
          <w:i w:val="false"/>
          <w:iCs w:val="false"/>
          <w:color w:val="222222"/>
          <w:sz w:val="19"/>
          <w:szCs w:val="19"/>
        </w:rPr>
        <w:t xml:space="preserve">Die folgenden Standards sind Bestandteil dieser Richtlinie und in ihrer jeweils vom AI Portfolio Board freigegebenen Fassung verbindlich: (1) Value One-Pager (Quartals-Value-Review), (2) Minimal-Telemetrie-Standard, (3) Registry- &amp; Scaling-Standard, (4) Adoption-Standard &amp; Playbook. Änderungen an diesen Standards erfordern die Freigabe des AI Portfolio Boards; Änderungen mit Datenschutzbezug erfordern zusätzlich die erneute Abstimmung mit dem IT-Ausschuss. Die Zweckbindung der Telemetrie (kein Einsatz zur individuellen Leistungs- oder Verhaltenskontrolle; Auswertung nur mit k-Anonymität ≥ 5) darf durch keine Änderung und keinen Waiver aufgehoben werden.</w:t>
      </w:r>
    </w:p>
    <w:p>
      <w:pPr>
        <w:pBdr>
          <w:bottom w:val="single" w:color="1F3864" w:sz="8" w:space="2"/>
        </w:pBdr>
        <w:spacing w:after="100" w:before="240"/>
      </w:pPr>
      <w:r>
        <w:rPr>
          <w:rFonts w:ascii="Calibri" w:cs="Calibri" w:eastAsia="Calibri" w:hAnsi="Calibri"/>
          <w:b/>
          <w:bCs/>
          <w:i w:val="false"/>
          <w:iCs w:val="false"/>
          <w:color w:val="1F3864"/>
          <w:sz w:val="24"/>
          <w:szCs w:val="24"/>
        </w:rPr>
        <w:t xml:space="preserve">8.0  Ausnahmen (Waiver)</w:t>
      </w:r>
    </w:p>
    <w:p>
      <w:pPr>
        <w:spacing w:after="80" w:before="20" w:line="270"/>
      </w:pPr>
      <w:r>
        <w:rPr>
          <w:rFonts w:ascii="Calibri" w:cs="Calibri" w:eastAsia="Calibri" w:hAnsi="Calibri"/>
          <w:b w:val="false"/>
          <w:bCs w:val="false"/>
          <w:i w:val="false"/>
          <w:iCs w:val="false"/>
          <w:color w:val="222222"/>
          <w:sz w:val="19"/>
          <w:szCs w:val="19"/>
        </w:rPr>
        <w:t xml:space="preserve">Ausnahmen von einzelnen Regelungen dieser Richtlinie darf ausschließlich das AI Portfolio Board beschließen. Der Antrag muss schriftlich über das CoE AI eingereicht werden und muss enthalten: die betroffene Regelung, die Begründung, die Kompensationsmaßnahme und die Befristung. Jeder Waiver muss befristet sein und wird im AI-Use-Case-Inventar der betroffenen Lösung dokumentiert; eine Verlängerung erfordert einen erneuten Beschluss. Der Beschluss muss festlegen, wie während der Waiver-Laufzeit fehlende Messwerte im Value Review behandelt werden. Ein Waiver darf den Kill-Trigger (Abschnitt 5.5), die Datenschutz-Bauvorschriften des Minimal-Telemetrie-Standards und die Zweckbindung (Abschnitt 7.0) nicht außer Kraft setzen.</w:t>
      </w:r>
    </w:p>
    <w:p>
      <w:pPr>
        <w:pBdr>
          <w:bottom w:val="single" w:color="1F3864" w:sz="8" w:space="2"/>
        </w:pBdr>
        <w:spacing w:after="100" w:before="240"/>
      </w:pPr>
      <w:r>
        <w:rPr>
          <w:rFonts w:ascii="Calibri" w:cs="Calibri" w:eastAsia="Calibri" w:hAnsi="Calibri"/>
          <w:b/>
          <w:bCs/>
          <w:i w:val="false"/>
          <w:iCs w:val="false"/>
          <w:color w:val="1F3864"/>
          <w:sz w:val="24"/>
          <w:szCs w:val="24"/>
        </w:rPr>
        <w:t xml:space="preserve">9.0  Verstöße und Eskalation</w:t>
      </w:r>
    </w:p>
    <w:p>
      <w:pPr>
        <w:spacing w:after="80" w:before="20" w:line="270"/>
      </w:pPr>
      <w:r>
        <w:rPr>
          <w:rFonts w:ascii="Calibri" w:cs="Calibri" w:eastAsia="Calibri" w:hAnsi="Calibri"/>
          <w:b w:val="false"/>
          <w:bCs w:val="false"/>
          <w:i w:val="false"/>
          <w:iCs w:val="false"/>
          <w:color w:val="222222"/>
          <w:sz w:val="19"/>
          <w:szCs w:val="19"/>
        </w:rPr>
        <w:t xml:space="preserve">Als Verstoß gelten insbesondere: Go-Live ohne Freigabe am Gate G2; Änderung der Baseline, des Vollkostensatzes oder des Nenners der berechtigten Nutzer ohne Beschluss des AI Portfolio Boards; die Verwendung lösungsindividueller Schatten-Dashboards als Grundlage eines Value Reviews; der Betrieb produktiver, nicht getaggter Ressourcen ohne Meldung; sowie jede Nutzung der Telemetrie zur individuellen Leistungs- oder Verhaltenskontrolle. Verstöße stellt das CoE AI fest und muss sie unverzüglich an den Richtlinieneigner </w:t>
      </w:r>
      <w:r>
        <w:rPr>
          <w:rFonts w:ascii="Calibri" w:cs="Calibri" w:eastAsia="Calibri" w:hAnsi="Calibri"/>
          <w:b/>
          <w:bCs/>
          <w:i w:val="false"/>
          <w:iCs w:val="false"/>
          <w:color w:val="A33232"/>
          <w:sz w:val="19"/>
          <w:szCs w:val="19"/>
        </w:rPr>
        <w:t xml:space="preserve">[DECISION NEEDED: Richtlinieneigner/Sponsor – siehe Dokumentensteuerung]</w:t>
      </w:r>
      <w:r>
        <w:rPr>
          <w:rFonts w:ascii="Calibri" w:cs="Calibri" w:eastAsia="Calibri" w:hAnsi="Calibri"/>
          <w:b w:val="false"/>
          <w:bCs w:val="false"/>
          <w:i w:val="false"/>
          <w:iCs w:val="false"/>
          <w:color w:val="222222"/>
          <w:sz w:val="19"/>
          <w:szCs w:val="19"/>
        </w:rPr>
        <w:t xml:space="preserve"> und den zuständigen Bereichsleiter eskalieren. Verstöße gegen die Zweckbindung der Telemetrie müssen zusätzlich unverzüglich an Datenschutz und IT-Ausschuss gemeldet werden. Die systemischen Konsequenzen der Standards bleiben von der Eskalation unberührt: Ressourcen ohne Pflicht-Tags werden nicht provisioniert; nicht messbare Lösungen werden im Value Review rot gewertet (S6); fehlende Werte gelten als 0.</w:t>
      </w:r>
    </w:p>
    <w:p>
      <w:pPr>
        <w:pBdr>
          <w:bottom w:val="single" w:color="1F3864" w:sz="8" w:space="2"/>
        </w:pBdr>
        <w:spacing w:after="100" w:before="240"/>
      </w:pPr>
      <w:r>
        <w:rPr>
          <w:rFonts w:ascii="Calibri" w:cs="Calibri" w:eastAsia="Calibri" w:hAnsi="Calibri"/>
          <w:b/>
          <w:bCs/>
          <w:i w:val="false"/>
          <w:iCs w:val="false"/>
          <w:color w:val="1F3864"/>
          <w:sz w:val="24"/>
          <w:szCs w:val="24"/>
        </w:rPr>
        <w:t xml:space="preserve">10.0  Inkrafttreten und Übergangsbestimmungen</w:t>
      </w:r>
    </w:p>
    <w:p>
      <w:pPr>
        <w:spacing w:after="80" w:before="20" w:line="270"/>
      </w:pPr>
      <w:r>
        <w:rPr>
          <w:rFonts w:ascii="Calibri" w:cs="Calibri" w:eastAsia="Calibri" w:hAnsi="Calibri"/>
          <w:b w:val="false"/>
          <w:bCs w:val="false"/>
          <w:i w:val="false"/>
          <w:iCs w:val="false"/>
          <w:color w:val="222222"/>
          <w:sz w:val="19"/>
          <w:szCs w:val="19"/>
        </w:rPr>
        <w:t xml:space="preserve">Diese Richtlinie tritt in Kraft, sobald folgende Voraussetzungen erfüllt und dokumentiert sind: (a) </w:t>
      </w:r>
      <w:r>
        <w:rPr>
          <w:rFonts w:ascii="Calibri" w:cs="Calibri" w:eastAsia="Calibri" w:hAnsi="Calibri"/>
          <w:b/>
          <w:bCs/>
          <w:i w:val="false"/>
          <w:iCs w:val="false"/>
          <w:color w:val="A33232"/>
          <w:sz w:val="19"/>
          <w:szCs w:val="19"/>
        </w:rPr>
        <w:t xml:space="preserve">[DECISION NEEDED: Benennung des Richtlinieneigners/Sponsors – durch die Geschäftsleitung]</w:t>
      </w:r>
      <w:r>
        <w:rPr>
          <w:rFonts w:ascii="Calibri" w:cs="Calibri" w:eastAsia="Calibri" w:hAnsi="Calibri"/>
          <w:b w:val="false"/>
          <w:bCs w:val="false"/>
          <w:i w:val="false"/>
          <w:iCs w:val="false"/>
          <w:color w:val="222222"/>
          <w:sz w:val="19"/>
          <w:szCs w:val="19"/>
        </w:rPr>
        <w:t xml:space="preserve">; (b) </w:t>
      </w:r>
      <w:r>
        <w:rPr>
          <w:rFonts w:ascii="Calibri" w:cs="Calibri" w:eastAsia="Calibri" w:hAnsi="Calibri"/>
          <w:b/>
          <w:bCs/>
          <w:i w:val="false"/>
          <w:iCs w:val="false"/>
          <w:color w:val="A33232"/>
          <w:sz w:val="19"/>
          <w:szCs w:val="19"/>
        </w:rPr>
        <w:t xml:space="preserve">[DECISION NEEDED: Vorstandsbeschluss zum Abschaltmandat des AI Portfolio Boards – Datum und Beschluss-Nr.]</w:t>
      </w:r>
      <w:r>
        <w:rPr>
          <w:rFonts w:ascii="Calibri" w:cs="Calibri" w:eastAsia="Calibri" w:hAnsi="Calibri"/>
          <w:b w:val="false"/>
          <w:bCs w:val="false"/>
          <w:i w:val="false"/>
          <w:iCs w:val="false"/>
          <w:color w:val="222222"/>
          <w:sz w:val="19"/>
          <w:szCs w:val="19"/>
        </w:rPr>
        <w:t xml:space="preserve">; (c) Konstituierung des AI Portfolio Boards aus dem bestehenden AI Synergy Board einschließlich </w:t>
      </w:r>
      <w:r>
        <w:rPr>
          <w:rFonts w:ascii="Calibri" w:cs="Calibri" w:eastAsia="Calibri" w:hAnsi="Calibri"/>
          <w:b/>
          <w:bCs/>
          <w:i w:val="false"/>
          <w:iCs w:val="false"/>
          <w:color w:val="A33232"/>
          <w:sz w:val="19"/>
          <w:szCs w:val="19"/>
        </w:rPr>
        <w:t xml:space="preserve">[DECISION NEEDED: Geschäftsordnung und Benennung des Controlling-/CFO-Office-Sitzes]</w:t>
      </w:r>
      <w:r>
        <w:rPr>
          <w:rFonts w:ascii="Calibri" w:cs="Calibri" w:eastAsia="Calibri" w:hAnsi="Calibri"/>
          <w:b w:val="false"/>
          <w:bCs w:val="false"/>
          <w:i w:val="false"/>
          <w:iCs w:val="false"/>
          <w:color w:val="222222"/>
          <w:sz w:val="19"/>
          <w:szCs w:val="19"/>
        </w:rPr>
        <w:t xml:space="preserve">; (d) Abschluss der Rahmenvereinbarung mit dem IT-Ausschuss über das Telemetrie-Event-Schema – bis zum Abschluss gelten Einzelfreigaben je Lösung; (e) </w:t>
      </w:r>
      <w:r>
        <w:rPr>
          <w:rFonts w:ascii="Calibri" w:cs="Calibri" w:eastAsia="Calibri" w:hAnsi="Calibri"/>
          <w:b/>
          <w:bCs/>
          <w:i w:val="false"/>
          <w:iCs w:val="false"/>
          <w:color w:val="A33232"/>
          <w:sz w:val="19"/>
          <w:szCs w:val="19"/>
        </w:rPr>
        <w:t xml:space="preserve">[DECISION NEEDED: Veröffentlichung der Vollkostensätze je Funktionsgruppe – durch Konzern-Controlling]</w:t>
      </w:r>
      <w:r>
        <w:rPr>
          <w:rFonts w:ascii="Calibri" w:cs="Calibri" w:eastAsia="Calibri" w:hAnsi="Calibri"/>
          <w:b w:val="false"/>
          <w:bCs w:val="false"/>
          <w:i w:val="false"/>
          <w:iCs w:val="false"/>
          <w:color w:val="222222"/>
          <w:sz w:val="19"/>
          <w:szCs w:val="19"/>
        </w:rPr>
        <w:t xml:space="preserve">; (f) </w:t>
      </w:r>
      <w:r>
        <w:rPr>
          <w:rFonts w:ascii="Calibri" w:cs="Calibri" w:eastAsia="Calibri" w:hAnsi="Calibri"/>
          <w:b/>
          <w:bCs/>
          <w:i w:val="false"/>
          <w:iCs w:val="false"/>
          <w:color w:val="A33232"/>
          <w:sz w:val="19"/>
          <w:szCs w:val="19"/>
        </w:rPr>
        <w:t xml:space="preserve">[DECISION NEEDED: Benennung des technischen Owners des zentralen Telemetrie-Stores und des ROI-Dashboards – durch die Bereichsleitung Data &amp; AI]</w:t>
      </w:r>
      <w:r>
        <w:rPr>
          <w:rFonts w:ascii="Calibri" w:cs="Calibri" w:eastAsia="Calibri" w:hAnsi="Calibri"/>
          <w:b w:val="false"/>
          <w:bCs w:val="false"/>
          <w:i w:val="false"/>
          <w:iCs w:val="false"/>
          <w:color w:val="222222"/>
          <w:sz w:val="19"/>
          <w:szCs w:val="19"/>
        </w:rPr>
        <w:t xml:space="preserve">; (g) </w:t>
      </w:r>
      <w:r>
        <w:rPr>
          <w:rFonts w:ascii="Calibri" w:cs="Calibri" w:eastAsia="Calibri" w:hAnsi="Calibri"/>
          <w:b/>
          <w:bCs/>
          <w:i w:val="false"/>
          <w:iCs w:val="false"/>
          <w:color w:val="A33232"/>
          <w:sz w:val="19"/>
          <w:szCs w:val="19"/>
        </w:rPr>
        <w:t xml:space="preserve">[DECISION NEEDED: Festlegung des Plattformbudgets für Registry-Extraktionen]</w:t>
      </w:r>
      <w:r>
        <w:rPr>
          <w:rFonts w:ascii="Calibri" w:cs="Calibri" w:eastAsia="Calibri" w:hAnsi="Calibri"/>
          <w:b w:val="false"/>
          <w:bCs w:val="false"/>
          <w:i w:val="false"/>
          <w:iCs w:val="false"/>
          <w:color w:val="222222"/>
          <w:sz w:val="19"/>
          <w:szCs w:val="19"/>
        </w:rPr>
        <w:t xml:space="preserve">. Für Bestandslösungen gilt die Übergangsfrist gemäß Abschnitt 2.2. Das erweiterte Business Case Template (Baseline, Exit-Kriterien, Reuse-Check) muss vor Inkrafttreten durch das CoE AI bereitgestellt werden.</w:t>
      </w:r>
    </w:p>
    <w:p>
      <w:pPr>
        <w:pBdr>
          <w:bottom w:val="single" w:color="1F3864" w:sz="8" w:space="2"/>
        </w:pBdr>
        <w:spacing w:after="100" w:before="240"/>
      </w:pPr>
      <w:r>
        <w:rPr>
          <w:rFonts w:ascii="Calibri" w:cs="Calibri" w:eastAsia="Calibri" w:hAnsi="Calibri"/>
          <w:b/>
          <w:bCs/>
          <w:i w:val="false"/>
          <w:iCs w:val="false"/>
          <w:color w:val="1F3864"/>
          <w:sz w:val="24"/>
          <w:szCs w:val="24"/>
        </w:rPr>
        <w:t xml:space="preserve">11.0  Mitgeltende Unterlagen</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4200"/>
        <w:gridCol w:w="5906"/>
      </w:tblGrid>
      <w:tr>
        <w:trPr>
          <w:tblHeader/>
        </w:trPr>
        <w:tc>
          <w:tcPr>
            <w:tcW w:type="dxa" w:w="4200"/>
            <w:tcBorders>
              <w:top w:val="single" w:color="B7C3D6" w:sz="4"/>
              <w:left w:val="single" w:color="B7C3D6" w:sz="4"/>
              <w:bottom w:val="single" w:color="B7C3D6" w:sz="4"/>
              <w:right w:val="single" w:color="B7C3D6" w:sz="4"/>
            </w:tcBorders>
            <w:shd w:fill="DCE6F5" w:val="clear"/>
            <w:tcMar>
              <w:top w:type="dxa" w:w="40"/>
              <w:left w:type="dxa" w:w="90"/>
              <w:bottom w:type="dxa" w:w="40"/>
              <w:right w:type="dxa" w:w="90"/>
            </w:tcMar>
            <w:vAlign w:val="center"/>
          </w:tcPr>
          <w:p>
            <w:pPr>
              <w:spacing w:after="10" w:before="10" w:line="270"/>
            </w:pPr>
            <w:r>
              <w:rPr>
                <w:rFonts w:ascii="Calibri" w:cs="Calibri" w:eastAsia="Calibri" w:hAnsi="Calibri"/>
                <w:b/>
                <w:bCs/>
                <w:i w:val="false"/>
                <w:iCs w:val="false"/>
                <w:color w:val="222222"/>
                <w:sz w:val="17"/>
                <w:szCs w:val="17"/>
              </w:rPr>
              <w:t xml:space="preserve">Dokument</w:t>
            </w:r>
          </w:p>
        </w:tc>
        <w:tc>
          <w:tcPr>
            <w:tcW w:type="dxa" w:w="5906"/>
            <w:tcBorders>
              <w:top w:val="single" w:color="B7C3D6" w:sz="4"/>
              <w:left w:val="single" w:color="B7C3D6" w:sz="4"/>
              <w:bottom w:val="single" w:color="B7C3D6" w:sz="4"/>
              <w:right w:val="single" w:color="B7C3D6" w:sz="4"/>
            </w:tcBorders>
            <w:shd w:fill="DCE6F5" w:val="clear"/>
            <w:tcMar>
              <w:top w:type="dxa" w:w="40"/>
              <w:left w:type="dxa" w:w="90"/>
              <w:bottom w:type="dxa" w:w="40"/>
              <w:right w:type="dxa" w:w="90"/>
            </w:tcMar>
            <w:vAlign w:val="center"/>
          </w:tcPr>
          <w:p>
            <w:pPr>
              <w:spacing w:after="10" w:before="10" w:line="270"/>
            </w:pPr>
            <w:r>
              <w:rPr>
                <w:rFonts w:ascii="Calibri" w:cs="Calibri" w:eastAsia="Calibri" w:hAnsi="Calibri"/>
                <w:b/>
                <w:bCs/>
                <w:i w:val="false"/>
                <w:iCs w:val="false"/>
                <w:color w:val="222222"/>
                <w:sz w:val="17"/>
                <w:szCs w:val="17"/>
              </w:rPr>
              <w:t xml:space="preserve">Status / Verbindlichkeit</w:t>
            </w:r>
          </w:p>
        </w:tc>
      </w:tr>
      <w:tr>
        <w:trPr>
          <w:cantSplit/>
        </w:trPr>
        <w:tc>
          <w:tcPr>
            <w:tcW w:type="dxa" w:w="4200"/>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line="270"/>
            </w:pPr>
            <w:r>
              <w:rPr>
                <w:rFonts w:ascii="Calibri" w:cs="Calibri" w:eastAsia="Calibri" w:hAnsi="Calibri"/>
                <w:b/>
                <w:bCs/>
                <w:i w:val="false"/>
                <w:iCs w:val="false"/>
                <w:color w:val="222222"/>
                <w:sz w:val="17"/>
                <w:szCs w:val="17"/>
              </w:rPr>
              <w:t xml:space="preserve">Value One-Pager (Template)</w:t>
            </w:r>
          </w:p>
        </w:tc>
        <w:tc>
          <w:tcPr>
            <w:tcW w:type="dxa" w:w="5906"/>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line="270"/>
            </w:pPr>
            <w:r>
              <w:rPr>
                <w:rFonts w:ascii="Calibri" w:cs="Calibri" w:eastAsia="Calibri" w:hAnsi="Calibri"/>
                <w:b w:val="false"/>
                <w:bCs w:val="false"/>
                <w:i w:val="false"/>
                <w:iCs w:val="false"/>
                <w:color w:val="333333"/>
                <w:sz w:val="17"/>
                <w:szCs w:val="17"/>
              </w:rPr>
              <w:t xml:space="preserve">normative Anlage; Formeln und Ampelschwellen verbindlich (Abschnitt 7.0)</w:t>
            </w:r>
          </w:p>
        </w:tc>
      </w:tr>
      <w:tr>
        <w:trPr>
          <w:cantSplit/>
        </w:trPr>
        <w:tc>
          <w:tcPr>
            <w:tcW w:type="dxa" w:w="4200"/>
            <w:tcBorders>
              <w:top w:val="single" w:color="B7C3D6" w:sz="4"/>
              <w:left w:val="single" w:color="B7C3D6" w:sz="4"/>
              <w:bottom w:val="single" w:color="B7C3D6" w:sz="4"/>
              <w:right w:val="single" w:color="B7C3D6" w:sz="4"/>
            </w:tcBorders>
            <w:shd w:fill="F3F6FB" w:val="clear"/>
            <w:tcMar>
              <w:top w:type="dxa" w:w="40"/>
              <w:left w:type="dxa" w:w="90"/>
              <w:bottom w:type="dxa" w:w="40"/>
              <w:right w:type="dxa" w:w="90"/>
            </w:tcMar>
            <w:vAlign w:val="center"/>
          </w:tcPr>
          <w:p>
            <w:pPr>
              <w:spacing w:after="10" w:before="10" w:line="270"/>
            </w:pPr>
            <w:r>
              <w:rPr>
                <w:rFonts w:ascii="Calibri" w:cs="Calibri" w:eastAsia="Calibri" w:hAnsi="Calibri"/>
                <w:b/>
                <w:bCs/>
                <w:i w:val="false"/>
                <w:iCs w:val="false"/>
                <w:color w:val="222222"/>
                <w:sz w:val="17"/>
                <w:szCs w:val="17"/>
              </w:rPr>
              <w:t xml:space="preserve">Minimal-Telemetrie-Standard</w:t>
            </w:r>
          </w:p>
        </w:tc>
        <w:tc>
          <w:tcPr>
            <w:tcW w:type="dxa" w:w="5906"/>
            <w:tcBorders>
              <w:top w:val="single" w:color="B7C3D6" w:sz="4"/>
              <w:left w:val="single" w:color="B7C3D6" w:sz="4"/>
              <w:bottom w:val="single" w:color="B7C3D6" w:sz="4"/>
              <w:right w:val="single" w:color="B7C3D6" w:sz="4"/>
            </w:tcBorders>
            <w:shd w:fill="F3F6FB" w:val="clear"/>
            <w:tcMar>
              <w:top w:type="dxa" w:w="40"/>
              <w:left w:type="dxa" w:w="90"/>
              <w:bottom w:type="dxa" w:w="40"/>
              <w:right w:type="dxa" w:w="90"/>
            </w:tcMar>
            <w:vAlign w:val="center"/>
          </w:tcPr>
          <w:p>
            <w:pPr>
              <w:spacing w:after="10" w:before="10" w:line="270"/>
            </w:pPr>
            <w:r>
              <w:rPr>
                <w:rFonts w:ascii="Calibri" w:cs="Calibri" w:eastAsia="Calibri" w:hAnsi="Calibri"/>
                <w:b w:val="false"/>
                <w:bCs w:val="false"/>
                <w:i w:val="false"/>
                <w:iCs w:val="false"/>
                <w:color w:val="333333"/>
                <w:sz w:val="17"/>
                <w:szCs w:val="17"/>
              </w:rPr>
              <w:t xml:space="preserve">normative Anlage; Go-Live-Gate G2 (Abschnitt 7.0)</w:t>
            </w:r>
          </w:p>
        </w:tc>
      </w:tr>
      <w:tr>
        <w:trPr>
          <w:cantSplit/>
        </w:trPr>
        <w:tc>
          <w:tcPr>
            <w:tcW w:type="dxa" w:w="4200"/>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line="270"/>
            </w:pPr>
            <w:r>
              <w:rPr>
                <w:rFonts w:ascii="Calibri" w:cs="Calibri" w:eastAsia="Calibri" w:hAnsi="Calibri"/>
                <w:b/>
                <w:bCs/>
                <w:i w:val="false"/>
                <w:iCs w:val="false"/>
                <w:color w:val="222222"/>
                <w:sz w:val="17"/>
                <w:szCs w:val="17"/>
              </w:rPr>
              <w:t xml:space="preserve">Registry- &amp; Scaling-Standard</w:t>
            </w:r>
          </w:p>
        </w:tc>
        <w:tc>
          <w:tcPr>
            <w:tcW w:type="dxa" w:w="5906"/>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line="270"/>
            </w:pPr>
            <w:r>
              <w:rPr>
                <w:rFonts w:ascii="Calibri" w:cs="Calibri" w:eastAsia="Calibri" w:hAnsi="Calibri"/>
                <w:b w:val="false"/>
                <w:bCs w:val="false"/>
                <w:i w:val="false"/>
                <w:iCs w:val="false"/>
                <w:color w:val="333333"/>
                <w:sz w:val="17"/>
                <w:szCs w:val="17"/>
              </w:rPr>
              <w:t xml:space="preserve">normative Anlage; Reuse-Check G1, Scaling-Pfad G4, Verrechnungsregeln (Abschnitt 7.0)</w:t>
            </w:r>
          </w:p>
        </w:tc>
      </w:tr>
      <w:tr>
        <w:trPr>
          <w:cantSplit/>
        </w:trPr>
        <w:tc>
          <w:tcPr>
            <w:tcW w:type="dxa" w:w="4200"/>
            <w:tcBorders>
              <w:top w:val="single" w:color="B7C3D6" w:sz="4"/>
              <w:left w:val="single" w:color="B7C3D6" w:sz="4"/>
              <w:bottom w:val="single" w:color="B7C3D6" w:sz="4"/>
              <w:right w:val="single" w:color="B7C3D6" w:sz="4"/>
            </w:tcBorders>
            <w:shd w:fill="F3F6FB" w:val="clear"/>
            <w:tcMar>
              <w:top w:type="dxa" w:w="40"/>
              <w:left w:type="dxa" w:w="90"/>
              <w:bottom w:type="dxa" w:w="40"/>
              <w:right w:type="dxa" w:w="90"/>
            </w:tcMar>
            <w:vAlign w:val="center"/>
          </w:tcPr>
          <w:p>
            <w:pPr>
              <w:spacing w:after="10" w:before="10" w:line="270"/>
            </w:pPr>
            <w:r>
              <w:rPr>
                <w:rFonts w:ascii="Calibri" w:cs="Calibri" w:eastAsia="Calibri" w:hAnsi="Calibri"/>
                <w:b/>
                <w:bCs/>
                <w:i w:val="false"/>
                <w:iCs w:val="false"/>
                <w:color w:val="222222"/>
                <w:sz w:val="17"/>
                <w:szCs w:val="17"/>
              </w:rPr>
              <w:t xml:space="preserve">Adoption-Standard &amp; Playbook</w:t>
            </w:r>
          </w:p>
        </w:tc>
        <w:tc>
          <w:tcPr>
            <w:tcW w:type="dxa" w:w="5906"/>
            <w:tcBorders>
              <w:top w:val="single" w:color="B7C3D6" w:sz="4"/>
              <w:left w:val="single" w:color="B7C3D6" w:sz="4"/>
              <w:bottom w:val="single" w:color="B7C3D6" w:sz="4"/>
              <w:right w:val="single" w:color="B7C3D6" w:sz="4"/>
            </w:tcBorders>
            <w:shd w:fill="F3F6FB" w:val="clear"/>
            <w:tcMar>
              <w:top w:type="dxa" w:w="40"/>
              <w:left w:type="dxa" w:w="90"/>
              <w:bottom w:type="dxa" w:w="40"/>
              <w:right w:type="dxa" w:w="90"/>
            </w:tcMar>
            <w:vAlign w:val="center"/>
          </w:tcPr>
          <w:p>
            <w:pPr>
              <w:spacing w:after="10" w:before="10" w:line="270"/>
            </w:pPr>
            <w:r>
              <w:rPr>
                <w:rFonts w:ascii="Calibri" w:cs="Calibri" w:eastAsia="Calibri" w:hAnsi="Calibri"/>
                <w:b w:val="false"/>
                <w:bCs w:val="false"/>
                <w:i w:val="false"/>
                <w:iCs w:val="false"/>
                <w:color w:val="333333"/>
                <w:sz w:val="17"/>
                <w:szCs w:val="17"/>
              </w:rPr>
              <w:t xml:space="preserve">normative Anlage; Rampe, Anti-Gaming-Regeln, Remediation-Anforderungen (Abschnitt 7.0)</w:t>
            </w:r>
          </w:p>
        </w:tc>
      </w:tr>
      <w:tr>
        <w:trPr>
          <w:cantSplit/>
        </w:trPr>
        <w:tc>
          <w:tcPr>
            <w:tcW w:type="dxa" w:w="4200"/>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line="270"/>
            </w:pPr>
            <w:r>
              <w:rPr>
                <w:rFonts w:ascii="Calibri" w:cs="Calibri" w:eastAsia="Calibri" w:hAnsi="Calibri"/>
                <w:b/>
                <w:bCs/>
                <w:i w:val="false"/>
                <w:iCs w:val="false"/>
                <w:color w:val="222222"/>
                <w:sz w:val="17"/>
                <w:szCs w:val="17"/>
              </w:rPr>
              <w:t xml:space="preserve">Business Case Template (erweitert)</w:t>
            </w:r>
          </w:p>
        </w:tc>
        <w:tc>
          <w:tcPr>
            <w:tcW w:type="dxa" w:w="5906"/>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line="270"/>
            </w:pPr>
            <w:r>
              <w:rPr>
                <w:rFonts w:ascii="Calibri" w:cs="Calibri" w:eastAsia="Calibri" w:hAnsi="Calibri"/>
                <w:b w:val="false"/>
                <w:bCs w:val="false"/>
                <w:i w:val="false"/>
                <w:iCs w:val="false"/>
                <w:color w:val="333333"/>
                <w:sz w:val="17"/>
                <w:szCs w:val="17"/>
              </w:rPr>
              <w:t xml:space="preserve">Pflichtartefakt Phase 1; Erweiterung um Baseline, Exit-Kriterien, Reuse-Check vor Inkrafttreten</w:t>
            </w:r>
          </w:p>
        </w:tc>
      </w:tr>
      <w:tr>
        <w:trPr>
          <w:cantSplit/>
        </w:trPr>
        <w:tc>
          <w:tcPr>
            <w:tcW w:type="dxa" w:w="4200"/>
            <w:tcBorders>
              <w:top w:val="single" w:color="B7C3D6" w:sz="4"/>
              <w:left w:val="single" w:color="B7C3D6" w:sz="4"/>
              <w:bottom w:val="single" w:color="B7C3D6" w:sz="4"/>
              <w:right w:val="single" w:color="B7C3D6" w:sz="4"/>
            </w:tcBorders>
            <w:shd w:fill="F3F6FB" w:val="clear"/>
            <w:tcMar>
              <w:top w:type="dxa" w:w="40"/>
              <w:left w:type="dxa" w:w="90"/>
              <w:bottom w:type="dxa" w:w="40"/>
              <w:right w:type="dxa" w:w="90"/>
            </w:tcMar>
            <w:vAlign w:val="center"/>
          </w:tcPr>
          <w:p>
            <w:pPr>
              <w:spacing w:after="10" w:before="10" w:line="270"/>
            </w:pPr>
            <w:r>
              <w:rPr>
                <w:rFonts w:ascii="Calibri" w:cs="Calibri" w:eastAsia="Calibri" w:hAnsi="Calibri"/>
                <w:b/>
                <w:bCs/>
                <w:i w:val="false"/>
                <w:iCs w:val="false"/>
                <w:color w:val="222222"/>
                <w:sz w:val="17"/>
                <w:szCs w:val="17"/>
              </w:rPr>
              <w:t xml:space="preserve">AI Ideation Process (Assessment-Checkliste)</w:t>
            </w:r>
          </w:p>
        </w:tc>
        <w:tc>
          <w:tcPr>
            <w:tcW w:type="dxa" w:w="5906"/>
            <w:tcBorders>
              <w:top w:val="single" w:color="B7C3D6" w:sz="4"/>
              <w:left w:val="single" w:color="B7C3D6" w:sz="4"/>
              <w:bottom w:val="single" w:color="B7C3D6" w:sz="4"/>
              <w:right w:val="single" w:color="B7C3D6" w:sz="4"/>
            </w:tcBorders>
            <w:shd w:fill="F3F6FB" w:val="clear"/>
            <w:tcMar>
              <w:top w:type="dxa" w:w="40"/>
              <w:left w:type="dxa" w:w="90"/>
              <w:bottom w:type="dxa" w:w="40"/>
              <w:right w:type="dxa" w:w="90"/>
            </w:tcMar>
            <w:vAlign w:val="center"/>
          </w:tcPr>
          <w:p>
            <w:pPr>
              <w:spacing w:after="10" w:before="10" w:line="270"/>
            </w:pPr>
            <w:r>
              <w:rPr>
                <w:rFonts w:ascii="Calibri" w:cs="Calibri" w:eastAsia="Calibri" w:hAnsi="Calibri"/>
                <w:b w:val="false"/>
                <w:bCs w:val="false"/>
                <w:i w:val="false"/>
                <w:iCs w:val="false"/>
                <w:color w:val="333333"/>
                <w:sz w:val="17"/>
                <w:szCs w:val="17"/>
              </w:rPr>
              <w:t xml:space="preserve">bestehende Regelung; Assessments bleiben unberührt und sind in Phase 1–2 integriert</w:t>
            </w:r>
          </w:p>
        </w:tc>
      </w:tr>
      <w:tr>
        <w:trPr>
          <w:cantSplit/>
        </w:trPr>
        <w:tc>
          <w:tcPr>
            <w:tcW w:type="dxa" w:w="4200"/>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line="270"/>
            </w:pPr>
            <w:r>
              <w:rPr>
                <w:rFonts w:ascii="Calibri" w:cs="Calibri" w:eastAsia="Calibri" w:hAnsi="Calibri"/>
                <w:b/>
                <w:bCs/>
                <w:i w:val="false"/>
                <w:iCs w:val="false"/>
                <w:color w:val="222222"/>
                <w:sz w:val="17"/>
                <w:szCs w:val="17"/>
              </w:rPr>
              <w:t xml:space="preserve">AI-Use-Case-Inventar / Registry</w:t>
            </w:r>
          </w:p>
        </w:tc>
        <w:tc>
          <w:tcPr>
            <w:tcW w:type="dxa" w:w="5906"/>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line="270"/>
            </w:pPr>
            <w:r>
              <w:rPr>
                <w:rFonts w:ascii="Calibri" w:cs="Calibri" w:eastAsia="Calibri" w:hAnsi="Calibri"/>
                <w:b w:val="false"/>
                <w:bCs w:val="false"/>
                <w:i w:val="false"/>
                <w:iCs w:val="false"/>
                <w:color w:val="333333"/>
                <w:sz w:val="17"/>
                <w:szCs w:val="17"/>
              </w:rPr>
              <w:t xml:space="preserve">führendes Verzeichnis aller Use-Case-IDs und Komponenten</w:t>
            </w:r>
          </w:p>
        </w:tc>
      </w:tr>
    </w:tbl>
    <w:p>
      <w:pPr>
        <w:pBdr>
          <w:bottom w:val="single" w:color="1F3864" w:sz="8" w:space="2"/>
        </w:pBdr>
        <w:spacing w:after="100" w:before="240"/>
      </w:pPr>
      <w:r>
        <w:rPr>
          <w:rFonts w:ascii="Calibri" w:cs="Calibri" w:eastAsia="Calibri" w:hAnsi="Calibri"/>
          <w:b/>
          <w:bCs/>
          <w:i w:val="false"/>
          <w:iCs w:val="false"/>
          <w:color w:val="1F3864"/>
          <w:sz w:val="24"/>
          <w:szCs w:val="24"/>
        </w:rPr>
        <w:t xml:space="preserve">12.0  Register der offenen Festlegungen (DECISION NEEDED)</w:t>
      </w:r>
    </w:p>
    <w:p>
      <w:pPr>
        <w:spacing w:after="60" w:before="20" w:line="270"/>
      </w:pPr>
      <w:r>
        <w:rPr>
          <w:rFonts w:ascii="Calibri" w:cs="Calibri" w:eastAsia="Calibri" w:hAnsi="Calibri"/>
          <w:b w:val="false"/>
          <w:bCs w:val="false"/>
          <w:i w:val="false"/>
          <w:iCs w:val="false"/>
          <w:color w:val="222222"/>
          <w:sz w:val="19"/>
          <w:szCs w:val="19"/>
        </w:rPr>
        <w:t xml:space="preserve">Vor Beschlussfassung müssen die folgenden Punkte entschieden und die Platzhalter im Dokument ersetzt werden. Die Richtlinie darf nicht mit offenen Platzhaltern in Kraft gesetzt werden.</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700"/>
        <w:gridCol w:w="5300"/>
        <w:gridCol w:w="2500"/>
        <w:gridCol w:w="1606"/>
      </w:tblGrid>
      <w:tr>
        <w:trPr>
          <w:tblHeader/>
        </w:trPr>
        <w:tc>
          <w:tcPr>
            <w:tcW w:type="dxa" w:w="700"/>
            <w:tcBorders>
              <w:top w:val="single" w:color="B7C3D6" w:sz="4"/>
              <w:left w:val="single" w:color="B7C3D6" w:sz="4"/>
              <w:bottom w:val="single" w:color="B7C3D6" w:sz="4"/>
              <w:right w:val="single" w:color="B7C3D6" w:sz="4"/>
            </w:tcBorders>
            <w:shd w:fill="DCE6F5" w:val="clear"/>
            <w:tcMar>
              <w:top w:type="dxa" w:w="40"/>
              <w:left w:type="dxa" w:w="90"/>
              <w:bottom w:type="dxa" w:w="40"/>
              <w:right w:type="dxa" w:w="90"/>
            </w:tcMar>
            <w:vAlign w:val="center"/>
          </w:tcPr>
          <w:p>
            <w:pPr>
              <w:spacing w:after="10" w:before="10" w:line="270"/>
            </w:pPr>
            <w:r>
              <w:rPr>
                <w:rFonts w:ascii="Calibri" w:cs="Calibri" w:eastAsia="Calibri" w:hAnsi="Calibri"/>
                <w:b/>
                <w:bCs/>
                <w:i w:val="false"/>
                <w:iCs w:val="false"/>
                <w:color w:val="222222"/>
                <w:sz w:val="17"/>
                <w:szCs w:val="17"/>
              </w:rPr>
              <w:t xml:space="preserve">Nr.</w:t>
            </w:r>
          </w:p>
        </w:tc>
        <w:tc>
          <w:tcPr>
            <w:tcW w:type="dxa" w:w="5300"/>
            <w:tcBorders>
              <w:top w:val="single" w:color="B7C3D6" w:sz="4"/>
              <w:left w:val="single" w:color="B7C3D6" w:sz="4"/>
              <w:bottom w:val="single" w:color="B7C3D6" w:sz="4"/>
              <w:right w:val="single" w:color="B7C3D6" w:sz="4"/>
            </w:tcBorders>
            <w:shd w:fill="DCE6F5" w:val="clear"/>
            <w:tcMar>
              <w:top w:type="dxa" w:w="40"/>
              <w:left w:type="dxa" w:w="90"/>
              <w:bottom w:type="dxa" w:w="40"/>
              <w:right w:type="dxa" w:w="90"/>
            </w:tcMar>
            <w:vAlign w:val="center"/>
          </w:tcPr>
          <w:p>
            <w:pPr>
              <w:spacing w:after="10" w:before="10" w:line="270"/>
            </w:pPr>
            <w:r>
              <w:rPr>
                <w:rFonts w:ascii="Calibri" w:cs="Calibri" w:eastAsia="Calibri" w:hAnsi="Calibri"/>
                <w:b/>
                <w:bCs/>
                <w:i w:val="false"/>
                <w:iCs w:val="false"/>
                <w:color w:val="222222"/>
                <w:sz w:val="17"/>
                <w:szCs w:val="17"/>
              </w:rPr>
              <w:t xml:space="preserve">Offene Festlegung</w:t>
            </w:r>
          </w:p>
        </w:tc>
        <w:tc>
          <w:tcPr>
            <w:tcW w:type="dxa" w:w="2500"/>
            <w:tcBorders>
              <w:top w:val="single" w:color="B7C3D6" w:sz="4"/>
              <w:left w:val="single" w:color="B7C3D6" w:sz="4"/>
              <w:bottom w:val="single" w:color="B7C3D6" w:sz="4"/>
              <w:right w:val="single" w:color="B7C3D6" w:sz="4"/>
            </w:tcBorders>
            <w:shd w:fill="DCE6F5" w:val="clear"/>
            <w:tcMar>
              <w:top w:type="dxa" w:w="40"/>
              <w:left w:type="dxa" w:w="90"/>
              <w:bottom w:type="dxa" w:w="40"/>
              <w:right w:type="dxa" w:w="90"/>
            </w:tcMar>
            <w:vAlign w:val="center"/>
          </w:tcPr>
          <w:p>
            <w:pPr>
              <w:spacing w:after="10" w:before="10" w:line="270"/>
            </w:pPr>
            <w:r>
              <w:rPr>
                <w:rFonts w:ascii="Calibri" w:cs="Calibri" w:eastAsia="Calibri" w:hAnsi="Calibri"/>
                <w:b/>
                <w:bCs/>
                <w:i w:val="false"/>
                <w:iCs w:val="false"/>
                <w:color w:val="222222"/>
                <w:sz w:val="17"/>
                <w:szCs w:val="17"/>
              </w:rPr>
              <w:t xml:space="preserve">Zu entscheiden durch</w:t>
            </w:r>
          </w:p>
        </w:tc>
        <w:tc>
          <w:tcPr>
            <w:tcW w:type="dxa" w:w="1606"/>
            <w:tcBorders>
              <w:top w:val="single" w:color="B7C3D6" w:sz="4"/>
              <w:left w:val="single" w:color="B7C3D6" w:sz="4"/>
              <w:bottom w:val="single" w:color="B7C3D6" w:sz="4"/>
              <w:right w:val="single" w:color="B7C3D6" w:sz="4"/>
            </w:tcBorders>
            <w:shd w:fill="DCE6F5" w:val="clear"/>
            <w:tcMar>
              <w:top w:type="dxa" w:w="40"/>
              <w:left w:type="dxa" w:w="90"/>
              <w:bottom w:type="dxa" w:w="40"/>
              <w:right w:type="dxa" w:w="90"/>
            </w:tcMar>
            <w:vAlign w:val="center"/>
          </w:tcPr>
          <w:p>
            <w:pPr>
              <w:spacing w:after="10" w:before="10" w:line="270"/>
            </w:pPr>
            <w:r>
              <w:rPr>
                <w:rFonts w:ascii="Calibri" w:cs="Calibri" w:eastAsia="Calibri" w:hAnsi="Calibri"/>
                <w:b/>
                <w:bCs/>
                <w:i w:val="false"/>
                <w:iCs w:val="false"/>
                <w:color w:val="222222"/>
                <w:sz w:val="17"/>
                <w:szCs w:val="17"/>
              </w:rPr>
              <w:t xml:space="preserve">Referenz</w:t>
            </w:r>
          </w:p>
        </w:tc>
      </w:tr>
      <w:tr>
        <w:trPr>
          <w:cantSplit/>
        </w:trPr>
        <w:tc>
          <w:tcPr>
            <w:tcW w:type="dxa" w:w="700"/>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line="270"/>
              <w:jc w:val="center"/>
            </w:pPr>
            <w:r>
              <w:rPr>
                <w:rFonts w:ascii="Calibri" w:cs="Calibri" w:eastAsia="Calibri" w:hAnsi="Calibri"/>
                <w:b/>
                <w:bCs/>
                <w:i w:val="false"/>
                <w:iCs w:val="false"/>
                <w:color w:val="222222"/>
                <w:sz w:val="17"/>
                <w:szCs w:val="17"/>
              </w:rPr>
              <w:t xml:space="preserve">D1</w:t>
            </w:r>
          </w:p>
        </w:tc>
        <w:tc>
          <w:tcPr>
            <w:tcW w:type="dxa" w:w="5300"/>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line="270"/>
            </w:pPr>
            <w:r>
              <w:rPr>
                <w:rFonts w:ascii="Calibri" w:cs="Calibri" w:eastAsia="Calibri" w:hAnsi="Calibri"/>
                <w:b w:val="false"/>
                <w:bCs w:val="false"/>
                <w:i w:val="false"/>
                <w:iCs w:val="false"/>
                <w:color w:val="333333"/>
                <w:sz w:val="17"/>
                <w:szCs w:val="17"/>
              </w:rPr>
              <w:t xml:space="preserve">Richtlinieneigner/Sponsor</w:t>
            </w:r>
          </w:p>
        </w:tc>
        <w:tc>
          <w:tcPr>
            <w:tcW w:type="dxa" w:w="2500"/>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line="270"/>
            </w:pPr>
            <w:r>
              <w:rPr>
                <w:rFonts w:ascii="Calibri" w:cs="Calibri" w:eastAsia="Calibri" w:hAnsi="Calibri"/>
                <w:b w:val="false"/>
                <w:bCs w:val="false"/>
                <w:i w:val="false"/>
                <w:iCs w:val="false"/>
                <w:color w:val="333333"/>
                <w:sz w:val="17"/>
                <w:szCs w:val="17"/>
              </w:rPr>
              <w:t xml:space="preserve">Geschäftsleitung</w:t>
            </w:r>
          </w:p>
        </w:tc>
        <w:tc>
          <w:tcPr>
            <w:tcW w:type="dxa" w:w="1606"/>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line="270"/>
            </w:pPr>
            <w:r>
              <w:rPr>
                <w:rFonts w:ascii="Calibri" w:cs="Calibri" w:eastAsia="Calibri" w:hAnsi="Calibri"/>
                <w:b w:val="false"/>
                <w:bCs w:val="false"/>
                <w:i w:val="false"/>
                <w:iCs w:val="false"/>
                <w:color w:val="333333"/>
                <w:sz w:val="17"/>
                <w:szCs w:val="17"/>
              </w:rPr>
              <w:t xml:space="preserve">Deckblatt, 9.0, 10.0</w:t>
            </w:r>
          </w:p>
        </w:tc>
      </w:tr>
      <w:tr>
        <w:trPr>
          <w:cantSplit/>
        </w:trPr>
        <w:tc>
          <w:tcPr>
            <w:tcW w:type="dxa" w:w="700"/>
            <w:tcBorders>
              <w:top w:val="single" w:color="B7C3D6" w:sz="4"/>
              <w:left w:val="single" w:color="B7C3D6" w:sz="4"/>
              <w:bottom w:val="single" w:color="B7C3D6" w:sz="4"/>
              <w:right w:val="single" w:color="B7C3D6" w:sz="4"/>
            </w:tcBorders>
            <w:shd w:fill="F3F6FB" w:val="clear"/>
            <w:tcMar>
              <w:top w:type="dxa" w:w="40"/>
              <w:left w:type="dxa" w:w="90"/>
              <w:bottom w:type="dxa" w:w="40"/>
              <w:right w:type="dxa" w:w="90"/>
            </w:tcMar>
            <w:vAlign w:val="center"/>
          </w:tcPr>
          <w:p>
            <w:pPr>
              <w:spacing w:after="10" w:before="10" w:line="270"/>
              <w:jc w:val="center"/>
            </w:pPr>
            <w:r>
              <w:rPr>
                <w:rFonts w:ascii="Calibri" w:cs="Calibri" w:eastAsia="Calibri" w:hAnsi="Calibri"/>
                <w:b/>
                <w:bCs/>
                <w:i w:val="false"/>
                <w:iCs w:val="false"/>
                <w:color w:val="222222"/>
                <w:sz w:val="17"/>
                <w:szCs w:val="17"/>
              </w:rPr>
              <w:t xml:space="preserve">D2</w:t>
            </w:r>
          </w:p>
        </w:tc>
        <w:tc>
          <w:tcPr>
            <w:tcW w:type="dxa" w:w="5300"/>
            <w:tcBorders>
              <w:top w:val="single" w:color="B7C3D6" w:sz="4"/>
              <w:left w:val="single" w:color="B7C3D6" w:sz="4"/>
              <w:bottom w:val="single" w:color="B7C3D6" w:sz="4"/>
              <w:right w:val="single" w:color="B7C3D6" w:sz="4"/>
            </w:tcBorders>
            <w:shd w:fill="F3F6FB" w:val="clear"/>
            <w:tcMar>
              <w:top w:type="dxa" w:w="40"/>
              <w:left w:type="dxa" w:w="90"/>
              <w:bottom w:type="dxa" w:w="40"/>
              <w:right w:type="dxa" w:w="90"/>
            </w:tcMar>
            <w:vAlign w:val="center"/>
          </w:tcPr>
          <w:p>
            <w:pPr>
              <w:spacing w:after="10" w:before="10" w:line="270"/>
            </w:pPr>
            <w:r>
              <w:rPr>
                <w:rFonts w:ascii="Calibri" w:cs="Calibri" w:eastAsia="Calibri" w:hAnsi="Calibri"/>
                <w:b w:val="false"/>
                <w:bCs w:val="false"/>
                <w:i w:val="false"/>
                <w:iCs w:val="false"/>
                <w:color w:val="333333"/>
                <w:sz w:val="17"/>
                <w:szCs w:val="17"/>
              </w:rPr>
              <w:t xml:space="preserve">Dokumenten-ID und Einordnung in das Richtlinienwerk</w:t>
            </w:r>
          </w:p>
        </w:tc>
        <w:tc>
          <w:tcPr>
            <w:tcW w:type="dxa" w:w="2500"/>
            <w:tcBorders>
              <w:top w:val="single" w:color="B7C3D6" w:sz="4"/>
              <w:left w:val="single" w:color="B7C3D6" w:sz="4"/>
              <w:bottom w:val="single" w:color="B7C3D6" w:sz="4"/>
              <w:right w:val="single" w:color="B7C3D6" w:sz="4"/>
            </w:tcBorders>
            <w:shd w:fill="F3F6FB" w:val="clear"/>
            <w:tcMar>
              <w:top w:type="dxa" w:w="40"/>
              <w:left w:type="dxa" w:w="90"/>
              <w:bottom w:type="dxa" w:w="40"/>
              <w:right w:type="dxa" w:w="90"/>
            </w:tcMar>
            <w:vAlign w:val="center"/>
          </w:tcPr>
          <w:p>
            <w:pPr>
              <w:spacing w:after="10" w:before="10" w:line="270"/>
            </w:pPr>
            <w:r>
              <w:rPr>
                <w:rFonts w:ascii="Calibri" w:cs="Calibri" w:eastAsia="Calibri" w:hAnsi="Calibri"/>
                <w:b w:val="false"/>
                <w:bCs w:val="false"/>
                <w:i w:val="false"/>
                <w:iCs w:val="false"/>
                <w:color w:val="333333"/>
                <w:sz w:val="17"/>
                <w:szCs w:val="17"/>
              </w:rPr>
              <w:t xml:space="preserve">Richtlinieneigner (nach D1)</w:t>
            </w:r>
          </w:p>
        </w:tc>
        <w:tc>
          <w:tcPr>
            <w:tcW w:type="dxa" w:w="1606"/>
            <w:tcBorders>
              <w:top w:val="single" w:color="B7C3D6" w:sz="4"/>
              <w:left w:val="single" w:color="B7C3D6" w:sz="4"/>
              <w:bottom w:val="single" w:color="B7C3D6" w:sz="4"/>
              <w:right w:val="single" w:color="B7C3D6" w:sz="4"/>
            </w:tcBorders>
            <w:shd w:fill="F3F6FB" w:val="clear"/>
            <w:tcMar>
              <w:top w:type="dxa" w:w="40"/>
              <w:left w:type="dxa" w:w="90"/>
              <w:bottom w:type="dxa" w:w="40"/>
              <w:right w:type="dxa" w:w="90"/>
            </w:tcMar>
            <w:vAlign w:val="center"/>
          </w:tcPr>
          <w:p>
            <w:pPr>
              <w:spacing w:after="10" w:before="10" w:line="270"/>
            </w:pPr>
            <w:r>
              <w:rPr>
                <w:rFonts w:ascii="Calibri" w:cs="Calibri" w:eastAsia="Calibri" w:hAnsi="Calibri"/>
                <w:b w:val="false"/>
                <w:bCs w:val="false"/>
                <w:i w:val="false"/>
                <w:iCs w:val="false"/>
                <w:color w:val="333333"/>
                <w:sz w:val="17"/>
                <w:szCs w:val="17"/>
              </w:rPr>
              <w:t xml:space="preserve">Dokumentensteuerung</w:t>
            </w:r>
          </w:p>
        </w:tc>
      </w:tr>
      <w:tr>
        <w:trPr>
          <w:cantSplit/>
        </w:trPr>
        <w:tc>
          <w:tcPr>
            <w:tcW w:type="dxa" w:w="700"/>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line="270"/>
              <w:jc w:val="center"/>
            </w:pPr>
            <w:r>
              <w:rPr>
                <w:rFonts w:ascii="Calibri" w:cs="Calibri" w:eastAsia="Calibri" w:hAnsi="Calibri"/>
                <w:b/>
                <w:bCs/>
                <w:i w:val="false"/>
                <w:iCs w:val="false"/>
                <w:color w:val="222222"/>
                <w:sz w:val="17"/>
                <w:szCs w:val="17"/>
              </w:rPr>
              <w:t xml:space="preserve">D3</w:t>
            </w:r>
          </w:p>
        </w:tc>
        <w:tc>
          <w:tcPr>
            <w:tcW w:type="dxa" w:w="5300"/>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line="270"/>
            </w:pPr>
            <w:r>
              <w:rPr>
                <w:rFonts w:ascii="Calibri" w:cs="Calibri" w:eastAsia="Calibri" w:hAnsi="Calibri"/>
                <w:b w:val="false"/>
                <w:bCs w:val="false"/>
                <w:i w:val="false"/>
                <w:iCs w:val="false"/>
                <w:color w:val="333333"/>
                <w:sz w:val="17"/>
                <w:szCs w:val="17"/>
              </w:rPr>
              <w:t xml:space="preserve">Überprüfungszyklus der Richtlinie</w:t>
            </w:r>
          </w:p>
        </w:tc>
        <w:tc>
          <w:tcPr>
            <w:tcW w:type="dxa" w:w="2500"/>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line="270"/>
            </w:pPr>
            <w:r>
              <w:rPr>
                <w:rFonts w:ascii="Calibri" w:cs="Calibri" w:eastAsia="Calibri" w:hAnsi="Calibri"/>
                <w:b w:val="false"/>
                <w:bCs w:val="false"/>
                <w:i w:val="false"/>
                <w:iCs w:val="false"/>
                <w:color w:val="333333"/>
                <w:sz w:val="17"/>
                <w:szCs w:val="17"/>
              </w:rPr>
              <w:t xml:space="preserve">Richtlinieneigner</w:t>
            </w:r>
          </w:p>
        </w:tc>
        <w:tc>
          <w:tcPr>
            <w:tcW w:type="dxa" w:w="1606"/>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line="270"/>
            </w:pPr>
            <w:r>
              <w:rPr>
                <w:rFonts w:ascii="Calibri" w:cs="Calibri" w:eastAsia="Calibri" w:hAnsi="Calibri"/>
                <w:b w:val="false"/>
                <w:bCs w:val="false"/>
                <w:i w:val="false"/>
                <w:iCs w:val="false"/>
                <w:color w:val="333333"/>
                <w:sz w:val="17"/>
                <w:szCs w:val="17"/>
              </w:rPr>
              <w:t xml:space="preserve">Dokumentensteuerung</w:t>
            </w:r>
          </w:p>
        </w:tc>
      </w:tr>
      <w:tr>
        <w:trPr>
          <w:cantSplit/>
        </w:trPr>
        <w:tc>
          <w:tcPr>
            <w:tcW w:type="dxa" w:w="700"/>
            <w:tcBorders>
              <w:top w:val="single" w:color="B7C3D6" w:sz="4"/>
              <w:left w:val="single" w:color="B7C3D6" w:sz="4"/>
              <w:bottom w:val="single" w:color="B7C3D6" w:sz="4"/>
              <w:right w:val="single" w:color="B7C3D6" w:sz="4"/>
            </w:tcBorders>
            <w:shd w:fill="F3F6FB" w:val="clear"/>
            <w:tcMar>
              <w:top w:type="dxa" w:w="40"/>
              <w:left w:type="dxa" w:w="90"/>
              <w:bottom w:type="dxa" w:w="40"/>
              <w:right w:type="dxa" w:w="90"/>
            </w:tcMar>
            <w:vAlign w:val="center"/>
          </w:tcPr>
          <w:p>
            <w:pPr>
              <w:spacing w:after="10" w:before="10" w:line="270"/>
              <w:jc w:val="center"/>
            </w:pPr>
            <w:r>
              <w:rPr>
                <w:rFonts w:ascii="Calibri" w:cs="Calibri" w:eastAsia="Calibri" w:hAnsi="Calibri"/>
                <w:b/>
                <w:bCs/>
                <w:i w:val="false"/>
                <w:iCs w:val="false"/>
                <w:color w:val="222222"/>
                <w:sz w:val="17"/>
                <w:szCs w:val="17"/>
              </w:rPr>
              <w:t xml:space="preserve">D4</w:t>
            </w:r>
          </w:p>
        </w:tc>
        <w:tc>
          <w:tcPr>
            <w:tcW w:type="dxa" w:w="5300"/>
            <w:tcBorders>
              <w:top w:val="single" w:color="B7C3D6" w:sz="4"/>
              <w:left w:val="single" w:color="B7C3D6" w:sz="4"/>
              <w:bottom w:val="single" w:color="B7C3D6" w:sz="4"/>
              <w:right w:val="single" w:color="B7C3D6" w:sz="4"/>
            </w:tcBorders>
            <w:shd w:fill="F3F6FB" w:val="clear"/>
            <w:tcMar>
              <w:top w:type="dxa" w:w="40"/>
              <w:left w:type="dxa" w:w="90"/>
              <w:bottom w:type="dxa" w:w="40"/>
              <w:right w:type="dxa" w:w="90"/>
            </w:tcMar>
            <w:vAlign w:val="center"/>
          </w:tcPr>
          <w:p>
            <w:pPr>
              <w:spacing w:after="10" w:before="10" w:line="270"/>
            </w:pPr>
            <w:r>
              <w:rPr>
                <w:rFonts w:ascii="Calibri" w:cs="Calibri" w:eastAsia="Calibri" w:hAnsi="Calibri"/>
                <w:b w:val="false"/>
                <w:bCs w:val="false"/>
                <w:i w:val="false"/>
                <w:iCs w:val="false"/>
                <w:color w:val="333333"/>
                <w:sz w:val="17"/>
                <w:szCs w:val="17"/>
              </w:rPr>
              <w:t xml:space="preserve">Geltung für Tochtergesellschaften und Beteiligungen</w:t>
            </w:r>
          </w:p>
        </w:tc>
        <w:tc>
          <w:tcPr>
            <w:tcW w:type="dxa" w:w="2500"/>
            <w:tcBorders>
              <w:top w:val="single" w:color="B7C3D6" w:sz="4"/>
              <w:left w:val="single" w:color="B7C3D6" w:sz="4"/>
              <w:bottom w:val="single" w:color="B7C3D6" w:sz="4"/>
              <w:right w:val="single" w:color="B7C3D6" w:sz="4"/>
            </w:tcBorders>
            <w:shd w:fill="F3F6FB" w:val="clear"/>
            <w:tcMar>
              <w:top w:type="dxa" w:w="40"/>
              <w:left w:type="dxa" w:w="90"/>
              <w:bottom w:type="dxa" w:w="40"/>
              <w:right w:type="dxa" w:w="90"/>
            </w:tcMar>
            <w:vAlign w:val="center"/>
          </w:tcPr>
          <w:p>
            <w:pPr>
              <w:spacing w:after="10" w:before="10" w:line="270"/>
            </w:pPr>
            <w:r>
              <w:rPr>
                <w:rFonts w:ascii="Calibri" w:cs="Calibri" w:eastAsia="Calibri" w:hAnsi="Calibri"/>
                <w:b w:val="false"/>
                <w:bCs w:val="false"/>
                <w:i w:val="false"/>
                <w:iCs w:val="false"/>
                <w:color w:val="333333"/>
                <w:sz w:val="17"/>
                <w:szCs w:val="17"/>
              </w:rPr>
              <w:t xml:space="preserve">Richtlinieneigner</w:t>
            </w:r>
          </w:p>
        </w:tc>
        <w:tc>
          <w:tcPr>
            <w:tcW w:type="dxa" w:w="1606"/>
            <w:tcBorders>
              <w:top w:val="single" w:color="B7C3D6" w:sz="4"/>
              <w:left w:val="single" w:color="B7C3D6" w:sz="4"/>
              <w:bottom w:val="single" w:color="B7C3D6" w:sz="4"/>
              <w:right w:val="single" w:color="B7C3D6" w:sz="4"/>
            </w:tcBorders>
            <w:shd w:fill="F3F6FB" w:val="clear"/>
            <w:tcMar>
              <w:top w:type="dxa" w:w="40"/>
              <w:left w:type="dxa" w:w="90"/>
              <w:bottom w:type="dxa" w:w="40"/>
              <w:right w:type="dxa" w:w="90"/>
            </w:tcMar>
            <w:vAlign w:val="center"/>
          </w:tcPr>
          <w:p>
            <w:pPr>
              <w:spacing w:after="10" w:before="10" w:line="270"/>
            </w:pPr>
            <w:r>
              <w:rPr>
                <w:rFonts w:ascii="Calibri" w:cs="Calibri" w:eastAsia="Calibri" w:hAnsi="Calibri"/>
                <w:b w:val="false"/>
                <w:bCs w:val="false"/>
                <w:i w:val="false"/>
                <w:iCs w:val="false"/>
                <w:color w:val="333333"/>
                <w:sz w:val="17"/>
                <w:szCs w:val="17"/>
              </w:rPr>
              <w:t xml:space="preserve">2.3</w:t>
            </w:r>
          </w:p>
        </w:tc>
      </w:tr>
      <w:tr>
        <w:trPr>
          <w:cantSplit/>
        </w:trPr>
        <w:tc>
          <w:tcPr>
            <w:tcW w:type="dxa" w:w="700"/>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line="270"/>
              <w:jc w:val="center"/>
            </w:pPr>
            <w:r>
              <w:rPr>
                <w:rFonts w:ascii="Calibri" w:cs="Calibri" w:eastAsia="Calibri" w:hAnsi="Calibri"/>
                <w:b/>
                <w:bCs/>
                <w:i w:val="false"/>
                <w:iCs w:val="false"/>
                <w:color w:val="222222"/>
                <w:sz w:val="17"/>
                <w:szCs w:val="17"/>
              </w:rPr>
              <w:t xml:space="preserve">D5</w:t>
            </w:r>
          </w:p>
        </w:tc>
        <w:tc>
          <w:tcPr>
            <w:tcW w:type="dxa" w:w="5300"/>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line="270"/>
            </w:pPr>
            <w:r>
              <w:rPr>
                <w:rFonts w:ascii="Calibri" w:cs="Calibri" w:eastAsia="Calibri" w:hAnsi="Calibri"/>
                <w:b w:val="false"/>
                <w:bCs w:val="false"/>
                <w:i w:val="false"/>
                <w:iCs w:val="false"/>
                <w:color w:val="333333"/>
                <w:sz w:val="17"/>
                <w:szCs w:val="17"/>
              </w:rPr>
              <w:t xml:space="preserve">Vorstandsbeschluss zum Abschaltmandat (Datum, Beschluss-Nr.)</w:t>
            </w:r>
          </w:p>
        </w:tc>
        <w:tc>
          <w:tcPr>
            <w:tcW w:type="dxa" w:w="2500"/>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line="270"/>
            </w:pPr>
            <w:r>
              <w:rPr>
                <w:rFonts w:ascii="Calibri" w:cs="Calibri" w:eastAsia="Calibri" w:hAnsi="Calibri"/>
                <w:b w:val="false"/>
                <w:bCs w:val="false"/>
                <w:i w:val="false"/>
                <w:iCs w:val="false"/>
                <w:color w:val="333333"/>
                <w:sz w:val="17"/>
                <w:szCs w:val="17"/>
              </w:rPr>
              <w:t xml:space="preserve">Vorstand</w:t>
            </w:r>
          </w:p>
        </w:tc>
        <w:tc>
          <w:tcPr>
            <w:tcW w:type="dxa" w:w="1606"/>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line="270"/>
            </w:pPr>
            <w:r>
              <w:rPr>
                <w:rFonts w:ascii="Calibri" w:cs="Calibri" w:eastAsia="Calibri" w:hAnsi="Calibri"/>
                <w:b w:val="false"/>
                <w:bCs w:val="false"/>
                <w:i w:val="false"/>
                <w:iCs w:val="false"/>
                <w:color w:val="333333"/>
                <w:sz w:val="17"/>
                <w:szCs w:val="17"/>
              </w:rPr>
              <w:t xml:space="preserve">4.0, 10.0</w:t>
            </w:r>
          </w:p>
        </w:tc>
      </w:tr>
      <w:tr>
        <w:trPr>
          <w:cantSplit/>
        </w:trPr>
        <w:tc>
          <w:tcPr>
            <w:tcW w:type="dxa" w:w="700"/>
            <w:tcBorders>
              <w:top w:val="single" w:color="B7C3D6" w:sz="4"/>
              <w:left w:val="single" w:color="B7C3D6" w:sz="4"/>
              <w:bottom w:val="single" w:color="B7C3D6" w:sz="4"/>
              <w:right w:val="single" w:color="B7C3D6" w:sz="4"/>
            </w:tcBorders>
            <w:shd w:fill="F3F6FB" w:val="clear"/>
            <w:tcMar>
              <w:top w:type="dxa" w:w="40"/>
              <w:left w:type="dxa" w:w="90"/>
              <w:bottom w:type="dxa" w:w="40"/>
              <w:right w:type="dxa" w:w="90"/>
            </w:tcMar>
            <w:vAlign w:val="center"/>
          </w:tcPr>
          <w:p>
            <w:pPr>
              <w:spacing w:after="10" w:before="10" w:line="270"/>
              <w:jc w:val="center"/>
            </w:pPr>
            <w:r>
              <w:rPr>
                <w:rFonts w:ascii="Calibri" w:cs="Calibri" w:eastAsia="Calibri" w:hAnsi="Calibri"/>
                <w:b/>
                <w:bCs/>
                <w:i w:val="false"/>
                <w:iCs w:val="false"/>
                <w:color w:val="222222"/>
                <w:sz w:val="17"/>
                <w:szCs w:val="17"/>
              </w:rPr>
              <w:t xml:space="preserve">D6</w:t>
            </w:r>
          </w:p>
        </w:tc>
        <w:tc>
          <w:tcPr>
            <w:tcW w:type="dxa" w:w="5300"/>
            <w:tcBorders>
              <w:top w:val="single" w:color="B7C3D6" w:sz="4"/>
              <w:left w:val="single" w:color="B7C3D6" w:sz="4"/>
              <w:bottom w:val="single" w:color="B7C3D6" w:sz="4"/>
              <w:right w:val="single" w:color="B7C3D6" w:sz="4"/>
            </w:tcBorders>
            <w:shd w:fill="F3F6FB" w:val="clear"/>
            <w:tcMar>
              <w:top w:type="dxa" w:w="40"/>
              <w:left w:type="dxa" w:w="90"/>
              <w:bottom w:type="dxa" w:w="40"/>
              <w:right w:type="dxa" w:w="90"/>
            </w:tcMar>
            <w:vAlign w:val="center"/>
          </w:tcPr>
          <w:p>
            <w:pPr>
              <w:spacing w:after="10" w:before="10" w:line="270"/>
            </w:pPr>
            <w:r>
              <w:rPr>
                <w:rFonts w:ascii="Calibri" w:cs="Calibri" w:eastAsia="Calibri" w:hAnsi="Calibri"/>
                <w:b w:val="false"/>
                <w:bCs w:val="false"/>
                <w:i w:val="false"/>
                <w:iCs w:val="false"/>
                <w:color w:val="333333"/>
                <w:sz w:val="17"/>
                <w:szCs w:val="17"/>
              </w:rPr>
              <w:t xml:space="preserve">Geschäftsordnung AI Portfolio Board (Zusammensetzung, Beschlussfähigkeit, Stimmrechte, Sitzungsfrequenz)</w:t>
            </w:r>
          </w:p>
        </w:tc>
        <w:tc>
          <w:tcPr>
            <w:tcW w:type="dxa" w:w="2500"/>
            <w:tcBorders>
              <w:top w:val="single" w:color="B7C3D6" w:sz="4"/>
              <w:left w:val="single" w:color="B7C3D6" w:sz="4"/>
              <w:bottom w:val="single" w:color="B7C3D6" w:sz="4"/>
              <w:right w:val="single" w:color="B7C3D6" w:sz="4"/>
            </w:tcBorders>
            <w:shd w:fill="F3F6FB" w:val="clear"/>
            <w:tcMar>
              <w:top w:type="dxa" w:w="40"/>
              <w:left w:type="dxa" w:w="90"/>
              <w:bottom w:type="dxa" w:w="40"/>
              <w:right w:type="dxa" w:w="90"/>
            </w:tcMar>
            <w:vAlign w:val="center"/>
          </w:tcPr>
          <w:p>
            <w:pPr>
              <w:spacing w:after="10" w:before="10" w:line="270"/>
            </w:pPr>
            <w:r>
              <w:rPr>
                <w:rFonts w:ascii="Calibri" w:cs="Calibri" w:eastAsia="Calibri" w:hAnsi="Calibri"/>
                <w:b w:val="false"/>
                <w:bCs w:val="false"/>
                <w:i w:val="false"/>
                <w:iCs w:val="false"/>
                <w:color w:val="333333"/>
                <w:sz w:val="17"/>
                <w:szCs w:val="17"/>
              </w:rPr>
              <w:t xml:space="preserve">Vorstand / Board-Konstituierung</w:t>
            </w:r>
          </w:p>
        </w:tc>
        <w:tc>
          <w:tcPr>
            <w:tcW w:type="dxa" w:w="1606"/>
            <w:tcBorders>
              <w:top w:val="single" w:color="B7C3D6" w:sz="4"/>
              <w:left w:val="single" w:color="B7C3D6" w:sz="4"/>
              <w:bottom w:val="single" w:color="B7C3D6" w:sz="4"/>
              <w:right w:val="single" w:color="B7C3D6" w:sz="4"/>
            </w:tcBorders>
            <w:shd w:fill="F3F6FB" w:val="clear"/>
            <w:tcMar>
              <w:top w:type="dxa" w:w="40"/>
              <w:left w:type="dxa" w:w="90"/>
              <w:bottom w:type="dxa" w:w="40"/>
              <w:right w:type="dxa" w:w="90"/>
            </w:tcMar>
            <w:vAlign w:val="center"/>
          </w:tcPr>
          <w:p>
            <w:pPr>
              <w:spacing w:after="10" w:before="10" w:line="270"/>
            </w:pPr>
            <w:r>
              <w:rPr>
                <w:rFonts w:ascii="Calibri" w:cs="Calibri" w:eastAsia="Calibri" w:hAnsi="Calibri"/>
                <w:b w:val="false"/>
                <w:bCs w:val="false"/>
                <w:i w:val="false"/>
                <w:iCs w:val="false"/>
                <w:color w:val="333333"/>
                <w:sz w:val="17"/>
                <w:szCs w:val="17"/>
              </w:rPr>
              <w:t xml:space="preserve">4.0, 10.0</w:t>
            </w:r>
          </w:p>
        </w:tc>
      </w:tr>
      <w:tr>
        <w:trPr>
          <w:cantSplit/>
        </w:trPr>
        <w:tc>
          <w:tcPr>
            <w:tcW w:type="dxa" w:w="700"/>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line="270"/>
              <w:jc w:val="center"/>
            </w:pPr>
            <w:r>
              <w:rPr>
                <w:rFonts w:ascii="Calibri" w:cs="Calibri" w:eastAsia="Calibri" w:hAnsi="Calibri"/>
                <w:b/>
                <w:bCs/>
                <w:i w:val="false"/>
                <w:iCs w:val="false"/>
                <w:color w:val="222222"/>
                <w:sz w:val="17"/>
                <w:szCs w:val="17"/>
              </w:rPr>
              <w:t xml:space="preserve">D7</w:t>
            </w:r>
          </w:p>
        </w:tc>
        <w:tc>
          <w:tcPr>
            <w:tcW w:type="dxa" w:w="5300"/>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line="270"/>
            </w:pPr>
            <w:r>
              <w:rPr>
                <w:rFonts w:ascii="Calibri" w:cs="Calibri" w:eastAsia="Calibri" w:hAnsi="Calibri"/>
                <w:b w:val="false"/>
                <w:bCs w:val="false"/>
                <w:i w:val="false"/>
                <w:iCs w:val="false"/>
                <w:color w:val="333333"/>
                <w:sz w:val="17"/>
                <w:szCs w:val="17"/>
              </w:rPr>
              <w:t xml:space="preserve">Stimmberechtigtes Mitglied Controlling/CFO-Office</w:t>
            </w:r>
          </w:p>
        </w:tc>
        <w:tc>
          <w:tcPr>
            <w:tcW w:type="dxa" w:w="2500"/>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line="270"/>
            </w:pPr>
            <w:r>
              <w:rPr>
                <w:rFonts w:ascii="Calibri" w:cs="Calibri" w:eastAsia="Calibri" w:hAnsi="Calibri"/>
                <w:b w:val="false"/>
                <w:bCs w:val="false"/>
                <w:i w:val="false"/>
                <w:iCs w:val="false"/>
                <w:color w:val="333333"/>
                <w:sz w:val="17"/>
                <w:szCs w:val="17"/>
              </w:rPr>
              <w:t xml:space="preserve">CFO-Ressort</w:t>
            </w:r>
          </w:p>
        </w:tc>
        <w:tc>
          <w:tcPr>
            <w:tcW w:type="dxa" w:w="1606"/>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line="270"/>
            </w:pPr>
            <w:r>
              <w:rPr>
                <w:rFonts w:ascii="Calibri" w:cs="Calibri" w:eastAsia="Calibri" w:hAnsi="Calibri"/>
                <w:b w:val="false"/>
                <w:bCs w:val="false"/>
                <w:i w:val="false"/>
                <w:iCs w:val="false"/>
                <w:color w:val="333333"/>
                <w:sz w:val="17"/>
                <w:szCs w:val="17"/>
              </w:rPr>
              <w:t xml:space="preserve">4.0, 10.0</w:t>
            </w:r>
          </w:p>
        </w:tc>
      </w:tr>
      <w:tr>
        <w:trPr>
          <w:cantSplit/>
        </w:trPr>
        <w:tc>
          <w:tcPr>
            <w:tcW w:type="dxa" w:w="700"/>
            <w:tcBorders>
              <w:top w:val="single" w:color="B7C3D6" w:sz="4"/>
              <w:left w:val="single" w:color="B7C3D6" w:sz="4"/>
              <w:bottom w:val="single" w:color="B7C3D6" w:sz="4"/>
              <w:right w:val="single" w:color="B7C3D6" w:sz="4"/>
            </w:tcBorders>
            <w:shd w:fill="F3F6FB" w:val="clear"/>
            <w:tcMar>
              <w:top w:type="dxa" w:w="40"/>
              <w:left w:type="dxa" w:w="90"/>
              <w:bottom w:type="dxa" w:w="40"/>
              <w:right w:type="dxa" w:w="90"/>
            </w:tcMar>
            <w:vAlign w:val="center"/>
          </w:tcPr>
          <w:p>
            <w:pPr>
              <w:spacing w:after="10" w:before="10" w:line="270"/>
              <w:jc w:val="center"/>
            </w:pPr>
            <w:r>
              <w:rPr>
                <w:rFonts w:ascii="Calibri" w:cs="Calibri" w:eastAsia="Calibri" w:hAnsi="Calibri"/>
                <w:b/>
                <w:bCs/>
                <w:i w:val="false"/>
                <w:iCs w:val="false"/>
                <w:color w:val="222222"/>
                <w:sz w:val="17"/>
                <w:szCs w:val="17"/>
              </w:rPr>
              <w:t xml:space="preserve">D8</w:t>
            </w:r>
          </w:p>
        </w:tc>
        <w:tc>
          <w:tcPr>
            <w:tcW w:type="dxa" w:w="5300"/>
            <w:tcBorders>
              <w:top w:val="single" w:color="B7C3D6" w:sz="4"/>
              <w:left w:val="single" w:color="B7C3D6" w:sz="4"/>
              <w:bottom w:val="single" w:color="B7C3D6" w:sz="4"/>
              <w:right w:val="single" w:color="B7C3D6" w:sz="4"/>
            </w:tcBorders>
            <w:shd w:fill="F3F6FB" w:val="clear"/>
            <w:tcMar>
              <w:top w:type="dxa" w:w="40"/>
              <w:left w:type="dxa" w:w="90"/>
              <w:bottom w:type="dxa" w:w="40"/>
              <w:right w:type="dxa" w:w="90"/>
            </w:tcMar>
            <w:vAlign w:val="center"/>
          </w:tcPr>
          <w:p>
            <w:pPr>
              <w:spacing w:after="10" w:before="10" w:line="270"/>
            </w:pPr>
            <w:r>
              <w:rPr>
                <w:rFonts w:ascii="Calibri" w:cs="Calibri" w:eastAsia="Calibri" w:hAnsi="Calibri"/>
                <w:b w:val="false"/>
                <w:bCs w:val="false"/>
                <w:i w:val="false"/>
                <w:iCs w:val="false"/>
                <w:color w:val="333333"/>
                <w:sz w:val="17"/>
                <w:szCs w:val="17"/>
              </w:rPr>
              <w:t xml:space="preserve">Vollkostensätze je Funktionsgruppe</w:t>
            </w:r>
          </w:p>
        </w:tc>
        <w:tc>
          <w:tcPr>
            <w:tcW w:type="dxa" w:w="2500"/>
            <w:tcBorders>
              <w:top w:val="single" w:color="B7C3D6" w:sz="4"/>
              <w:left w:val="single" w:color="B7C3D6" w:sz="4"/>
              <w:bottom w:val="single" w:color="B7C3D6" w:sz="4"/>
              <w:right w:val="single" w:color="B7C3D6" w:sz="4"/>
            </w:tcBorders>
            <w:shd w:fill="F3F6FB" w:val="clear"/>
            <w:tcMar>
              <w:top w:type="dxa" w:w="40"/>
              <w:left w:type="dxa" w:w="90"/>
              <w:bottom w:type="dxa" w:w="40"/>
              <w:right w:type="dxa" w:w="90"/>
            </w:tcMar>
            <w:vAlign w:val="center"/>
          </w:tcPr>
          <w:p>
            <w:pPr>
              <w:spacing w:after="10" w:before="10" w:line="270"/>
            </w:pPr>
            <w:r>
              <w:rPr>
                <w:rFonts w:ascii="Calibri" w:cs="Calibri" w:eastAsia="Calibri" w:hAnsi="Calibri"/>
                <w:b w:val="false"/>
                <w:bCs w:val="false"/>
                <w:i w:val="false"/>
                <w:iCs w:val="false"/>
                <w:color w:val="333333"/>
                <w:sz w:val="17"/>
                <w:szCs w:val="17"/>
              </w:rPr>
              <w:t xml:space="preserve">Konzern-Controlling</w:t>
            </w:r>
          </w:p>
        </w:tc>
        <w:tc>
          <w:tcPr>
            <w:tcW w:type="dxa" w:w="1606"/>
            <w:tcBorders>
              <w:top w:val="single" w:color="B7C3D6" w:sz="4"/>
              <w:left w:val="single" w:color="B7C3D6" w:sz="4"/>
              <w:bottom w:val="single" w:color="B7C3D6" w:sz="4"/>
              <w:right w:val="single" w:color="B7C3D6" w:sz="4"/>
            </w:tcBorders>
            <w:shd w:fill="F3F6FB" w:val="clear"/>
            <w:tcMar>
              <w:top w:type="dxa" w:w="40"/>
              <w:left w:type="dxa" w:w="90"/>
              <w:bottom w:type="dxa" w:w="40"/>
              <w:right w:type="dxa" w:w="90"/>
            </w:tcMar>
            <w:vAlign w:val="center"/>
          </w:tcPr>
          <w:p>
            <w:pPr>
              <w:spacing w:after="10" w:before="10" w:line="270"/>
            </w:pPr>
            <w:r>
              <w:rPr>
                <w:rFonts w:ascii="Calibri" w:cs="Calibri" w:eastAsia="Calibri" w:hAnsi="Calibri"/>
                <w:b w:val="false"/>
                <w:bCs w:val="false"/>
                <w:i w:val="false"/>
                <w:iCs w:val="false"/>
                <w:color w:val="333333"/>
                <w:sz w:val="17"/>
                <w:szCs w:val="17"/>
              </w:rPr>
              <w:t xml:space="preserve">4.0, 5.4, 10.0</w:t>
            </w:r>
          </w:p>
        </w:tc>
      </w:tr>
      <w:tr>
        <w:trPr>
          <w:cantSplit/>
        </w:trPr>
        <w:tc>
          <w:tcPr>
            <w:tcW w:type="dxa" w:w="700"/>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line="270"/>
              <w:jc w:val="center"/>
            </w:pPr>
            <w:r>
              <w:rPr>
                <w:rFonts w:ascii="Calibri" w:cs="Calibri" w:eastAsia="Calibri" w:hAnsi="Calibri"/>
                <w:b/>
                <w:bCs/>
                <w:i w:val="false"/>
                <w:iCs w:val="false"/>
                <w:color w:val="222222"/>
                <w:sz w:val="17"/>
                <w:szCs w:val="17"/>
              </w:rPr>
              <w:t xml:space="preserve">D9</w:t>
            </w:r>
          </w:p>
        </w:tc>
        <w:tc>
          <w:tcPr>
            <w:tcW w:type="dxa" w:w="5300"/>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line="270"/>
            </w:pPr>
            <w:r>
              <w:rPr>
                <w:rFonts w:ascii="Calibri" w:cs="Calibri" w:eastAsia="Calibri" w:hAnsi="Calibri"/>
                <w:b w:val="false"/>
                <w:bCs w:val="false"/>
                <w:i w:val="false"/>
                <w:iCs w:val="false"/>
                <w:color w:val="333333"/>
                <w:sz w:val="17"/>
                <w:szCs w:val="17"/>
              </w:rPr>
              <w:t xml:space="preserve">Technischer Owner zentraler Telemetrie-Store &amp; ROI-Dashboard</w:t>
            </w:r>
          </w:p>
        </w:tc>
        <w:tc>
          <w:tcPr>
            <w:tcW w:type="dxa" w:w="2500"/>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line="270"/>
            </w:pPr>
            <w:r>
              <w:rPr>
                <w:rFonts w:ascii="Calibri" w:cs="Calibri" w:eastAsia="Calibri" w:hAnsi="Calibri"/>
                <w:b w:val="false"/>
                <w:bCs w:val="false"/>
                <w:i w:val="false"/>
                <w:iCs w:val="false"/>
                <w:color w:val="333333"/>
                <w:sz w:val="17"/>
                <w:szCs w:val="17"/>
              </w:rPr>
              <w:t xml:space="preserve">Bereichsleitung Data &amp; AI</w:t>
            </w:r>
          </w:p>
        </w:tc>
        <w:tc>
          <w:tcPr>
            <w:tcW w:type="dxa" w:w="1606"/>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line="270"/>
            </w:pPr>
            <w:r>
              <w:rPr>
                <w:rFonts w:ascii="Calibri" w:cs="Calibri" w:eastAsia="Calibri" w:hAnsi="Calibri"/>
                <w:b w:val="false"/>
                <w:bCs w:val="false"/>
                <w:i w:val="false"/>
                <w:iCs w:val="false"/>
                <w:color w:val="333333"/>
                <w:sz w:val="17"/>
                <w:szCs w:val="17"/>
              </w:rPr>
              <w:t xml:space="preserve">4.0, 10.0</w:t>
            </w:r>
          </w:p>
        </w:tc>
      </w:tr>
      <w:tr>
        <w:trPr>
          <w:cantSplit/>
        </w:trPr>
        <w:tc>
          <w:tcPr>
            <w:tcW w:type="dxa" w:w="700"/>
            <w:tcBorders>
              <w:top w:val="single" w:color="B7C3D6" w:sz="4"/>
              <w:left w:val="single" w:color="B7C3D6" w:sz="4"/>
              <w:bottom w:val="single" w:color="B7C3D6" w:sz="4"/>
              <w:right w:val="single" w:color="B7C3D6" w:sz="4"/>
            </w:tcBorders>
            <w:shd w:fill="F3F6FB" w:val="clear"/>
            <w:tcMar>
              <w:top w:type="dxa" w:w="40"/>
              <w:left w:type="dxa" w:w="90"/>
              <w:bottom w:type="dxa" w:w="40"/>
              <w:right w:type="dxa" w:w="90"/>
            </w:tcMar>
            <w:vAlign w:val="center"/>
          </w:tcPr>
          <w:p>
            <w:pPr>
              <w:spacing w:after="10" w:before="10" w:line="270"/>
              <w:jc w:val="center"/>
            </w:pPr>
            <w:r>
              <w:rPr>
                <w:rFonts w:ascii="Calibri" w:cs="Calibri" w:eastAsia="Calibri" w:hAnsi="Calibri"/>
                <w:b/>
                <w:bCs/>
                <w:i w:val="false"/>
                <w:iCs w:val="false"/>
                <w:color w:val="222222"/>
                <w:sz w:val="17"/>
                <w:szCs w:val="17"/>
              </w:rPr>
              <w:t xml:space="preserve">D10</w:t>
            </w:r>
          </w:p>
        </w:tc>
        <w:tc>
          <w:tcPr>
            <w:tcW w:type="dxa" w:w="5300"/>
            <w:tcBorders>
              <w:top w:val="single" w:color="B7C3D6" w:sz="4"/>
              <w:left w:val="single" w:color="B7C3D6" w:sz="4"/>
              <w:bottom w:val="single" w:color="B7C3D6" w:sz="4"/>
              <w:right w:val="single" w:color="B7C3D6" w:sz="4"/>
            </w:tcBorders>
            <w:shd w:fill="F3F6FB" w:val="clear"/>
            <w:tcMar>
              <w:top w:type="dxa" w:w="40"/>
              <w:left w:type="dxa" w:w="90"/>
              <w:bottom w:type="dxa" w:w="40"/>
              <w:right w:type="dxa" w:w="90"/>
            </w:tcMar>
            <w:vAlign w:val="center"/>
          </w:tcPr>
          <w:p>
            <w:pPr>
              <w:spacing w:after="10" w:before="10" w:line="270"/>
            </w:pPr>
            <w:r>
              <w:rPr>
                <w:rFonts w:ascii="Calibri" w:cs="Calibri" w:eastAsia="Calibri" w:hAnsi="Calibri"/>
                <w:b w:val="false"/>
                <w:bCs w:val="false"/>
                <w:i w:val="false"/>
                <w:iCs w:val="false"/>
                <w:color w:val="333333"/>
                <w:sz w:val="17"/>
                <w:szCs w:val="17"/>
              </w:rPr>
              <w:t xml:space="preserve">Verantwortliche Stelle für die Salt-Verwahrung</w:t>
            </w:r>
          </w:p>
        </w:tc>
        <w:tc>
          <w:tcPr>
            <w:tcW w:type="dxa" w:w="2500"/>
            <w:tcBorders>
              <w:top w:val="single" w:color="B7C3D6" w:sz="4"/>
              <w:left w:val="single" w:color="B7C3D6" w:sz="4"/>
              <w:bottom w:val="single" w:color="B7C3D6" w:sz="4"/>
              <w:right w:val="single" w:color="B7C3D6" w:sz="4"/>
            </w:tcBorders>
            <w:shd w:fill="F3F6FB" w:val="clear"/>
            <w:tcMar>
              <w:top w:type="dxa" w:w="40"/>
              <w:left w:type="dxa" w:w="90"/>
              <w:bottom w:type="dxa" w:w="40"/>
              <w:right w:type="dxa" w:w="90"/>
            </w:tcMar>
            <w:vAlign w:val="center"/>
          </w:tcPr>
          <w:p>
            <w:pPr>
              <w:spacing w:after="10" w:before="10" w:line="270"/>
            </w:pPr>
            <w:r>
              <w:rPr>
                <w:rFonts w:ascii="Calibri" w:cs="Calibri" w:eastAsia="Calibri" w:hAnsi="Calibri"/>
                <w:b w:val="false"/>
                <w:bCs w:val="false"/>
                <w:i w:val="false"/>
                <w:iCs w:val="false"/>
                <w:color w:val="333333"/>
                <w:sz w:val="17"/>
                <w:szCs w:val="17"/>
              </w:rPr>
              <w:t xml:space="preserve">IT-Leitung</w:t>
            </w:r>
          </w:p>
        </w:tc>
        <w:tc>
          <w:tcPr>
            <w:tcW w:type="dxa" w:w="1606"/>
            <w:tcBorders>
              <w:top w:val="single" w:color="B7C3D6" w:sz="4"/>
              <w:left w:val="single" w:color="B7C3D6" w:sz="4"/>
              <w:bottom w:val="single" w:color="B7C3D6" w:sz="4"/>
              <w:right w:val="single" w:color="B7C3D6" w:sz="4"/>
            </w:tcBorders>
            <w:shd w:fill="F3F6FB" w:val="clear"/>
            <w:tcMar>
              <w:top w:type="dxa" w:w="40"/>
              <w:left w:type="dxa" w:w="90"/>
              <w:bottom w:type="dxa" w:w="40"/>
              <w:right w:type="dxa" w:w="90"/>
            </w:tcMar>
            <w:vAlign w:val="center"/>
          </w:tcPr>
          <w:p>
            <w:pPr>
              <w:spacing w:after="10" w:before="10" w:line="270"/>
            </w:pPr>
            <w:r>
              <w:rPr>
                <w:rFonts w:ascii="Calibri" w:cs="Calibri" w:eastAsia="Calibri" w:hAnsi="Calibri"/>
                <w:b w:val="false"/>
                <w:bCs w:val="false"/>
                <w:i w:val="false"/>
                <w:iCs w:val="false"/>
                <w:color w:val="333333"/>
                <w:sz w:val="17"/>
                <w:szCs w:val="17"/>
              </w:rPr>
              <w:t xml:space="preserve">4.0</w:t>
            </w:r>
          </w:p>
        </w:tc>
      </w:tr>
      <w:tr>
        <w:trPr>
          <w:cantSplit/>
        </w:trPr>
        <w:tc>
          <w:tcPr>
            <w:tcW w:type="dxa" w:w="700"/>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line="270"/>
              <w:jc w:val="center"/>
            </w:pPr>
            <w:r>
              <w:rPr>
                <w:rFonts w:ascii="Calibri" w:cs="Calibri" w:eastAsia="Calibri" w:hAnsi="Calibri"/>
                <w:b/>
                <w:bCs/>
                <w:i w:val="false"/>
                <w:iCs w:val="false"/>
                <w:color w:val="222222"/>
                <w:sz w:val="17"/>
                <w:szCs w:val="17"/>
              </w:rPr>
              <w:t xml:space="preserve">D11</w:t>
            </w:r>
          </w:p>
        </w:tc>
        <w:tc>
          <w:tcPr>
            <w:tcW w:type="dxa" w:w="5300"/>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line="270"/>
            </w:pPr>
            <w:r>
              <w:rPr>
                <w:rFonts w:ascii="Calibri" w:cs="Calibri" w:eastAsia="Calibri" w:hAnsi="Calibri"/>
                <w:b w:val="false"/>
                <w:bCs w:val="false"/>
                <w:i w:val="false"/>
                <w:iCs w:val="false"/>
                <w:color w:val="333333"/>
                <w:sz w:val="17"/>
                <w:szCs w:val="17"/>
              </w:rPr>
              <w:t xml:space="preserve">Budgetträger und Budgetrahmen für Registry-Extraktionen (Plattformbudget)</w:t>
            </w:r>
          </w:p>
        </w:tc>
        <w:tc>
          <w:tcPr>
            <w:tcW w:type="dxa" w:w="2500"/>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line="270"/>
            </w:pPr>
            <w:r>
              <w:rPr>
                <w:rFonts w:ascii="Calibri" w:cs="Calibri" w:eastAsia="Calibri" w:hAnsi="Calibri"/>
                <w:b w:val="false"/>
                <w:bCs w:val="false"/>
                <w:i w:val="false"/>
                <w:iCs w:val="false"/>
                <w:color w:val="333333"/>
                <w:sz w:val="17"/>
                <w:szCs w:val="17"/>
              </w:rPr>
              <w:t xml:space="preserve">Geschäftsleitung</w:t>
            </w:r>
          </w:p>
        </w:tc>
        <w:tc>
          <w:tcPr>
            <w:tcW w:type="dxa" w:w="1606"/>
            <w:tcBorders>
              <w:top w:val="single" w:color="B7C3D6" w:sz="4"/>
              <w:left w:val="single" w:color="B7C3D6" w:sz="4"/>
              <w:bottom w:val="single" w:color="B7C3D6" w:sz="4"/>
              <w:right w:val="single" w:color="B7C3D6" w:sz="4"/>
            </w:tcBorders>
            <w:tcMar>
              <w:top w:type="dxa" w:w="40"/>
              <w:left w:type="dxa" w:w="90"/>
              <w:bottom w:type="dxa" w:w="40"/>
              <w:right w:type="dxa" w:w="90"/>
            </w:tcMar>
            <w:vAlign w:val="center"/>
          </w:tcPr>
          <w:p>
            <w:pPr>
              <w:spacing w:after="10" w:before="10" w:line="270"/>
            </w:pPr>
            <w:r>
              <w:rPr>
                <w:rFonts w:ascii="Calibri" w:cs="Calibri" w:eastAsia="Calibri" w:hAnsi="Calibri"/>
                <w:b w:val="false"/>
                <w:bCs w:val="false"/>
                <w:i w:val="false"/>
                <w:iCs w:val="false"/>
                <w:color w:val="333333"/>
                <w:sz w:val="17"/>
                <w:szCs w:val="17"/>
              </w:rPr>
              <w:t xml:space="preserve">5.4, 10.0</w:t>
            </w:r>
          </w:p>
        </w:tc>
      </w:tr>
      <w:tr>
        <w:trPr>
          <w:cantSplit/>
        </w:trPr>
        <w:tc>
          <w:tcPr>
            <w:tcW w:type="dxa" w:w="700"/>
            <w:tcBorders>
              <w:top w:val="single" w:color="B7C3D6" w:sz="4"/>
              <w:left w:val="single" w:color="B7C3D6" w:sz="4"/>
              <w:bottom w:val="single" w:color="B7C3D6" w:sz="4"/>
              <w:right w:val="single" w:color="B7C3D6" w:sz="4"/>
            </w:tcBorders>
            <w:shd w:fill="F3F6FB" w:val="clear"/>
            <w:tcMar>
              <w:top w:type="dxa" w:w="40"/>
              <w:left w:type="dxa" w:w="90"/>
              <w:bottom w:type="dxa" w:w="40"/>
              <w:right w:type="dxa" w:w="90"/>
            </w:tcMar>
            <w:vAlign w:val="center"/>
          </w:tcPr>
          <w:p>
            <w:pPr>
              <w:spacing w:after="10" w:before="10" w:line="270"/>
              <w:jc w:val="center"/>
            </w:pPr>
            <w:r>
              <w:rPr>
                <w:rFonts w:ascii="Calibri" w:cs="Calibri" w:eastAsia="Calibri" w:hAnsi="Calibri"/>
                <w:b/>
                <w:bCs/>
                <w:i w:val="false"/>
                <w:iCs w:val="false"/>
                <w:color w:val="222222"/>
                <w:sz w:val="17"/>
                <w:szCs w:val="17"/>
              </w:rPr>
              <w:t xml:space="preserve">D12</w:t>
            </w:r>
          </w:p>
        </w:tc>
        <w:tc>
          <w:tcPr>
            <w:tcW w:type="dxa" w:w="5300"/>
            <w:tcBorders>
              <w:top w:val="single" w:color="B7C3D6" w:sz="4"/>
              <w:left w:val="single" w:color="B7C3D6" w:sz="4"/>
              <w:bottom w:val="single" w:color="B7C3D6" w:sz="4"/>
              <w:right w:val="single" w:color="B7C3D6" w:sz="4"/>
            </w:tcBorders>
            <w:shd w:fill="F3F6FB" w:val="clear"/>
            <w:tcMar>
              <w:top w:type="dxa" w:w="40"/>
              <w:left w:type="dxa" w:w="90"/>
              <w:bottom w:type="dxa" w:w="40"/>
              <w:right w:type="dxa" w:w="90"/>
            </w:tcMar>
            <w:vAlign w:val="center"/>
          </w:tcPr>
          <w:p>
            <w:pPr>
              <w:spacing w:after="10" w:before="10" w:line="270"/>
            </w:pPr>
            <w:r>
              <w:rPr>
                <w:rFonts w:ascii="Calibri" w:cs="Calibri" w:eastAsia="Calibri" w:hAnsi="Calibri"/>
                <w:b w:val="false"/>
                <w:bCs w:val="false"/>
                <w:i w:val="false"/>
                <w:iCs w:val="false"/>
                <w:color w:val="333333"/>
                <w:sz w:val="17"/>
                <w:szCs w:val="17"/>
              </w:rPr>
              <w:t xml:space="preserve">Abnahmeinstanz des Decommissioning-Nachweises</w:t>
            </w:r>
          </w:p>
        </w:tc>
        <w:tc>
          <w:tcPr>
            <w:tcW w:type="dxa" w:w="2500"/>
            <w:tcBorders>
              <w:top w:val="single" w:color="B7C3D6" w:sz="4"/>
              <w:left w:val="single" w:color="B7C3D6" w:sz="4"/>
              <w:bottom w:val="single" w:color="B7C3D6" w:sz="4"/>
              <w:right w:val="single" w:color="B7C3D6" w:sz="4"/>
            </w:tcBorders>
            <w:shd w:fill="F3F6FB" w:val="clear"/>
            <w:tcMar>
              <w:top w:type="dxa" w:w="40"/>
              <w:left w:type="dxa" w:w="90"/>
              <w:bottom w:type="dxa" w:w="40"/>
              <w:right w:type="dxa" w:w="90"/>
            </w:tcMar>
            <w:vAlign w:val="center"/>
          </w:tcPr>
          <w:p>
            <w:pPr>
              <w:spacing w:after="10" w:before="10" w:line="270"/>
            </w:pPr>
            <w:r>
              <w:rPr>
                <w:rFonts w:ascii="Calibri" w:cs="Calibri" w:eastAsia="Calibri" w:hAnsi="Calibri"/>
                <w:b w:val="false"/>
                <w:bCs w:val="false"/>
                <w:i w:val="false"/>
                <w:iCs w:val="false"/>
                <w:color w:val="333333"/>
                <w:sz w:val="17"/>
                <w:szCs w:val="17"/>
              </w:rPr>
              <w:t xml:space="preserve">Richtlinieneigner</w:t>
            </w:r>
          </w:p>
        </w:tc>
        <w:tc>
          <w:tcPr>
            <w:tcW w:type="dxa" w:w="1606"/>
            <w:tcBorders>
              <w:top w:val="single" w:color="B7C3D6" w:sz="4"/>
              <w:left w:val="single" w:color="B7C3D6" w:sz="4"/>
              <w:bottom w:val="single" w:color="B7C3D6" w:sz="4"/>
              <w:right w:val="single" w:color="B7C3D6" w:sz="4"/>
            </w:tcBorders>
            <w:shd w:fill="F3F6FB" w:val="clear"/>
            <w:tcMar>
              <w:top w:type="dxa" w:w="40"/>
              <w:left w:type="dxa" w:w="90"/>
              <w:bottom w:type="dxa" w:w="40"/>
              <w:right w:type="dxa" w:w="90"/>
            </w:tcMar>
            <w:vAlign w:val="center"/>
          </w:tcPr>
          <w:p>
            <w:pPr>
              <w:spacing w:after="10" w:before="10" w:line="270"/>
            </w:pPr>
            <w:r>
              <w:rPr>
                <w:rFonts w:ascii="Calibri" w:cs="Calibri" w:eastAsia="Calibri" w:hAnsi="Calibri"/>
                <w:b w:val="false"/>
                <w:bCs w:val="false"/>
                <w:i w:val="false"/>
                <w:iCs w:val="false"/>
                <w:color w:val="333333"/>
                <w:sz w:val="17"/>
                <w:szCs w:val="17"/>
              </w:rPr>
              <w:t xml:space="preserve">5.5, 6.0</w:t>
            </w:r>
          </w:p>
        </w:tc>
      </w:tr>
    </w:tbl>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9c53698ad600336ae0d0dfaf31b7b77c77096f2.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2026-07-12T18:42:29.307Z</dcterms:created>
  <dcterms:modified xsi:type="dcterms:W3CDTF">2026-07-12T18:42:29.320Z</dcterms:modified>
</cp:coreProperties>
</file>

<file path=docProps/custom.xml><?xml version="1.0" encoding="utf-8"?>
<Properties xmlns="http://schemas.openxmlformats.org/officeDocument/2006/custom-properties" xmlns:vt="http://schemas.openxmlformats.org/officeDocument/2006/docPropsVTypes"/>
</file>