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3000"/>
      </w:tblGrid>
      <w:tr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ADOPTION-STANDARD &amp; PLAYBOOK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D6EC"/>
                <w:sz w:val="17"/>
                <w:szCs w:val="17"/>
              </w:rPr>
              <w:t xml:space="preserve">Adoption-Rampe, Diagnose &amp; Pflichtmaßnahmen · E2E AI Lifecycle Process · Phase 2–4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D6EC"/>
                <w:sz w:val="16"/>
                <w:szCs w:val="16"/>
              </w:rPr>
              <w:t xml:space="preserve">VERANTWORTLICH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AI Solution Owner</w:t>
            </w:r>
          </w:p>
        </w:tc>
      </w:tr>
    </w:tbl>
    <w:p>
      <w:pPr>
        <w:spacing w:after="80" w:before="0"/>
      </w:pPr>
    </w:p>
    <w:p>
      <w:pPr>
        <w:spacing w:after="4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Grundsatz: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Adoption ist Bringschuld des AI Solution Owners mit Ablaufdatum, kein Kulturmysterium. Während der Rampe (Q1–Q3 nach Go-Live) sind Adoption-Maßnahmen Pflicht und ROI-Nachsicht gilt; ab Q4 zählt ausschließlich das Ergebnis. Alle Adoption-Kennzahlen stammen aus dem Minimal-Telemetrie-Standard (E1, E2, E4); alle Schwellen sind mit dem Value One-Pager und dem Kill-Trigger verzahnt.</w:t>
      </w:r>
    </w:p>
    <w:p>
      <w:pPr>
        <w:spacing w:after="6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  Die Adoption-Rampe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verbindlicher Zielpfad ab Go-Live – Basis der Ampel in Abschnitt 1 des One-Pagers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5106"/>
      </w:tblGrid>
      <w:tr>
        <w:trPr>
          <w:tblHeader/>
        </w:trP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Zeitraum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Erwartung</w:t>
            </w:r>
          </w:p>
        </w:tc>
        <w:tc>
          <w:tcPr>
            <w:tcW w:type="dxa" w:w="5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Konsequenz bei Verfehlung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Quartal 1–2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Adoption-Quote ≥ 30 % des Zielwerts, steigender Trend; keine ROI-Pflicht</w:t>
            </w:r>
          </w:p>
        </w:tc>
        <w:tc>
          <w:tcPr>
            <w:tcW w:type="dxa" w:w="5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Gelb: AI Solution Owner legt Maßnahmenplan lt. Playbook (Abschnitt 4) vor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Quartal 3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Adoption-Quote ≥ 60 % des Zielwerts; ROI-Quote ≥ 0,5</w:t>
            </w:r>
          </w:p>
        </w:tc>
        <w:tc>
          <w:tcPr>
            <w:tcW w:type="dxa" w:w="5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Gelb: Pflicht-Review mit CoE AI, Diagnose lt. Abschnitt 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ab Quartal 4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Adoption-Quote = Zielwert lt. Business Case; ROI-Quote ≥ 1,0</w:t>
            </w:r>
          </w:p>
        </w:tc>
        <w:tc>
          <w:tcPr>
            <w:tcW w:type="dxa" w:w="5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Rot: zählt für den Kill-Trigger (zwei rote Quartale in Folge → Kill-Antrag)</w:t>
            </w:r>
          </w:p>
        </w:tc>
      </w:tr>
    </w:tbl>
    <w:p>
      <w:pPr>
        <w:spacing w:after="40" w:before="0"/>
      </w:pPr>
    </w:p>
    <w:p>
      <w:pPr>
        <w:spacing w:after="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7"/>
          <w:szCs w:val="17"/>
        </w:rPr>
        <w:t xml:space="preserve">Zielwert-Definition: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Adoption-Quote = Ø WAU im Quartal ÷ berechtigte Nutzer. Berechtigte Nutzer sind alle Personen mit der Prozessrolle, für die die Lösung gebaut wurde – nicht die zugewiesenen Lizenzen. Der Wert wird im Business Case festgelegt und eingefroren.</w:t>
      </w:r>
    </w:p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  Diagnose-Matrix: Adoption- oder Produkt-Problem?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WAU × Annahmequote – zwei Ursachen, zwei Verantwortliche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3"/>
        <w:gridCol w:w="4103"/>
      </w:tblGrid>
      <w:tr>
        <w:trPr>
          <w:tblHeader/>
        </w:trP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1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Annahmequote hoch (≥ 70 %)</w:t>
            </w:r>
          </w:p>
        </w:tc>
        <w:tc>
          <w:tcPr>
            <w:tcW w:type="dxa" w:w="41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Annahmequote niedrig (&lt; 50 %)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WAU hoch</w:t>
            </w:r>
          </w:p>
        </w:tc>
        <w:tc>
          <w:tcPr>
            <w:tcW w:type="dxa" w:w="41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7D44"/>
                <w:sz w:val="18"/>
                <w:szCs w:val="18"/>
              </w:rPr>
              <w:t xml:space="preserve">Gesund. Nächster Schritt: Scaling-Prüfung lt. Registry- &amp; Scaling-Standard.</w:t>
            </w:r>
          </w:p>
        </w:tc>
        <w:tc>
          <w:tcPr>
            <w:tcW w:type="dxa" w:w="41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Produkt-Problem: Nutzer müssen, aber der Output taugt nicht. → Schwelle S4: Qualitäts-/Drift-Analyse. Verantwortlich: Product Owner.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WAU niedrig</w:t>
            </w:r>
          </w:p>
        </w:tc>
        <w:tc>
          <w:tcPr>
            <w:tcW w:type="dxa" w:w="41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Adoption-Problem: Wer die Lösung nutzt, profitiert – sie erreicht nur zu wenige. → Playbook-Maßnahmen (Abschnitt 4). Verantwortlich: AI Solution Owner.</w:t>
            </w:r>
          </w:p>
        </w:tc>
        <w:tc>
          <w:tcPr>
            <w:tcW w:type="dxa" w:w="4103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33232"/>
                <w:sz w:val="18"/>
                <w:szCs w:val="18"/>
              </w:rPr>
              <w:t xml:space="preserve">Fundamentalproblem: Kill-Kandidat. Remediation nur mit belastbarer Ursachenhypothese – „mehr Schulung“ ist keine.</w:t>
            </w:r>
          </w:p>
        </w:tc>
      </w:tr>
    </w:tbl>
    <w:p>
      <w:pPr>
        <w:spacing w:after="40" w:before="0"/>
      </w:pPr>
    </w:p>
    <w:p>
      <w:pPr>
        <w:spacing w:after="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7"/>
          <w:szCs w:val="17"/>
        </w:rPr>
        <w:t xml:space="preserve">Dritte Dimension – Nutzungstiefe: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Vorgänge pro aktivem Nutzer und Woche. Viele Sitzungen (E1) bei wenigen Vorgängen (E2) = Login-Tourismus, typisch nach Schulungswellen – zählt nicht als Adoption. Die Ampel in Abschnitt 1 des One-Pagers bewertet immer WAU, Nutzungstiefe und Annahmequote gemeinsam.</w:t>
      </w:r>
    </w:p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  Anti-Gaming-Regeln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die Adoption-Quote hat einen manipulierbaren Nenner – diese Regeln schützen ihn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6"/>
      </w:tblGrid>
      <w:tr>
        <w:trPr>
          <w:tblHeader/>
        </w:trP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Regel</w:t>
            </w:r>
          </w:p>
        </w:tc>
        <w:tc>
          <w:tcPr>
            <w:tcW w:type="dxa" w:w="7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Verbindliche Ausgestaltung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 · Nenner eingefroren</w:t>
            </w:r>
          </w:p>
        </w:tc>
        <w:tc>
          <w:tcPr>
            <w:tcW w:type="dxa" w:w="7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Die Menge der berechtigten Nutzer wird im Business Case definiert und darf nur per Beschluss des AI Portfolio Boards geändert werden. Ein schrumpfender Nutzerkreis zur Quotenrettung ist damit ausgeschlossen.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 · Gleitender Durchschnitt</w:t>
            </w:r>
          </w:p>
        </w:tc>
        <w:tc>
          <w:tcPr>
            <w:tcW w:type="dxa" w:w="7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Alle Adoption-Kennzahlen sind Quartalsdurchschnitte, keine Stichtagswerte. Schulungs-Spikes in der letzten Woche vor dem Value Review wirken nicht.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 · Keine Nutzungs-Incentives</w:t>
            </w:r>
          </w:p>
        </w:tc>
        <w:tc>
          <w:tcPr>
            <w:tcW w:type="dxa" w:w="7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Nutzung per se wird weder belohnt noch in Zielvereinbarungen geschrieben (erzeugt Vorgangs-Inflation ohne Wert). Systemischer Schutz: V1-Wert entsteht nur multipliziert mit der Annahmequote – sinnlose Vorgänge drücken sie.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4 · Datenschutz-Grenze</w:t>
            </w:r>
          </w:p>
        </w:tc>
        <w:tc>
          <w:tcPr>
            <w:tcW w:type="dxa" w:w="73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Telemetrie darf nie zur individuellen Ansprache von Nicht-Nutzern verwendet werden (Zweckbindung lt. Telemetrie-Standard, Abschnitt 2). Adoption-Maßnahmen arbeiten ausschließlich auf Team-/Bereichsebene (k ≥ 5). Verletzung gefährdet die Rahmenvereinbarung mit dem IT-Ausschuss und damit das gesamte Messsystem.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  Playbook: Pflichtmaßnahmen je Phase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Erfüllung wird im Value Review abgefragt – kein Maßnahmen-Buffet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906"/>
      </w:tblGrid>
      <w:tr>
        <w:trPr>
          <w:tblHeader/>
        </w:trP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Phase</w:t>
            </w:r>
          </w:p>
        </w:tc>
        <w:tc>
          <w:tcPr>
            <w:tcW w:type="dxa" w:w="7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Pflichtmaßnahmen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Vor Go-Live (Phase 2)</w:t>
            </w:r>
          </w:p>
        </w:tc>
        <w:tc>
          <w:tcPr>
            <w:tcW w:type="dxa" w:w="7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Prozessverankerung: Der KI-Schritt wird Teil des dokumentierten Standardprozesses, nicht ein freiwilliges Parallelangebot – der wirksamste einzelne Adoption-Hebel. · Champions benannt: ca. 1 je 20 berechtigte Nutzer, aus dem Fachbereich. · Erwartungsmanagement: Kommunikation benennt Können und Grenzen der Lösung; überzogene Ankündigungen erzeugen die Enttäuschung, die später als „Akzeptanzproblem“ fehldiagnostiziert wird.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Quartal 1</w:t>
            </w:r>
          </w:p>
        </w:tc>
        <w:tc>
          <w:tcPr>
            <w:tcW w:type="dxa" w:w="7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Onboarding in Wellen statt Big Bang. · Wöchentliche Champions-Feedbackschleife mit dokumentiertem Friction-Log (wo bricht der Arbeitsfluss?). · Quick Wins intern sichtbar machen: konkrete Vorgänge mit echter Zeitersparnis, keine Marketingprosa.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Quartal 2–3</w:t>
            </w:r>
          </w:p>
        </w:tc>
        <w:tc>
          <w:tcPr>
            <w:tcW w:type="dxa" w:w="7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Friction-Log-Punkte fließen als priorisierte Changes ans Run-Team (Wartungskosten erscheinen im TCO – Adoption-Investment muss sich gegen den Wert rechnen). · Team-Ebenen-Analyse: Bereiche mit niedriger Nutzung erhalten Prozess-Reviews, keine Einzelgespräche (Regel 4, Abschnitt 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Bei Schwelle S3 (WAU-Rückgang &gt; 30 %)</w:t>
            </w:r>
          </w:p>
        </w:tc>
        <w:tc>
          <w:tcPr>
            <w:tcW w:type="dxa" w:w="7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Strukturiertes Adoption-Review entlang der fünf Ursachenkategorien in Abschnitt 5. Ergebnis: Maßnahmenplan mit genau einer Hauptursachen-Hypothese vor dem nächsten Value Review – „wir machen von allem mehr“ ist kein Plan.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  Adoption-Review: die fünf Ursachenkategorien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Pflichtstruktur der Analyse bei S3 und in jedem Remediation-Plan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3106"/>
      </w:tblGrid>
      <w:tr>
        <w:trPr>
          <w:tblHeader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Kategorie</w:t>
            </w:r>
          </w:p>
        </w:tc>
        <w:tc>
          <w:tcPr>
            <w:tcW w:type="dxa" w:w="4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Leitfrage</w:t>
            </w:r>
          </w:p>
        </w:tc>
        <w:tc>
          <w:tcPr>
            <w:tcW w:type="dxa" w:w="3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Typische Maßnahme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 Awareness</w:t>
            </w:r>
          </w:p>
        </w:tc>
        <w:tc>
          <w:tcPr>
            <w:tcW w:type="dxa" w:w="4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Kennen die berechtigten Nutzer die Lösung und ihren Einsatzort im Prozess?</w:t>
            </w:r>
          </w:p>
        </w:tc>
        <w:tc>
          <w:tcPr>
            <w:tcW w:type="dxa" w:w="3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gezielte Kommunikation über Führungskräfte und Champions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 Können</w:t>
            </w:r>
          </w:p>
        </w:tc>
        <w:tc>
          <w:tcPr>
            <w:tcW w:type="dxa" w:w="4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Beherrschen sie die Bedienung im eigenen Arbeitskontext?</w:t>
            </w:r>
          </w:p>
        </w:tc>
        <w:tc>
          <w:tcPr>
            <w:tcW w:type="dxa" w:w="3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anwendungsfallbezogenes Training statt Feature-Schulung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 Wollen</w:t>
            </w:r>
          </w:p>
        </w:tc>
        <w:tc>
          <w:tcPr>
            <w:tcW w:type="dxa" w:w="4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Vertrauen sie den Ergebnissen? Bestehen Rationalisierungsängste?</w:t>
            </w:r>
          </w:p>
        </w:tc>
        <w:tc>
          <w:tcPr>
            <w:tcW w:type="dxa" w:w="3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Transparenz über Zweckbindung (keine Leistungskontrolle), Erfolgsbeispiele aus dem eigenen Team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4 Prozesspassung</w:t>
            </w:r>
          </w:p>
        </w:tc>
        <w:tc>
          <w:tcPr>
            <w:tcW w:type="dxa" w:w="4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Liegt die Lösung im Arbeitsfluss oder erfordert sie Systemwechsel und Doppelerfassung?</w:t>
            </w:r>
          </w:p>
        </w:tc>
        <w:tc>
          <w:tcPr>
            <w:tcW w:type="dxa" w:w="3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Integration in führendes System (Friction-Log → Change)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5 Produktqualität</w:t>
            </w:r>
          </w:p>
        </w:tc>
        <w:tc>
          <w:tcPr>
            <w:tcW w:type="dxa" w:w="4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Ist der Output gut genug? (Annahmequote prüfen)</w:t>
            </w:r>
          </w:p>
        </w:tc>
        <w:tc>
          <w:tcPr>
            <w:tcW w:type="dxa" w:w="3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Übergabe an S4 / Product Owner – kein Adoption-, sondern Produkt-Problem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6  Verzahnung mit dem Kill-Trigger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das Ende der Geduld ist Teil des Designs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06"/>
      </w:tblGrid>
      <w:tr>
        <w:trPr>
          <w:tblHeader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Situation</w:t>
            </w:r>
          </w:p>
        </w:tc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Regel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Rampe (Q1–Q3)</w:t>
            </w:r>
          </w:p>
        </w:tc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Verfehlte Adoption-Ziele erzeugen Gelb mit Maßnahmenpflicht lt. Playbook. Die Kultur bekommt drei Quartale mit Pflichtprogramm und Budget.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Ab Q4</w:t>
            </w:r>
          </w:p>
        </w:tc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Keine Adoption-Ausrede mehr: Es zählt die ROI-Quote. Zwei rote Quartale in Folge lösen den automatischen Kill-Antrag aus (Value One-Pager, Abschnitt 5).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Remediation-Plan</w:t>
            </w:r>
          </w:p>
        </w:tc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Muss auf der Diagnose-Matrix (Abschnitt 2) aufsetzen und genau eine Hauptursache benennen. Ein Plan, der nur „weitere Schulungen“ enthält, erfüllt die Anforderung an den schriftlichen Remediation-Plan nicht.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232"/>
                <w:sz w:val="17"/>
                <w:szCs w:val="17"/>
              </w:rPr>
              <w:t xml:space="preserve">Klartext: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„Cultural Change braucht Zeit“ ist wahr – und zugleich die beliebteste Ausrede für Zombie-Projekte. Dieser Standard gibt der Kultur eine definierte, finanzierte Rampe. Danach entscheidet die Mathematik.</w:t>
            </w:r>
          </w:p>
        </w:tc>
      </w:tr>
    </w:tbl>
    <w:p>
      <w:pPr>
        <w:spacing w:after="60" w:before="0"/>
      </w:pPr>
    </w:p>
    <w:p>
      <w:pPr>
        <w:spacing w:after="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16"/>
          <w:szCs w:val="16"/>
        </w:rPr>
        <w:t xml:space="preserve">Änderungsstand: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6"/>
          <w:szCs w:val="16"/>
        </w:rPr>
        <w:t xml:space="preserve">Dieses Dokument ist Bestandteil des E2E AI Lifecycle Process (Phasen 2–4). Änderungen an der Rampe, den Anti-Gaming-Regeln oder der Verzahnung mit dem Kill-Trigger bedürfen der Freigabe durch das AI Portfolio Board.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2026-07-12T13:31:06.340Z</dcterms:created>
  <dcterms:modified xsi:type="dcterms:W3CDTF">2026-07-12T13:31:06.340Z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