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06"/>
        <w:gridCol w:w="3000"/>
      </w:tblGrid>
      <w:tr>
        <w:tc>
          <w:tcPr>
            <w:tcW w:type="dxa" w:w="7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MINIMAL-TELEMETRIE-STANDARD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9D6EC"/>
                <w:sz w:val="17"/>
                <w:szCs w:val="17"/>
              </w:rPr>
              <w:t xml:space="preserve">Verbindlicher Go-Live-Standard · E2E AI Lifecycle Process · Phase 2/3</w:t>
            </w:r>
          </w:p>
        </w:tc>
        <w:tc>
          <w:tcPr>
            <w:tcW w:type="dxa" w:w="3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D6EC"/>
                <w:sz w:val="16"/>
                <w:szCs w:val="16"/>
              </w:rPr>
              <w:t xml:space="preserve">VERBINDLICHKEIT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Go-Live-Gate</w:t>
            </w:r>
          </w:p>
        </w:tc>
      </w:tr>
    </w:tbl>
    <w:p>
      <w:pPr>
        <w:spacing w:after="80" w:before="0"/>
      </w:pPr>
    </w:p>
    <w:p>
      <w:pPr>
        <w:spacing w:after="4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8"/>
          <w:szCs w:val="18"/>
        </w:rPr>
        <w:t xml:space="preserve">Geltungsbereich: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Jede produktive KI-Lösung muss diesen Standard vor Go-Live nachweislich erfüllen (Abnahme durch CoE AI, Abschnitt 6). Der Standard definiert das Datenmodell (was gemessen wird), nicht die Technologie (womit) – die Implementierung folgt einem der drei Zulieferwege in Abschnitt 3. Lösungen mit Vollkosten &lt; 20 k€ p.a. müssen mindestens E1 und E2 sowie das Kosten-Tagging erfüllen.</w:t>
      </w:r>
    </w:p>
    <w:p>
      <w:pPr>
        <w:spacing w:after="6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  Die fünf Pflicht-Events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einheitliches Schema für alle Lösungen, unabhängig vom Stack</w:t>
            </w:r>
          </w:p>
        </w:tc>
      </w:tr>
    </w:tbl>
    <w:p>
      <w:pPr>
        <w:spacing w:after="40" w:before="0"/>
      </w:pPr>
    </w:p>
    <w:p>
      <w:pPr>
        <w:spacing w:after="6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7"/>
          <w:szCs w:val="17"/>
        </w:rPr>
        <w:t xml:space="preserve">Stammfelder (in jedem Event):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6"/>
          <w:szCs w:val="16"/>
        </w:rPr>
        <w:t xml:space="preserve">solution_id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 (= Use-Case-ID aus dem AI-Use-Case-Inventar – verbindet Telemetrie, Kosten und Business Case)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6"/>
          <w:szCs w:val="16"/>
        </w:rPr>
        <w:t xml:space="preserve">timestamp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 (UTC)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6"/>
          <w:szCs w:val="16"/>
        </w:rPr>
        <w:t xml:space="preserve">user_hash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 (pseudonymisiert, Abschnitt 2)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6"/>
          <w:szCs w:val="16"/>
        </w:rPr>
        <w:t xml:space="preserve">environment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 (prod/test) 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22222"/>
          <w:sz w:val="16"/>
          <w:szCs w:val="16"/>
        </w:rPr>
        <w:t xml:space="preserve">app_version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900"/>
        <w:gridCol w:w="2406"/>
      </w:tblGrid>
      <w:tr>
        <w:trPr>
          <w:tblHeader/>
        </w:trP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Event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Ausgelöst wenn …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Ereignisspezifische Felder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Liefert Kennzahl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E1 usage_session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Nutzer startet eine aktive Sitzung in der Lösung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session_id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WAU / MAU · Adoption-Quote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E2 task_completed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ein KI-unterstützter Vorgang wird abgeschlossen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vorgang_id · task_type · duration_ms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Vorgänge · Nutzungstiefe · Ist-Dauer (V1)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E3 output_generated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die KI erzeugt ein Ergebnis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output_id · vorgang_id · model_version · units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Kosten pro Vorgang · Drift-Bezug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E4 output_decision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Nutzer übernimmt, ändert oder verwirft den Output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output_id · decision ∈ {accepted, modified, rejected}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Annahmequote (Multiplikator in V1)</w:t>
            </w:r>
          </w:p>
        </w:tc>
      </w:tr>
      <w:tr>
        <w:tc>
          <w:tcPr>
            <w:tcW w:type="dxa" w:w="1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E5 error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technischer oder fachlicher Fehler tritt auf</w:t>
            </w:r>
          </w:p>
        </w:tc>
        <w:tc>
          <w:tcPr>
            <w:tcW w:type="dxa" w:w="29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22222"/>
                <w:sz w:val="15"/>
                <w:szCs w:val="15"/>
              </w:rPr>
              <w:t xml:space="preserve">error_class · severity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Fehlerrate · SLA-Überwachung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232"/>
                <w:sz w:val="17"/>
                <w:szCs w:val="17"/>
              </w:rPr>
              <w:t xml:space="preserve">Ausnahme-Regel: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Ist ein Event technisch nicht abbildbar (typisch: E4 bei SaaS ohne API), wird der Ersatzmechanismus – Quartals-Stichprobe mit n ≥ 30 – im Value Tracking Plan der Lösung schriftlich fixiert. Stillschweigender Verzicht ist unzulässig; fehlende Werte gelten im Value Review als 0.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  Datenschutz-Bauvorschriften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Grundlage der Rahmenvereinbarung mit dem IT-Ausschuss (Betriebsrat)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6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Regel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Verbindliche Ausgestaltung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Pseudonymisierung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user_hash wird salted erzeugt; der Salt liegt ausschließlich bei der zentralen IT. Fachbereiche und Solution Owner können Hashes nicht auf Personen zurückführen.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k-Anonymität ≥ 5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Dashboards und Reports zeigen keine Kennzahl an, hinter der weniger als fünf Nutzer stehen. Kleinere Nutzergruppen werden nur auf Lösungsebene aggregiert ausgewiesen.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Zweckbindung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Auswertung ausschließlich für Value Review (Phase 4) und technischen Betrieb (Phase 3). Individuelle Leistungs- oder Verhaltenskontrolle ist ausgeschlossen und wird in der IT-Ausschuss-Vereinbarung explizit zugesichert.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Löschfristen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Rohevents: 24 Monate. Aggregierte Quartalskennzahlen: unbegrenzt (kein Personenbezug). Bei Decommissioning gilt der Löschplan aus Phase 5.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Rahmenvereinbarung</w:t>
            </w:r>
          </w:p>
        </w:tc>
        <w:tc>
          <w:tcPr>
            <w:tcW w:type="dxa" w:w="7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Das Event-Schema wird einmalig als Rahmenvereinbarung mit dem IT-Ausschuss abgestimmt. Neue Lösungen melden nur noch die Konformität bzw. begründete Abweichungen an – keine Einzelverhandlung der Telemetrie pro Projekt.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3  Drei Zulieferwege in den zentralen Telemetrie-Store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ein Datenmodell – Implementierung je nach Stack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906"/>
      </w:tblGrid>
      <w:tr>
        <w:trPr>
          <w:tblHeader/>
        </w:trP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Event-Zulieferung</w:t>
            </w:r>
          </w:p>
        </w:tc>
        <w:tc>
          <w:tcPr>
            <w:tcW w:type="dxa" w:w="3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Kosten-Zulieferung</w:t>
            </w:r>
          </w:p>
        </w:tc>
      </w:tr>
      <w:t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Cloud-Eigenbau (Azure o. ä.)</w:t>
            </w:r>
          </w:p>
        </w:tc>
        <w:tc>
          <w:tcPr>
            <w:tcW w:type="dxa" w:w="4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direkte Instrumentierung der Anwendung (z. B. Application Insights / Log Analytics), Export in den zentralen Store</w:t>
            </w:r>
          </w:p>
        </w:tc>
        <w:tc>
          <w:tcPr>
            <w:tcW w:type="dxa" w:w="3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Cloud Cost Management über Pflicht-Tags (Abschnitt 4), tagesaktuell</w:t>
            </w:r>
          </w:p>
        </w:tc>
      </w:tr>
      <w:t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M365 Copilot / SaaS</w:t>
            </w:r>
          </w:p>
        </w:tc>
        <w:tc>
          <w:tcPr>
            <w:tcW w:type="dxa" w:w="4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Admin-/Usage-Reports bzw. Graph API, Konnektor mappt auf E1/E2; E4 i. d. R. per Stichprobe (Ausnahme-Regel)</w:t>
            </w:r>
          </w:p>
        </w:tc>
        <w:tc>
          <w:tcPr>
            <w:tcW w:type="dxa" w:w="3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Lizenzgruppen je Lösung: zugewiesene Seats × Lizenzpreis, monatlich</w:t>
            </w:r>
          </w:p>
        </w:tc>
      </w:tr>
      <w:t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On-Prem-Eigenbetrieb</w:t>
            </w:r>
          </w:p>
        </w:tc>
        <w:tc>
          <w:tcPr>
            <w:tcW w:type="dxa" w:w="4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Standard-Logging-Schema der Anwendung, Batch-Export (mind. täglich) in den zentralen Store</w:t>
            </w:r>
          </w:p>
        </w:tc>
        <w:tc>
          <w:tcPr>
            <w:tcW w:type="dxa" w:w="3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Umlageschlüssel lt. IT-Kostenmodell, quartalsweise</w:t>
            </w:r>
          </w:p>
        </w:tc>
      </w:tr>
    </w:tbl>
    <w:p>
      <w:pPr>
        <w:spacing w:after="40" w:before="0"/>
      </w:pPr>
    </w:p>
    <w:p>
      <w:pPr>
        <w:spacing w:after="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7"/>
          <w:szCs w:val="17"/>
        </w:rPr>
        <w:t xml:space="preserve">Zentraler Telemetrie-Store: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7"/>
          <w:szCs w:val="17"/>
        </w:rPr>
        <w:t xml:space="preserve">Alle drei Wege münden in einen zentralen Store (Data-&amp;-AI-Verantwortung). Das ROI-Dashboard liest ausschließlich von dort und befüllt die Value One-Pager automatisch vor. Es gibt keine lösungsindividuellen Schatten-Dashboards als Grundlage für Value Reviews.</w:t>
      </w:r>
    </w:p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4  Kosten-Tagging-Schema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Voraussetzung für automatisierte TCO-Befüllung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506"/>
      </w:tblGrid>
      <w:tr>
        <w:trPr>
          <w:tblHeader/>
        </w:trP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Pflicht-Tag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Inhalt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Durchsetzung</w:t>
            </w:r>
          </w:p>
        </w:tc>
      </w:tr>
      <w:t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usecase-id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Use-Case-ID aus dem AI-Use-Case-Inventar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Deployment-Policy: Ressourcen ohne Pflicht-Tags werden nicht provisioniert</w:t>
            </w:r>
          </w:p>
        </w:tc>
      </w:tr>
      <w:t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costcenter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verrechnete Kostenstelle der zahlenden Business Unit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monatlicher Untagged-Report an CoE AI für Bestandsressourcen</w:t>
            </w:r>
          </w:p>
        </w:tc>
      </w:tr>
      <w:t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environment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prod / test / dev – nur prod fließt in den TCO des Value Reviews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Policy-Prüfung bei Deployment</w:t>
            </w:r>
          </w:p>
        </w:tc>
      </w:tr>
      <w:tr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Komponente (Inferenz, Storage, Orchestrierung …) für Kostenanalyse S2</w:t>
            </w:r>
          </w:p>
        </w:tc>
        <w:tc>
          <w:tcPr>
            <w:tcW w:type="dxa" w:w="35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Policy-Prüfung bei Deployment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  Eskalationsschwellen im Betrieb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automatische Auslösung – niemand muss Dashboards anstarren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700"/>
        <w:gridCol w:w="3300"/>
        <w:gridCol w:w="1906"/>
      </w:tblGrid>
      <w:tr>
        <w:trPr>
          <w:tblHeader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Schwelle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Auslöser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Pflicht-Aktion</w:t>
            </w:r>
          </w:p>
        </w:tc>
        <w:tc>
          <w:tcPr>
            <w:tcW w:type="dxa" w:w="1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Verantwortlich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S1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Inferenzkosten-Tagesspike &gt; 300 % des gleitenden Ø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sofort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Sofort-Alert; Ursachenanalyse binnen 48 h (Fehlkonfiguration, Kostenexplosion, Missbrauch)</w:t>
            </w:r>
          </w:p>
        </w:tc>
        <w:tc>
          <w:tcPr>
            <w:tcW w:type="dxa" w:w="1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Run-Team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S2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Kosten pro Vorgang &gt; 150 % des TCO-Plans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 Monate in Folge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Pflicht-Review mit CoE AI: Modellwahl, Caching, Prompt-Optimierung</w:t>
            </w:r>
          </w:p>
        </w:tc>
        <w:tc>
          <w:tcPr>
            <w:tcW w:type="dxa" w:w="1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Product Owner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S3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WAU-Rückgang &gt; 30 %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 Monate in Folge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Adoption-Review; Maßnahmenplan vor dem nächsten Value Review</w:t>
            </w:r>
          </w:p>
        </w:tc>
        <w:tc>
          <w:tcPr>
            <w:tcW w:type="dxa" w:w="1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AI Solution Owner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S4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Annahmequote &lt; 50 %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1 Quartal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Qualitäts- und Drift-Analyse mit Output-Stichprobe</w:t>
            </w:r>
          </w:p>
        </w:tc>
        <w:tc>
          <w:tcPr>
            <w:tcW w:type="dxa" w:w="1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AI Solution Owner + Product Owner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S5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Verfügbarkeit unter SLA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2 Monate in Folge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Maßnahmenplan Run-Team; Bericht an das AI Portfolio Board</w:t>
            </w:r>
          </w:p>
        </w:tc>
        <w:tc>
          <w:tcPr>
            <w:tcW w:type="dxa" w:w="1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Product Owner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S6</w:t>
            </w:r>
          </w:p>
        </w:tc>
        <w:tc>
          <w:tcPr>
            <w:tcW w:type="dxa" w:w="2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Telemetrie-Ausfall &gt; 4 Wochen</w:t>
            </w:r>
          </w:p>
        </w:tc>
        <w:tc>
          <w:tcPr>
            <w:tcW w:type="dxa" w:w="1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ab Woche 5</w:t>
            </w:r>
          </w:p>
        </w:tc>
        <w:tc>
          <w:tcPr>
            <w:tcW w:type="dxa" w:w="33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Lösung gilt als „nicht messbar“ – das laufende Quartal wird im Value Review rot gewertet</w:t>
            </w:r>
          </w:p>
        </w:tc>
        <w:tc>
          <w:tcPr>
            <w:tcW w:type="dxa" w:w="19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Product Owner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FF9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A33232"/>
                <w:sz w:val="17"/>
                <w:szCs w:val="17"/>
              </w:rPr>
              <w:t xml:space="preserve">Selbstschutz des Systems (S6):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Ohne die Nicht-messbar-Regel wäre der bequemste Weg zu einer grünen Ampel, die Messung „kaputtgehen“ zu lassen. Ein Telemetrie-Ausfall ist deshalb nie neutral – er wirkt wie ein rotes Quartal und zählt für den Kill-Trigger.</w:t>
            </w:r>
          </w:p>
        </w:tc>
      </w:tr>
    </w:tbl>
    <w:p>
      <w:pPr>
        <w:spacing w:after="10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2E5B9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6  Telemetrie-Abnahme vor Go-Live (Gate)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D5E0F2"/>
                <w:sz w:val="17"/>
                <w:szCs w:val="17"/>
              </w:rPr>
              <w:t xml:space="preserve">   —  Abnahme durch CoE AI · ohne Abnahme kein Go-Live</w:t>
            </w:r>
          </w:p>
        </w:tc>
      </w:tr>
    </w:tbl>
    <w:p>
      <w:pPr>
        <w:spacing w:after="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0"/>
        <w:gridCol w:w="2406"/>
      </w:tblGrid>
      <w:tr>
        <w:trPr>
          <w:tblHeader/>
        </w:trP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Prüfpunkt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CE6F5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Nachweis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Alle fünf Pflicht-Events (bzw. E1/E2 im Light-Fall) fließen nachweislich in den zentralen Telemetrie-Store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Testdaten im Store sichtbar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ROI-Dashboard zeigt die Lösung mit korrekten Testwerten (Nutzung, Vorgänge, Annahmequote)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Dashboard-Screenshot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Kosten-Tagging aktiv (Cloud) bzw. Lizenzgruppe eingerichtet (SaaS) bzw. Umlageschlüssel hinterlegt (On-Prem)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Kostenreport-Probelauf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Datenschutz-Konformität der Telemetrie: Rahmenvereinbarung anwendbar oder Einzelfreigabe des IT-Ausschusses liegt vor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Konformitätserklärung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Ersatzmechanismen für nicht abbildbare Events sind im Value Tracking Plan dokumentiert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Value Tracking Plan</w:t>
            </w:r>
          </w:p>
        </w:tc>
      </w:tr>
      <w:tr>
        <w:tc>
          <w:tcPr>
            <w:tcW w:type="dxa" w:w="7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Eskalationsschwellen S1–S6 sind mit Alert-Empfängern (Run-Team, Solution Owner) konfiguriert</w:t>
            </w:r>
          </w:p>
        </w:tc>
        <w:tc>
          <w:tcPr>
            <w:tcW w:type="dxa" w:w="2406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3F6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Alert-Testlauf</w:t>
            </w:r>
          </w:p>
        </w:tc>
      </w:tr>
    </w:tbl>
    <w:p>
      <w:pPr>
        <w:spacing w:after="60" w:before="0"/>
      </w:pPr>
    </w:p>
    <w:p>
      <w:pPr>
        <w:spacing w:after="0" w:before="20" w:line="264"/>
      </w:pPr>
      <w:r>
        <w:rPr>
          <w:rFonts w:ascii="Calibri" w:cs="Calibri" w:eastAsia="Calibri" w:hAnsi="Calibri"/>
          <w:b/>
          <w:bCs/>
          <w:i w:val="false"/>
          <w:iCs w:val="false"/>
          <w:color w:val="666666"/>
          <w:sz w:val="16"/>
          <w:szCs w:val="16"/>
        </w:rPr>
        <w:t xml:space="preserve">Änderungsstand: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66666"/>
          <w:sz w:val="16"/>
          <w:szCs w:val="16"/>
        </w:rPr>
        <w:t xml:space="preserve">Dieses Dokument ist Bestandteil des E2E AI Lifecycle Process (Phasen 2 und 3). Änderungen am Event-Schema oder an den Schwellen S1–S6 bedürfen der Freigabe durch das AI Portfolio Board und – bei Datenschutzbezug – der erneuten Abstimmung mit dem IT-Ausschuss.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2026-07-12T13:18:42.054Z</dcterms:created>
  <dcterms:modified xsi:type="dcterms:W3CDTF">2026-07-12T13:18:42.054Z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