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6"/>
        <w:gridCol w:w="3000"/>
      </w:tblGrid>
      <w:tr>
        <w:tc>
          <w:tcPr>
            <w:tcW w:type="dxa" w:w="7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REGISTRY- &amp; SCALING-STANDARD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9D6EC"/>
                <w:sz w:val="17"/>
                <w:szCs w:val="17"/>
              </w:rPr>
              <w:t xml:space="preserve">Wiederverwendung &amp; Skalierung von KI-Komponenten · E2E AI Lifecycle Process · Phase 1/4</w:t>
            </w:r>
          </w:p>
        </w:tc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D6EC"/>
                <w:sz w:val="16"/>
                <w:szCs w:val="16"/>
              </w:rPr>
              <w:t xml:space="preserve">PORTFOLIO-METRIK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Reuse-Quote</w:t>
            </w:r>
          </w:p>
        </w:tc>
      </w:tr>
    </w:tbl>
    <w:p>
      <w:pPr>
        <w:spacing w:after="80" w:before="0"/>
      </w:pPr>
    </w:p>
    <w:p>
      <w:pPr>
        <w:spacing w:after="4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8"/>
          <w:szCs w:val="18"/>
        </w:rPr>
        <w:t xml:space="preserve">Grundsatz: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Skalierung ist Portfolio-Optimierung, keine Belohnung. Die zweite Nutzung einer bewährten Komponente liefert mehr Wert pro investiertem Euro als fast jede neue Idee. Die Scaling-Prüfung erfolgreicher Lösungen hat im AI Portfolio Board deshalb Vorrang vor der Priorisierung neuer Ideen. Die Registry erweitert das AI-Use-Case-Inventar um eine Komponentenebene: Der Use Case bleibt die Governance-Einheit, die Komponente wird die Wiederverwendungs-Einheit.</w:t>
      </w:r>
    </w:p>
    <w:p>
      <w:pPr>
        <w:spacing w:after="6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  Komponententypen &amp; Pflicht-Metadaten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Registry als Erweiterung des AI-Use-Case-Inventars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506"/>
      </w:tblGrid>
      <w:tr>
        <w:trPr>
          <w:tblHeader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Typ</w:t>
            </w:r>
          </w:p>
        </w:tc>
        <w:tc>
          <w:tcPr>
            <w:tcW w:type="dxa" w:w="4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Inhalt</w:t>
            </w:r>
          </w:p>
        </w:tc>
        <w:tc>
          <w:tcPr>
            <w:tcW w:type="dxa" w:w="3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Typisches Reuse-Szenario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K1 Prompt-Asset</w:t>
            </w:r>
          </w:p>
        </w:tc>
        <w:tc>
          <w:tcPr>
            <w:tcW w:type="dxa" w:w="4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System-Prompts, Prompt-Templates, Few-Shot-Sets</w:t>
            </w:r>
          </w:p>
        </w:tc>
        <w:tc>
          <w:tcPr>
            <w:tcW w:type="dxa" w:w="3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gleicher Aufgabentyp in anderem Bereich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K2 Agent / Workflow</w:t>
            </w:r>
          </w:p>
        </w:tc>
        <w:tc>
          <w:tcPr>
            <w:tcW w:type="dxa" w:w="4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Orchestrierung, Tool-Definitionen, Guardrails</w:t>
            </w:r>
          </w:p>
        </w:tc>
        <w:tc>
          <w:tcPr>
            <w:tcW w:type="dxa" w:w="3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gleicher Prozess, andere Daten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K3 Modell / Feinabstimmung</w:t>
            </w:r>
          </w:p>
        </w:tc>
        <w:tc>
          <w:tcPr>
            <w:tcW w:type="dxa" w:w="4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feingetunte Modelle, Embedding-Modelle</w:t>
            </w:r>
          </w:p>
        </w:tc>
        <w:tc>
          <w:tcPr>
            <w:tcW w:type="dxa" w:w="3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Fachdomänen-Sprache konzernweit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K4 Konnektor / Integration</w:t>
            </w:r>
          </w:p>
        </w:tc>
        <w:tc>
          <w:tcPr>
            <w:tcW w:type="dxa" w:w="4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Systemanbindungen (SAP, DMS, M365 …)</w:t>
            </w:r>
          </w:p>
        </w:tc>
        <w:tc>
          <w:tcPr>
            <w:tcW w:type="dxa" w:w="3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jede Lösung am selben Quellsystem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K5 Datenprodukt</w:t>
            </w:r>
          </w:p>
        </w:tc>
        <w:tc>
          <w:tcPr>
            <w:tcW w:type="dxa" w:w="4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RAG-Indizes, kuratierte Wissensbasen</w:t>
            </w:r>
          </w:p>
        </w:tc>
        <w:tc>
          <w:tcPr>
            <w:tcW w:type="dxa" w:w="3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Wissensdomäne mit mehreren Anwendungen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K6 Evaluations-Set</w:t>
            </w:r>
          </w:p>
        </w:tc>
        <w:tc>
          <w:tcPr>
            <w:tcW w:type="dxa" w:w="4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Golden Sets, Testdaten, Benchmarks</w:t>
            </w:r>
          </w:p>
        </w:tc>
        <w:tc>
          <w:tcPr>
            <w:tcW w:type="dxa" w:w="3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Qualitätssicherung &amp; Drift-Analyse (Schwelle S4)</w:t>
            </w:r>
          </w:p>
        </w:tc>
      </w:tr>
    </w:tbl>
    <w:p>
      <w:pPr>
        <w:spacing w:after="40" w:before="0"/>
      </w:pPr>
    </w:p>
    <w:p>
      <w:pPr>
        <w:spacing w:after="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7"/>
          <w:szCs w:val="17"/>
        </w:rPr>
        <w:t xml:space="preserve">Pflicht-Metadaten je Komponente: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6"/>
          <w:szCs w:val="16"/>
        </w:rPr>
        <w:t xml:space="preserve">component_id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7"/>
          <w:szCs w:val="17"/>
        </w:rPr>
        <w:t xml:space="preserve"> · Typ · 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7"/>
          <w:szCs w:val="17"/>
        </w:rPr>
        <w:t xml:space="preserve">Owner (Pflicht – ohne Owner keine Registrierung)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7"/>
          <w:szCs w:val="17"/>
        </w:rPr>
        <w:t xml:space="preserve"> · Herkunfts-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6"/>
          <w:szCs w:val="16"/>
        </w:rPr>
        <w:t xml:space="preserve">solution_id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7"/>
          <w:szCs w:val="17"/>
        </w:rPr>
        <w:t xml:space="preserve"> · Zweckbeschreibung · technische Abhängigkeiten (Modellversion, Plattform) · Reifegrad · Nachnutzungsbedingungen inkl. Datenschutz-Scope · Nachnutzer-Liste · letzte Änderung</w:t>
      </w:r>
    </w:p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  Reifegrade &amp; Governance-Vererbung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nur R3+ ist ohne Einzelabstimmung nachnutzbar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2206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Reifegrad</w:t>
            </w:r>
          </w:p>
        </w:tc>
        <w:tc>
          <w:tcPr>
            <w:tcW w:type="dxa" w:w="5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Kriterien</w:t>
            </w:r>
          </w:p>
        </w:tc>
        <w:tc>
          <w:tcPr>
            <w:tcW w:type="dxa" w:w="22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Nachnutzung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R1 Experimentell</w:t>
            </w:r>
          </w:p>
        </w:tc>
        <w:tc>
          <w:tcPr>
            <w:tcW w:type="dxa" w:w="5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aus PoC entstanden, keine Garantien, keine Versionierung</w:t>
            </w:r>
          </w:p>
        </w:tc>
        <w:tc>
          <w:tcPr>
            <w:tcW w:type="dxa" w:w="22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nicht zulässig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R2 Produktiv-Einzeln</w:t>
            </w:r>
          </w:p>
        </w:tc>
        <w:tc>
          <w:tcPr>
            <w:tcW w:type="dxa" w:w="5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läuft produktiv in genau einer Lösung</w:t>
            </w:r>
          </w:p>
        </w:tc>
        <w:tc>
          <w:tcPr>
            <w:tcW w:type="dxa" w:w="22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nur mit Owner-Abstimmung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R3 Wiederverwendbar</w:t>
            </w:r>
          </w:p>
        </w:tc>
        <w:tc>
          <w:tcPr>
            <w:tcW w:type="dxa" w:w="5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versioniert, dokumentiert, Eval-Set (K6) vorhanden, Owner leistet Support-Zusage</w:t>
            </w:r>
          </w:p>
        </w:tc>
        <w:tc>
          <w:tcPr>
            <w:tcW w:type="dxa" w:w="22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frei, mit Delta-Assessment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R4 Plattform-Service</w:t>
            </w:r>
          </w:p>
        </w:tc>
        <w:tc>
          <w:tcPr>
            <w:tcW w:type="dxa" w:w="5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zentral betrieben, SLA, mehrere Nachnutzer, Kostenumlage nach Verbrauch</w:t>
            </w:r>
          </w:p>
        </w:tc>
        <w:tc>
          <w:tcPr>
            <w:tcW w:type="dxa" w:w="22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frei, mit Delta-Assessment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B9F"/>
                <w:sz w:val="17"/>
                <w:szCs w:val="17"/>
              </w:rPr>
              <w:t xml:space="preserve">Keine automatische Governance-Vererbung: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Datenschutz-, RIA- und Betriebsrats-Freigaben gelten für den Use Case, nicht für die Komponente. Nachnutzung einer R3+-Komponente berechtigt zum Delta-Assessment: Geprüft werden nur die Unterschiede (neue Datenarten, neuer Nutzerkreis, neue Systeme) statt der Vollprüfung. Das Delta-Assessment ist der zentrale Anreiz für Reuse – es verkürzt Phase 1–2 typischerweise um Wochen.</w:t>
            </w:r>
          </w:p>
        </w:tc>
      </w:tr>
    </w:tbl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  Reuse-Check in Phase 1 (Gate)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Not-invented-here wird begründungspflichtig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2606"/>
      </w:tblGrid>
      <w:tr>
        <w:trPr>
          <w:tblHeader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Schritt</w:t>
            </w:r>
          </w:p>
        </w:tc>
        <w:tc>
          <w:tcPr>
            <w:tcW w:type="dxa" w:w="26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Verantwortlich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Vor Genehmigung jeder Neuentwicklung: Abgleich des Cases gegen die Registry (K1–K6, Reifegrad ≥ R2)</w:t>
            </w:r>
          </w:p>
        </w:tc>
        <w:tc>
          <w:tcPr>
            <w:tcW w:type="dxa" w:w="26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CoE AI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Ergebnis im Business Case dokumentieren: Nachnutzung von Komponente X oder technisch begründete Ablehnung („passt nicht“ ohne Begründung wird vom Board nicht akzeptiert)</w:t>
            </w:r>
          </w:p>
        </w:tc>
        <w:tc>
          <w:tcPr>
            <w:tcW w:type="dxa" w:w="26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AI Solution Owner + CoE AI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Bei Nachnutzung: Delta-Assessment statt Vollprüfung, Eintrag in die Nachnutzer-Liste der Komponente</w:t>
            </w:r>
          </w:p>
        </w:tc>
        <w:tc>
          <w:tcPr>
            <w:tcW w:type="dxa" w:w="26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CoE AI</w:t>
            </w:r>
          </w:p>
        </w:tc>
      </w:tr>
    </w:tbl>
    <w:p>
      <w:pPr>
        <w:spacing w:after="40" w:before="0"/>
      </w:pPr>
    </w:p>
    <w:p>
      <w:pPr>
        <w:spacing w:after="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7"/>
          <w:szCs w:val="17"/>
        </w:rPr>
        <w:t xml:space="preserve">Portfolio-Metrik: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7"/>
          <w:szCs w:val="17"/>
        </w:rPr>
        <w:t xml:space="preserve">Reuse-Quote = Anteil neuer Cases mit mindestens einer nachgenutzten R3+-Komponente. Zielpfad: Jahr 1 ≥ 20 %, Jahr 2 ≥ 35 %, ab Jahr 3 ≥ 50 %.</w:t>
      </w:r>
    </w:p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4  Scaling-Prüfpfad in Phase 4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Trigger: ROI-Quote ≥ 1,5 über zwei Quartale + Übertragbarkeitsvermerk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400"/>
        <w:gridCol w:w="2606"/>
      </w:tblGrid>
      <w:tr>
        <w:trPr>
          <w:tblHeader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Schritt</w:t>
            </w:r>
          </w:p>
        </w:tc>
        <w:tc>
          <w:tcPr>
            <w:tcW w:type="dxa" w:w="4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Inhalt</w:t>
            </w:r>
          </w:p>
        </w:tc>
        <w:tc>
          <w:tcPr>
            <w:tcW w:type="dxa" w:w="26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Frist / Verantwortlich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Scaling-Assessment</w:t>
            </w:r>
          </w:p>
        </w:tc>
        <w:tc>
          <w:tcPr>
            <w:tcW w:type="dxa" w:w="4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Prozessähnlichkeit &amp; Vorgangsvolumen der Zielbereiche (Wertpotenzial nach V1-Formel) · technische Übertragbarkeit (Mandantenfähigkeit, Kapazität) · Governance-Delta · ehrlicher Build-vs.-Reuse-Kostenvergleich (Reuse ist Default, nicht Dogma)</w:t>
            </w:r>
          </w:p>
        </w:tc>
        <w:tc>
          <w:tcPr>
            <w:tcW w:type="dxa" w:w="26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max. 4 Wochen · CoE AI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Scaling Business Case (Light)</w:t>
            </w:r>
          </w:p>
        </w:tc>
        <w:tc>
          <w:tcPr>
            <w:tcW w:type="dxa" w:w="4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nur Zielbereichs-Baseline (eigene Stichprobenmessung – Zeitersparnis des Ursprungsbereichs wird nicht übertragen) + Rollout-Kosten; keine erneute Vollprüfung der Lösungsidee</w:t>
            </w:r>
          </w:p>
        </w:tc>
        <w:tc>
          <w:tcPr>
            <w:tcW w:type="dxa" w:w="26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aufnehmender Fachbereich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Rollout-Beschluss</w:t>
            </w:r>
          </w:p>
        </w:tc>
        <w:tc>
          <w:tcPr>
            <w:tcW w:type="dxa" w:w="4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benannte aufnehmende Bereiche, Zieltermin, Budgetrahmen</w:t>
            </w:r>
          </w:p>
        </w:tc>
        <w:tc>
          <w:tcPr>
            <w:tcW w:type="dxa" w:w="26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AI Portfolio Board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Registry-Extraktion</w:t>
            </w:r>
          </w:p>
        </w:tc>
        <w:tc>
          <w:tcPr>
            <w:tcW w:type="dxa" w:w="4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tragende Komponenten werden auf R3/R4 gehoben (Dokumentation, Versionierung, Eval-Set, ggf. Mandantenfähigkeit)</w:t>
            </w:r>
          </w:p>
        </w:tc>
        <w:tc>
          <w:tcPr>
            <w:tcW w:type="dxa" w:w="26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CoE AI + Product Owner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232"/>
                <w:sz w:val="17"/>
                <w:szCs w:val="17"/>
              </w:rPr>
              <w:t xml:space="preserve">Eigenständige Value-Reviews: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Jeder aufnehmende Bereich wird eine eigene Value-Review-Einheit mit eigenem One-Pager, eigener Adoption-Rampe und eigenem Kill-Trigger. Ein erfolgreicher Ursprungsbereich immunisiert die Ableger nicht.</w:t>
            </w:r>
          </w:p>
        </w:tc>
      </w:tr>
    </w:tbl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5  Kosten- &amp; Wertverrechnung bei geteilten Komponenten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konsistent mit BU-Verrechnung und Value-Ledger-Regeln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06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Regel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Verbindliche Ausgestaltung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 · Wert wird nie geteilt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Wert entsteht dort, wo Vorgänge laufen: in der nutzenden Business Unit. Keine Wert-Transferpreise an die Ursprungslösung, kein Erfinder-Bonus im Value Ledger.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 · Kosten folgen dem Verbrauch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R4-Plattform-Services werden nach gemessenem Verbrauch verteilt (Vorgänge bzw. Units aus Event E3 des Telemetrie-Standards). Fallback bei nicht messbarem Verbrauch: Seats, notfalls Gleichverteilung – im IT-Kostenmodell dokumentiert. Jede Lösung sieht ihren Anteil als Position „Plattform-Umlage“ im TCO.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 · Extraktionskosten trägt das CoE-/Plattformbudget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Eine Komponente von R2 auf R3/R4 zu heben nützt dem Konzern, nicht der Ursprungs-BU. Müsste die Ursprungs-BU es selbst bezahlen, würde es nie geschehen. Dies ist der zentrale Anreizmechanismus des Standards.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4 · Keine Fantasie-Euros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Durch Reuse vermiedene Entwicklungskosten werden nicht als V2 gebucht (eine hypothetische Neuentwicklung ist kein Beleg im Sinne der V2-Regel). Reuse wirkt über den niedrigeren TCO automatisch positiv auf die ROI-Quote und wird zusätzlich als Portfolio-Kennzahl (kumulierte Reuse-Ersparnis, geschätzt) im CoE-Jahresbericht geführt – außerhalb des Value Ledgers.</w:t>
            </w:r>
          </w:p>
        </w:tc>
      </w:tr>
    </w:tbl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6  Registry-Hygiene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Anti-Friedhof-Regeln – eine Registry ohne Nachfrage stirbt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06"/>
      </w:tblGrid>
      <w:tr>
        <w:trPr>
          <w:tblHeader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Regel</w:t>
            </w:r>
          </w:p>
        </w:tc>
        <w:tc>
          <w:tcPr>
            <w:tcW w:type="dxa" w:w="7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Ausgestaltung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Zwangsbefüllung an zwei Lifecycle-Stellen</w:t>
            </w:r>
          </w:p>
        </w:tc>
        <w:tc>
          <w:tcPr>
            <w:tcW w:type="dxa" w:w="7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Beim Go-Live (Phase 2) werden Extraktionskandidaten markiert; beim Decommissioning (Phase 5) werden verwertbare Komponenten vor Abschaltung extrahiert (Organspende-Schritt).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Jährlicher Registry-Review</w:t>
            </w:r>
          </w:p>
        </w:tc>
        <w:tc>
          <w:tcPr>
            <w:tcW w:type="dxa" w:w="7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Komponenten ohne aktiven Owner oder ohne Nutzung seit 12 Monaten werden archiviert. Archivierte Komponenten erscheinen nicht mehr im Reuse-Check.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Nachfrage erzwingt Pflege</w:t>
            </w:r>
          </w:p>
        </w:tc>
        <w:tc>
          <w:tcPr>
            <w:tcW w:type="dxa" w:w="7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Der Reuse-Check (Abschnitt 3) ist das einzige wirksame Pflegeinstrument: Er erzwingt die Abfrage der Registry bei jedem neuen Case – die Nachfrage rechtfertigt den Pflegeaufwand.</w:t>
            </w:r>
          </w:p>
        </w:tc>
      </w:tr>
    </w:tbl>
    <w:p>
      <w:pPr>
        <w:spacing w:after="60" w:before="0"/>
      </w:pPr>
    </w:p>
    <w:p>
      <w:pPr>
        <w:spacing w:after="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666666"/>
          <w:sz w:val="16"/>
          <w:szCs w:val="16"/>
        </w:rPr>
        <w:t xml:space="preserve">Änderungsstand: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6"/>
          <w:szCs w:val="16"/>
        </w:rPr>
        <w:t xml:space="preserve">Dieses Dokument ist Bestandteil des E2E AI Lifecycle Process (Phasen 1 und 4). Änderungen an Reifegrad-Kriterien, Verrechnungsregeln oder dem Scaling-Trigger bedürfen der Freigabe durch das AI Portfolio Board.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2026-07-12T13:27:17.041Z</dcterms:created>
  <dcterms:modified xsi:type="dcterms:W3CDTF">2026-07-12T13:27:17.041Z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