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VALUE ONE-PAGER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D6EC"/>
                <w:sz w:val="17"/>
                <w:szCs w:val="17"/>
              </w:rPr>
              <w:t xml:space="preserve">Quartalsweises Value Review · E2E AI Lifecycle Process · Phase 4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D6EC"/>
                <w:sz w:val="16"/>
                <w:szCs w:val="16"/>
              </w:rPr>
              <w:t xml:space="preserve">AMPEL-STATUS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 Grün   ☐ Gelb   ☐ Rot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53"/>
        <w:gridCol w:w="1800"/>
        <w:gridCol w:w="3253"/>
      </w:tblGrid>
      <w:tr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KI-Lösung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Name der Lösung</w:t>
            </w:r>
          </w:p>
        </w:tc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Use-Case-ID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ID aus AI-Use-Case-Inventar</w:t>
            </w:r>
          </w:p>
        </w:tc>
      </w:tr>
      <w:tr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AI Solution Owner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Name, Fachbereich</w:t>
            </w:r>
          </w:p>
        </w:tc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Product Owner (IT)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Name, Run-Team</w:t>
            </w:r>
          </w:p>
        </w:tc>
      </w:tr>
      <w:tr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Go-Live-Datum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TT.MM.JJJJ</w:t>
            </w:r>
          </w:p>
        </w:tc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Berichtsquartal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z. B. Q3/2026 (Q_ nach Go-Live)</w:t>
            </w:r>
          </w:p>
        </w:tc>
      </w:tr>
      <w:tr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Kostenstelle (BU)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verrechnete Business Unit</w:t>
            </w:r>
          </w:p>
        </w:tc>
        <w:tc>
          <w:tcPr>
            <w:tcW w:type="dxa" w:w="1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Vollkosten p.a. (Plan)</w:t>
            </w:r>
          </w:p>
        </w:tc>
        <w:tc>
          <w:tcPr>
            <w:tcW w:type="dxa" w:w="3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aus TCO-Sheet, Phase 2</w:t>
            </w:r>
          </w:p>
        </w:tc>
      </w:tr>
    </w:tbl>
    <w:p>
      <w:pPr>
        <w:spacing w:after="12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  Nutzung &amp; Adoption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automatisch vorbefüllt aus Telemetrie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6"/>
        <w:gridCol w:w="120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Metrik</w:t>
            </w:r>
          </w:p>
        </w:tc>
        <w:tc>
          <w:tcPr>
            <w:tcW w:type="dxa" w:w="37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Definition / Datenquelle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Ziel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Ist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Δ VQ</w:t>
            </w:r>
          </w:p>
        </w:tc>
      </w:tr>
      <w:t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Weekly Active Users (Ø)</w:t>
            </w:r>
          </w:p>
        </w:tc>
        <w:tc>
          <w:tcPr>
            <w:tcW w:type="dxa" w:w="37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Ø eindeutige Nutzer/Woche im Quartal · Telemetrie / Admin-Report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lt. BC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Adoption-Quote</w:t>
            </w:r>
          </w:p>
        </w:tc>
        <w:tc>
          <w:tcPr>
            <w:tcW w:type="dxa" w:w="37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WAU ÷ berechtigte Nutzer · Rampe: Q1–2 ≥ 30 %, Q3 ≥ 60 %, ab Q4 Zielwert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Nutzungstiefe</w:t>
            </w:r>
          </w:p>
        </w:tc>
        <w:tc>
          <w:tcPr>
            <w:tcW w:type="dxa" w:w="37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Vorgänge pro aktivem Nutzer und Woche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Vorgänge im Quartal</w:t>
            </w:r>
          </w:p>
        </w:tc>
        <w:tc>
          <w:tcPr>
            <w:tcW w:type="dxa" w:w="37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Anzahl KI-unterstützter Vorgänge lt. Telemetrie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Annahmequote</w:t>
            </w:r>
          </w:p>
        </w:tc>
        <w:tc>
          <w:tcPr>
            <w:tcW w:type="dxa" w:w="37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übernommene KI-Outputs ÷ alle Outputs · Telemetrie oder Quartals-Stichprobe (n ≥ 30)</w:t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  Realisierter Wert (Value Ledger)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V2/V3 nur mit Beleg · kein Double Counting V1/V3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6"/>
        <w:gridCol w:w="14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Wertkategorie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Herleitung / Beleg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Plan (€)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Ist (€)</w:t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V1 Produktivitätswert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Vorgänge × (Baseline − Ist-Dauer) × Vollkostensatz × Annahmequote · Baseline eingefroren lt. BC, Satz lt. Controlling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V2 Vermeidungswert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eingesparte Dienstleister-/Lizenz-/Fremdkosten · Beleg-Nr. angeben (Vertrag, Bestellung, Ablösung)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V3 Kapazitätswert (FTE)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nur bei nachweislicher Umwidmung/Abbau (Stellenplan-Referenz) · dieselbe Stunde nie zusätzlich in V1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V4 Qualität/Risiko (nur falls hart quantifiziert)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z. B. vermiedene Fehlerkosten mit historischer Kostenbasis · sonst nur in Abschnitt 5 beschreiben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Σ Realisierter Wert im Quartal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  Vollkosten (TCO im Quartal)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bestätigt durch Product Owner / Run-Team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6"/>
        <w:gridCol w:w="14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Kostenposition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Herleitung / Beleg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Plan (€)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Ist (€)</w:t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Inferenz / Compute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Cloud Cost Management (Tag der Lösung) bzw. Seats × Lizenzpreis bzw. IT-Umlage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Lizenzen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SaaS-/Modell-Lizenzen, der Lösung zugeordnet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Run-Team (anteilig)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erfasste Stunden × interner Satz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Wartung / Weiterentwicklung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im Quartal angefallene Change-Aufwände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Plattform-/Monitoring-Umlage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lt. IT-Kostenmodell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Σ TCO im Quartal</w:t>
            </w:r>
          </w:p>
        </w:tc>
        <w:tc>
          <w:tcPr>
            <w:tcW w:type="dxa" w:w="4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  ROI-Bewertung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Formeln fest definiert – keine Abweichung zulässig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06"/>
        <w:gridCol w:w="14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Kennzahl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Formel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Schwelle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Ist</w:t>
            </w:r>
          </w:p>
        </w:tc>
      </w:tr>
      <w:tr>
        <w:tc>
          <w:tcPr>
            <w:tcW w:type="dxa" w:w="3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Real ROI (€)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Σ Realisierter Wert − Σ TCO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&gt; 0 ab Q4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ROI-Quote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Realisierter Wert ÷ TCO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≥ 1,0 grün · 0,5–1,0 gelb · &lt; 0,5 rot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Cost per Active User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TCO ÷ Ø MAU (Portfolio-Vergleichswert)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Portfolio-Median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Kosten pro Vorgang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(Inferenz + Lizenzen) ÷ Vorgänge · Frühindikator Kostenexplosion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≤ 150 % TCO-Plan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  Exit-Kriterien-Status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aus dem Business Case übernommen – Grundlage des Kill-Triggers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106"/>
      </w:tblGrid>
      <w:tr>
        <w:trPr>
          <w:tblHeader/>
        </w:trPr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Exit-Kriterium (lt. Business Case)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Schwelle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Ist</w:t>
            </w:r>
          </w:p>
        </w:tc>
        <w:tc>
          <w:tcPr>
            <w:tcW w:type="dxa" w:w="2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Status (erfüllt/verfehlt)</w:t>
            </w:r>
          </w:p>
        </w:tc>
      </w:tr>
      <w:tr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z. B. ROI-Quote ≥ 1,0 ab Q4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  <w:tc>
          <w:tcPr>
            <w:tcW w:type="dxa" w:w="2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232"/>
                <w:sz w:val="17"/>
                <w:szCs w:val="17"/>
              </w:rPr>
              <w:t xml:space="preserve">Kill-Trigger: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Zwei rote Quartale in Folge erzeugen automatisch einen Kill-Antrag an das AI Portfolio Board. Eine einmalige Verlängerung um ein Quartal ist nur mit schriftlichem Remediation-Plan und Gegenzeichnung des Bereichsleiters möglich.</w:t>
            </w:r>
          </w:p>
        </w:tc>
      </w:tr>
    </w:tbl>
    <w:p>
      <w:pPr>
        <w:spacing w:after="12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  Bewertung &amp; Entscheidung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max. 2 h manueller Aufwand pro Quartal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Qualitativer Nutzen (V4, nicht monetarisiert)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Arbeitsgüte, Governance-Konformität, Fehlerreduktion – erklärt Gelb, verhindert nie Rot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Kommentar AI Solution Owner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Werttreiber, Adoption-Maßnahmen, V2/V3-Belege referenzieren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Kommentar Product Owner / Run-Team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Kostenentwicklung, technische Risiken, Drift-Befunde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Scaling-Prüfung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bei ROI-Quote ≥ 1,5: Übertragbarkeit auf weitere Bereiche? Registry-Komponenten extrahierbar?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Entscheidung AI Portfolio Board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Ampel · Auflagen · Scaling-Auftrag · Remediation · Kill-Antrag — Datum &amp; Beschluss-Nr.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16"/>
          <w:szCs w:val="16"/>
        </w:rPr>
        <w:t xml:space="preserve">Ausfüllregeln: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Abschnitte 1, 3 (Ist) und 4 werden automatisch aus dem ROI-Dashboard vorbefüllt. Baseline und Vollkostensatz dürfen nicht projektindividuell geändert werden (Baseline eingefroren lt. Business Case, Satz lt. Konzern-Controlling; jährliche Revalidierung der Zeitersparnis per Stichprobe, bei Vollkosten &gt; 100 k€ p.a. durch das CoE AI). Lösungen mit Vollkosten &lt; 20 k€ p.a. nutzen das Light-Review (nur Abschnitte 1, 3, 4).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2026-07-12T13:09:26.994Z</dcterms:created>
  <dcterms:modified xsi:type="dcterms:W3CDTF">2026-07-12T13:09:27.007Z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