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F3864"/>
        </w:rPr>
        <w:t xml:space="preserve">Interview-Leitfaden für Stakeholder-Interviews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Aufbau des AI Portfolio Management – Phase 1: Diagnose (Tage 1–30)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1. Zweck dieses Leitfadens</w:t>
      </w:r>
    </w:p>
    <w:p>
      <w:pPr>
        <w:spacing w:after="160"/>
      </w:pPr>
      <w:r>
        <w:rPr>
          <w:i w:val="false"/>
          <w:iCs w:val="false"/>
        </w:rPr>
        <w:t xml:space="preserve">Dieser Leitfaden unterstützt die Stakeholder-Interviews in der Diagnosephase des AI-Portfolio-Aufbaus. Er stellt sicher, dass alle Gespräche vergleichbar strukturiert sind, damit sich die Ergebnisse nach 15–25 Interviews sauber zu einem Diagnose-Report verdichten lassen.</w:t>
      </w:r>
    </w:p>
    <w:p>
      <w:pPr>
        <w:spacing w:after="160"/>
      </w:pPr>
      <w:r>
        <w:rPr>
          <w:i w:val="false"/>
          <w:iCs w:val="false"/>
        </w:rPr>
        <w:t xml:space="preserve">Er enthält: eine empfohlene Interviewreihenfolge, ein einheitliches Gesprächsgerüst, rollenspezifische Fragenkataloge sowie eine Notizvorlage für die Nachbereitung.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2. Vorgehen &amp; Zeitplan</w:t>
      </w:r>
    </w:p>
    <w:p>
      <w:pPr>
        <w:spacing w:after="160"/>
      </w:pPr>
      <w:r>
        <w:rPr>
          <w:i w:val="false"/>
          <w:iCs w:val="false"/>
        </w:rPr>
        <w:t xml:space="preserve">Die Reihenfolge der Gespräche ist bewusst gewählt: Executive Sponsors zuerst, da sie strategische Flughöhe und Rückendeckung für die Initiative geben – und häufig selbst weitere wichtige Gesprächspartner benennen.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Woche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Zielgruppe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Fokus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Woche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CDO/CIO/CTO, CRO, ggf. CFO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Strategische Standortbestimmung &amp; Legitimation der Initiative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Woche 2-3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Fachbereichsleiter, Compliance/Legal, IT/Data-Leads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Ist-Zustand, Pain Points, technische und regulatorische Basis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Woche 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Synthese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Rückspiegelung an Executive Sponsors, erster Diagnose-Report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3. Vorbereitung je Gespräch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Format: 45–60 Minuten, wo möglich 1:1 – in Einzelgesprächen sind Menschen offener über Pain Points und Politik.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Vorab-Notiz an den Gesprächspartner senden (Zweck, ungefähre Themen, Dauer).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Einheitliches Notiz-Template nutzen (siehe Anhang), damit die Synthese über alle Interviews konsistent bleibt.</w:t>
      </w:r>
    </w:p>
    <w:p>
      <w:pPr>
        <w:spacing w:after="100" w:before="120"/>
      </w:pPr>
      <w:r>
        <w:rPr>
          <w:b/>
          <w:bCs/>
          <w:sz w:val="20"/>
          <w:szCs w:val="20"/>
        </w:rPr>
        <w:t xml:space="preserve">Beispieltext für die Vorab-Notiz: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BFBFBF" w:sz="4"/>
              <w:left w:val="single" w:color="1F3864" w:sz="2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„Ich baue aktuell das zentrale AI Portfolio Management auf und möchte dazu ein kurzes Gespräch (ca. 45–60 Min.) mit Ihnen führen.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Es geht um Ihre Sicht auf den aktuellen Stand von KI-Anwendungen, Herausforderungen und Ihre Erwartungen an die neue Funktion.</w:t>
            </w:r>
          </w:p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Ich melde mich mit Terminvorschlägen – vielen Dank vorab für Ihre Zeit!“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4. Universelles Interview-Gerüst</w:t>
      </w:r>
    </w:p>
    <w:p>
      <w:pPr>
        <w:spacing w:after="160"/>
      </w:pPr>
      <w:r>
        <w:rPr>
          <w:i w:val="false"/>
          <w:iCs w:val="false"/>
        </w:rPr>
        <w:t xml:space="preserve">Dieses 5-Block-Gerüst gilt unabhängig von der Rolle des Gesprächspartners: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100"/>
        <w:gridCol w:w="5638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Block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Zeit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Ziel / Leitfrage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Kontext &amp; Rolle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Wie hängt die Person mit KI-Themen im Haus zusammen?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Ist-Zustand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 läuft heute, wie wird entschieden, wie sieht der Prozess aus?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Herausforderungen &amp; Risiken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 hakt es, was bereitet Sorgen?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Erwartungen &amp; Prioritäten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 erwartet die Person von der neuen Funktion?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Abschluss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Wen sollte ich noch sprechen? Was sollte ich tun/vermeiden?</w:t>
            </w:r>
          </w:p>
        </w:tc>
      </w:tr>
    </w:tbl>
    <w:p>
      <w:pPr>
        <w:spacing w:before="160"/>
      </w:pPr>
      <w:r>
        <w:rPr>
          <w:b/>
          <w:bCs/>
          <w:sz w:val="20"/>
          <w:szCs w:val="20"/>
        </w:rPr>
        <w:t xml:space="preserve">Hinweis: </w:t>
      </w:r>
      <w:r>
        <w:rPr>
          <w:sz w:val="20"/>
          <w:szCs w:val="20"/>
        </w:rPr>
        <w:t xml:space="preserve">Die beiden Abschlussfragen (Block 5) werden immer gestellt – sie liefern oft die ehrlichsten und nützlichsten Antworten des gesamten Gesprächs.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5. Rollenspezifische Fragenkataloge</w:t>
      </w:r>
    </w:p>
    <w:p>
      <w:pPr>
        <w:spacing w:after="160"/>
      </w:pPr>
      <w:r>
        <w:rPr>
          <w:i w:val="false"/>
          <w:iCs w:val="false"/>
        </w:rPr>
        <w:t xml:space="preserve">Die folgenden Fragen ergänzen das universelle Gerüst (insbesondere Block 2–4) und werden je nach Rolle des Gesprächspartners ausgewählt.</w:t>
      </w:r>
    </w:p>
    <w:p>
      <w:pPr>
        <w:pStyle w:val="Heading2"/>
        <w:spacing w:after="120" w:before="260"/>
      </w:pPr>
      <w:r>
        <w:rPr>
          <w:color w:val="1F3864"/>
        </w:rPr>
        <w:t xml:space="preserve">5.1 CDO / CIO / CTO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fügt sich eine zentrale AI-Portfolio-Funktion in die bestehende Daten-/KI-Strategie ein?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werden KI-Investitionen heute entschieden – wer gibt Budget frei, welcher Business-Case-Prozess existiert?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viele KI-Initiativen laufen vermutlich außerhalb des zentralen Inventars („Schatten-KI“)?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Welche Governance-Gremien gibt es bereits (KI-Ethikboard, Model-Risk-Committee, Architekturboard)?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reif ist die zugrundeliegende Daten-/Plattform-Landschaft (zentral vs. dezentral)?</w:t>
      </w:r>
    </w:p>
    <w:p>
      <w:pPr>
        <w:pStyle w:val="Heading2"/>
        <w:spacing w:after="120" w:before="260"/>
      </w:pPr>
      <w:r>
        <w:rPr>
          <w:color w:val="1F3864"/>
        </w:rPr>
        <w:t xml:space="preserve">5.2 CRO / Risikomanagement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Deckt das bestehende Model-Risk-Management KI/ML-Modelle bereits ab, oder ist das Neuland?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Gibt es schon eine Einschätzung, welche Anwendungen unter dem EU AI Act als Hochrisiko gelten (v. a. Risikobewertung/Pricing in Leben/Kranken)?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Welche KI-Anwendungen bereiten Ihnen aus Risikosicht aktuell am meisten Sorge?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ist die Zusammenarbeit zwischen Risk und den Fachbereichen bei neuen KI-Initiativen heute geregelt – wird Risk früh oder spät eingebunden?</w:t>
      </w:r>
    </w:p>
    <w:p>
      <w:pPr>
        <w:pStyle w:val="Heading2"/>
        <w:spacing w:after="120" w:before="260"/>
      </w:pPr>
      <w:r>
        <w:rPr>
          <w:color w:val="1F3864"/>
        </w:rPr>
        <w:t xml:space="preserve">5.3 Compliance / Legal / Datenschutz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wird DSGVO-Konformität bei KI-Anwendungen heute sichergestellt?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Existiert bereits eine Bestandsaufnahme/Klassifizierung nach EU-AI-Act-Risikokategorien?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sieht der aktuelle Freigabeprozess für neue KI-Anwendungen aus – gibt es überhaupt einen verbindlichen?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Welche regulatorischen Fristen oder Prüfungen stehen in den nächsten 12 Monaten an?</w:t>
      </w:r>
    </w:p>
    <w:p>
      <w:pPr>
        <w:pStyle w:val="Heading2"/>
        <w:spacing w:after="120" w:before="260"/>
      </w:pPr>
      <w:r>
        <w:rPr>
          <w:color w:val="1F3864"/>
        </w:rPr>
        <w:t xml:space="preserve">5.4 Fachbereichsleiter (Vertrieb, Underwriting, Schaden, Fraud, Aktuariat)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Welche KI-Anwendungen nutzen Sie heute tatsächlich in Ihrem Bereich? (Abgleich mit dem zentralen Inventar)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Wo sehen Sie den größten Wertbeitrag, wo die größte Frustration?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zufrieden sind Sie mit der Zusammenarbeit mit IT/Data bei der Entwicklung neuer Anwendungen?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Welche Initiative würden Sie gerne umsetzen, woran scheitert es aktuell – Budget, Kompetenzen, Priorisierung?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wird der Erfolg/Wertbeitrag heute gemessen, falls überhaupt?</w:t>
      </w:r>
    </w:p>
    <w:p>
      <w:pPr>
        <w:pStyle w:val="Heading2"/>
        <w:spacing w:after="120" w:before="260"/>
      </w:pPr>
      <w:r>
        <w:rPr>
          <w:color w:val="1F3864"/>
        </w:rPr>
        <w:t xml:space="preserve">5.5 IT / Data / Engineering-Leads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sieht die technische Architektur für KI-Deployment aus – eine zentrale Plattform oder Insellösungen je Fachbereich?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wird Modell-Monitoring und Retraining heute gehandhabt?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viele externe Vendors/Partner sind im Einsatz, und wie ist deren Governance geregelt?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Wie vollständig und aktuell ist das zentrale Inventar aus technischer Sicht – was fehlt typischerweise?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6. Nachbereitung &amp; Synthese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Pain-Point-Log parallel zu den Interviews führen und jede Beobachtung taggen: Governance, Daten, Technik, Kultur, Tooling.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Nach 10–15 Gesprächen wiederholen sich Muster meist deutlich – guter Checkpoint für eine informelle Rückspiegelung an die Executive Sponsors.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Diagnose-Report am Ende von Woche 4 auf Basis des Pain-Point-Logs und der Notizvorlagen erstellen.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color w:val="1F3864"/>
        </w:rPr>
        <w:t xml:space="preserve">Anhang: Interview-Notizvorlage</w:t>
      </w:r>
    </w:p>
    <w:p>
      <w:pPr>
        <w:spacing w:after="160"/>
      </w:pPr>
      <w:r>
        <w:rPr>
          <w:i w:val="false"/>
          <w:iCs w:val="false"/>
        </w:rPr>
        <w:t xml:space="preserve">Pro Gespräch eine Kopie dieser Vorlage ausfüllen – während oder direkt nach dem Interview.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Name des Gesprächspartners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Rolle / Bereich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Datum / Dauer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 Kontext &amp; Rolle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 Ist-Zustand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 Herausforderungen &amp; Risiken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 Erwartungen &amp; Prioritäten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 Abschluss: weitere Gesprächspartner, Do's/Don'ts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Pain-Point-Tags (Governance / Daten / Technik / Kultur / Tooling)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Seite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von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AI Portfolio Management – Interview-Leitfaden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2026-07-05T17:03:56.307Z</dcterms:created>
  <dcterms:modified xsi:type="dcterms:W3CDTF">2026-07-05T17:03:56.307Z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