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New visualizations :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 xml:space="preserve">Figure X: Residualization of GHQ and PSS </w:t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Figure X: Classification obtained with the naive approach for PSS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Figure X: Classification obtained with the confidence and prediction intervals approaches for PSS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Figure X: Classification obtained with the credibility interval approach for PSS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Figure X: Classification obtained with the standard deviation based approach for PSS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</w:rPr>
        <w:t>Figure X: Classification obtained with the k-means method for PSS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8"/>
          <w:szCs w:val="28"/>
        </w:rPr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</w:t>
      </w:r>
      <w:r>
        <w:rPr>
          <w:rFonts w:ascii="Arial" w:hAnsi="Arial"/>
          <w:sz w:val="24"/>
          <w:szCs w:val="24"/>
        </w:rPr>
        <w:t>X</w:t>
      </w:r>
      <w:r>
        <w:rPr>
          <w:rFonts w:ascii="Arial" w:hAnsi="Arial"/>
          <w:sz w:val="24"/>
          <w:szCs w:val="24"/>
        </w:rPr>
        <w:t xml:space="preserve">: </w:t>
      </w:r>
      <w:r>
        <w:rPr>
          <w:rFonts w:ascii="Arial" w:hAnsi="Arial"/>
          <w:sz w:val="24"/>
          <w:szCs w:val="24"/>
        </w:rPr>
        <w:t>Proportions of individuals in each category depending on the chosen PIP threshold for GHQ</w:t>
      </w:r>
      <w:r>
        <w:rPr>
          <w:rFonts w:ascii="Arial" w:hAnsi="Arial"/>
          <w:sz w:val="24"/>
          <w:szCs w:val="24"/>
        </w:rPr>
        <w:t>~</w:t>
      </w:r>
      <w:r>
        <w:rPr>
          <w:rFonts w:ascii="Arial" w:hAnsi="Arial"/>
          <w:sz w:val="24"/>
          <w:szCs w:val="24"/>
        </w:rPr>
        <w:t>PSS.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8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  <w:lang w:val="fr-FR"/>
        </w:rPr>
        <w:t xml:space="preserve">Figure </w:t>
      </w:r>
      <w:r>
        <w:rPr>
          <w:rFonts w:ascii="Arial" w:hAnsi="Arial"/>
          <w:sz w:val="24"/>
          <w:szCs w:val="24"/>
          <w:lang w:val="fr-FR"/>
        </w:rPr>
        <w:t>X</w:t>
      </w:r>
      <w:r>
        <w:rPr>
          <w:rFonts w:ascii="Arial" w:hAnsi="Arial"/>
          <w:sz w:val="24"/>
          <w:szCs w:val="24"/>
          <w:lang w:val="fr-FR"/>
        </w:rPr>
        <w:t xml:space="preserve">: </w:t>
      </w:r>
      <w:r>
        <w:rPr>
          <w:rFonts w:ascii="Arial" w:hAnsi="Arial"/>
          <w:sz w:val="24"/>
          <w:szCs w:val="24"/>
        </w:rPr>
        <w:t>Evolution of the mean residuals for each group using different thresholds to build the groups for PSS</w:t>
      </w:r>
      <w:r>
        <w:br w:type="page"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Table presenting the approaches</w:t>
      </w:r>
    </w:p>
    <w:tbl>
      <w:tblPr>
        <w:tblW w:w="9939" w:type="dxa"/>
        <w:jc w:val="righ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58"/>
        <w:gridCol w:w="4459"/>
        <w:gridCol w:w="3322"/>
      </w:tblGrid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Approach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Description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Strictness </w:t>
            </w:r>
            <w:r>
              <w:rPr>
                <w:rFonts w:ascii="Arial" w:hAnsi="Arial"/>
              </w:rPr>
              <w:t>(average group size)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Naive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Non-zero residuals = non-average.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Very strict, almost no average group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Confidence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Outside confidence interval of residuals = non-average. (Interval for mean estimate)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Strict, narrow interval, small average group, </w:t>
            </w:r>
            <w:r>
              <w:rPr>
                <w:rFonts w:ascii="Arial" w:hAnsi="Arial"/>
              </w:rPr>
              <w:t>but</w:t>
            </w:r>
            <w:r>
              <w:rPr>
                <w:rFonts w:ascii="Arial" w:hAnsi="Arial"/>
              </w:rPr>
              <w:t xml:space="preserve"> depends on chosen %.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Prediction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Outside prediction interval of residuals = non-average. (Interval for new observation) 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Moderate, wider than confidence intervals,  </w:t>
            </w:r>
            <w:r>
              <w:rPr>
                <w:rFonts w:ascii="Arial" w:hAnsi="Arial"/>
              </w:rPr>
              <w:t xml:space="preserve">but </w:t>
            </w:r>
            <w:r>
              <w:rPr>
                <w:rFonts w:ascii="Arial" w:hAnsi="Arial"/>
              </w:rPr>
              <w:t>depends on chosen %.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Credibility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Bayesian equivalent of confidence interval.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Strict, narrow interval, small average group, </w:t>
            </w:r>
            <w:r>
              <w:rPr>
                <w:rFonts w:ascii="Arial" w:hAnsi="Arial"/>
              </w:rPr>
              <w:t xml:space="preserve">but </w:t>
            </w:r>
            <w:r>
              <w:rPr>
                <w:rFonts w:ascii="Arial" w:hAnsi="Arial"/>
              </w:rPr>
              <w:t xml:space="preserve">depends on </w:t>
            </w:r>
            <w:r>
              <w:rPr>
                <w:rFonts w:ascii="Arial" w:hAnsi="Arial"/>
              </w:rPr>
              <w:t xml:space="preserve">chosen </w:t>
            </w:r>
            <w:r>
              <w:rPr>
                <w:rFonts w:ascii="Arial" w:hAnsi="Arial"/>
              </w:rPr>
              <w:t>%.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Quantiles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Outside n% - (100–n)% quantile range = non-average.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Flexible, smaller n implies larger average group.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Standard-deviation</w:t>
            </w:r>
          </w:p>
        </w:tc>
        <w:tc>
          <w:tcPr>
            <w:tcW w:w="4459" w:type="dxa"/>
            <w:tcBorders/>
          </w:tcPr>
          <w:p>
            <w:pPr>
              <w:pStyle w:val="Normal"/>
              <w:bidi w:val="0"/>
              <w:spacing w:lineRule="auto" w:line="276" w:before="0" w:after="0"/>
              <w:jc w:val="left"/>
              <w:rPr>
                <w:rFonts w:ascii="Arial" w:hAnsi="Arial"/>
                <w:sz w:val="24"/>
                <w:szCs w:val="24"/>
              </w:rPr>
            </w:pPr>
            <w:r>
              <w:rPr>
                <w:rFonts w:ascii="Arial" w:hAnsi="Arial"/>
                <w:sz w:val="24"/>
                <w:szCs w:val="24"/>
              </w:rPr>
              <w:t xml:space="preserve">Residuals beyond </w:t>
            </w:r>
            <w:r>
              <w:rPr>
                <w:rFonts w:ascii="Arial" w:hAnsi="Arial"/>
                <w:sz w:val="24"/>
                <w:szCs w:val="24"/>
              </w:rPr>
              <w:t>multiple</w:t>
            </w:r>
            <w:r>
              <w:rPr>
                <w:rFonts w:ascii="Arial" w:hAnsi="Arial"/>
                <w:sz w:val="24"/>
                <w:szCs w:val="24"/>
              </w:rPr>
              <w:t xml:space="preserve"> × SD within adversity group = non-average.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Flexible, larger multiple implies larger average group.</w:t>
            </w:r>
          </w:p>
        </w:tc>
      </w:tr>
      <w:tr>
        <w:trPr/>
        <w:tc>
          <w:tcPr>
            <w:tcW w:w="2158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K-means</w:t>
            </w:r>
          </w:p>
        </w:tc>
        <w:tc>
          <w:tcPr>
            <w:tcW w:w="4459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Cluster residuals into 3 groups using k-means.</w:t>
            </w:r>
          </w:p>
        </w:tc>
        <w:tc>
          <w:tcPr>
            <w:tcW w:w="3322" w:type="dxa"/>
            <w:tcBorders/>
          </w:tcPr>
          <w:p>
            <w:pPr>
              <w:pStyle w:val="Contenudetableau"/>
              <w:bidi w:val="0"/>
              <w:jc w:val="left"/>
              <w:rPr>
                <w:rFonts w:ascii="Arial" w:hAnsi="Arial"/>
              </w:rPr>
            </w:pPr>
            <w:r>
              <w:rPr>
                <w:rFonts w:ascii="Arial" w:hAnsi="Arial"/>
              </w:rPr>
              <w:t>Variable, depends on data structure.</w:t>
            </w:r>
          </w:p>
        </w:tc>
      </w:tr>
    </w:tbl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Table X: Concise description of all approaches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  <w:r>
        <w:br w:type="page"/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  <w:t>Longitudinal analysis: evaluation of predictive relevance</w:t>
      </w:r>
    </w:p>
    <w:p>
      <w:pPr>
        <w:pStyle w:val="Normal"/>
        <w:bidi w:val="0"/>
        <w:jc w:val="left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Information</w:t>
      </w:r>
      <w:r>
        <w:rPr>
          <w:rFonts w:ascii="Arial" w:hAnsi="Arial"/>
          <w:sz w:val="24"/>
          <w:szCs w:val="24"/>
        </w:rPr>
        <w:t>s</w:t>
      </w:r>
      <w:r>
        <w:rPr>
          <w:rFonts w:ascii="Arial" w:hAnsi="Arial"/>
          <w:sz w:val="24"/>
          <w:szCs w:val="24"/>
        </w:rPr>
        <w:t>: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- Only 515 individuals present for the first 12 weeks and having less than 30% of missing data </w:t>
      </w:r>
      <w:r>
        <w:rPr>
          <w:rFonts w:ascii="Arial" w:hAnsi="Arial"/>
          <w:sz w:val="24"/>
          <w:szCs w:val="24"/>
        </w:rPr>
        <w:t>for the predictive variables.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- </w:t>
      </w:r>
      <w:r>
        <w:rPr>
          <w:rFonts w:ascii="Arial" w:hAnsi="Arial"/>
          <w:sz w:val="24"/>
          <w:szCs w:val="24"/>
        </w:rPr>
        <w:t>Redid the spike and slab on that sample.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- </w:t>
      </w:r>
      <w:r>
        <w:rPr>
          <w:rFonts w:ascii="Arial" w:hAnsi="Arial"/>
          <w:sz w:val="24"/>
          <w:szCs w:val="24"/>
        </w:rPr>
        <w:t>Same predictive variables as for the cross-sectional analysis.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 xml:space="preserve">- Did the exact same thing as for the cross-sectional part: missForest for missing data, VIF variable selection, </w:t>
      </w:r>
      <w:r>
        <w:rPr>
          <w:rFonts w:ascii="Arial" w:hAnsi="Arial"/>
          <w:sz w:val="24"/>
          <w:szCs w:val="24"/>
        </w:rPr>
        <w:t>10 folds cross-validation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 PSS, the average group becomes dominant when the PIP threshold is &gt;= 0.35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 DH, the average group becomes dominant when the PIP threshold is &gt;=0.4</w:t>
      </w:r>
    </w:p>
    <w:p>
      <w:pPr>
        <w:pStyle w:val="Normal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bidi w:val="0"/>
        <w:spacing w:lineRule="auto" w:line="276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Sums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9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X : </w:t>
      </w:r>
      <w:r>
        <w:rPr>
          <w:rFonts w:ascii="Arial" w:hAnsi="Arial"/>
          <w:sz w:val="24"/>
          <w:szCs w:val="24"/>
        </w:rPr>
        <w:t xml:space="preserve">Evolution of the mean accuracy of the classifiers and the accuracy of the null model as a function of the average group size for DH </w:t>
      </w:r>
      <w:r>
        <w:rPr>
          <w:rFonts w:ascii="Arial" w:hAnsi="Arial"/>
          <w:sz w:val="24"/>
          <w:szCs w:val="24"/>
        </w:rPr>
        <w:t>with sums and subscales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Figure X :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4"/>
          <w:szCs w:val="24"/>
        </w:rPr>
        <w:t xml:space="preserve">Recall and precision of classifiers </w:t>
      </w:r>
      <w:r>
        <w:rPr>
          <w:rFonts w:ascii="Arial" w:hAnsi="Arial"/>
          <w:sz w:val="24"/>
          <w:szCs w:val="24"/>
        </w:rPr>
        <w:t>for DH with sums and subscales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617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X : </w:t>
      </w:r>
      <w:r>
        <w:rPr>
          <w:rFonts w:ascii="Arial" w:hAnsi="Arial"/>
          <w:sz w:val="24"/>
          <w:szCs w:val="24"/>
        </w:rPr>
        <w:t xml:space="preserve">Evolution of the mean accuracy of the classifiers and the accuracy of the null model as a function of the average group size for </w:t>
      </w:r>
      <w:r>
        <w:rPr>
          <w:rFonts w:ascii="Arial" w:hAnsi="Arial"/>
          <w:sz w:val="24"/>
          <w:szCs w:val="24"/>
        </w:rPr>
        <w:t>PSS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with sums and subscales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744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Figure X :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4"/>
          <w:szCs w:val="24"/>
        </w:rPr>
        <w:t xml:space="preserve">Recall and precision of classifiers </w:t>
      </w:r>
      <w:r>
        <w:rPr>
          <w:rFonts w:ascii="Arial" w:hAnsi="Arial"/>
          <w:sz w:val="24"/>
          <w:szCs w:val="24"/>
        </w:rPr>
        <w:t>for PSS with sums and subscales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Items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7440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X : </w:t>
      </w:r>
      <w:r>
        <w:rPr>
          <w:rFonts w:ascii="Arial" w:hAnsi="Arial"/>
          <w:sz w:val="24"/>
          <w:szCs w:val="24"/>
        </w:rPr>
        <w:t xml:space="preserve">Evolution of the mean accuracy of the classifiers and the accuracy of the null model as a function of the average group size for DH </w:t>
      </w:r>
      <w:r>
        <w:rPr>
          <w:rFonts w:ascii="Arial" w:hAnsi="Arial"/>
          <w:sz w:val="24"/>
          <w:szCs w:val="24"/>
        </w:rPr>
        <w:t>with items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7440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>Figure X :</w:t>
      </w:r>
      <w:r>
        <w:rPr>
          <w:rFonts w:ascii="Arial" w:hAnsi="Arial"/>
          <w:sz w:val="28"/>
          <w:szCs w:val="28"/>
        </w:rPr>
        <w:t xml:space="preserve"> </w:t>
      </w:r>
      <w:r>
        <w:rPr>
          <w:rFonts w:ascii="Arial" w:hAnsi="Arial"/>
          <w:sz w:val="24"/>
          <w:szCs w:val="24"/>
        </w:rPr>
        <w:t xml:space="preserve">Recall and precision of classifiers </w:t>
      </w:r>
      <w:r>
        <w:rPr>
          <w:rFonts w:ascii="Arial" w:hAnsi="Arial"/>
          <w:sz w:val="24"/>
          <w:szCs w:val="24"/>
        </w:rPr>
        <w:t>for DH with items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7440"/>
            <wp:effectExtent l="0" t="0" r="0" b="0"/>
            <wp:wrapSquare wrapText="largest"/>
            <wp:docPr id="15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X : </w:t>
      </w:r>
      <w:r>
        <w:rPr>
          <w:rFonts w:ascii="Arial" w:hAnsi="Arial"/>
          <w:sz w:val="24"/>
          <w:szCs w:val="24"/>
        </w:rPr>
        <w:t xml:space="preserve">Evolution of the mean accuracy of the classifiers and the accuracy of the null model as a function of the average group size for </w:t>
      </w:r>
      <w:r>
        <w:rPr>
          <w:rFonts w:ascii="Arial" w:hAnsi="Arial"/>
          <w:sz w:val="24"/>
          <w:szCs w:val="24"/>
        </w:rPr>
        <w:t>PSS</w:t>
      </w:r>
      <w:r>
        <w:rPr>
          <w:rFonts w:ascii="Arial" w:hAnsi="Arial"/>
          <w:sz w:val="24"/>
          <w:szCs w:val="24"/>
        </w:rPr>
        <w:t xml:space="preserve"> </w:t>
      </w:r>
      <w:r>
        <w:rPr>
          <w:rFonts w:ascii="Arial" w:hAnsi="Arial"/>
          <w:sz w:val="24"/>
          <w:szCs w:val="24"/>
        </w:rPr>
        <w:t>with items as predictors</w:t>
      </w:r>
    </w:p>
    <w:p>
      <w:pPr>
        <w:pStyle w:val="BodyText"/>
        <w:bidi w:val="0"/>
        <w:spacing w:lineRule="auto" w:line="276"/>
        <w:jc w:val="left"/>
        <w:rPr>
          <w:rFonts w:ascii="Arial" w:hAnsi="Arial"/>
          <w:sz w:val="24"/>
          <w:szCs w:val="24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647440"/>
            <wp:effectExtent l="0" t="0" r="0" b="0"/>
            <wp:wrapSquare wrapText="largest"/>
            <wp:docPr id="16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64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sz w:val="24"/>
          <w:szCs w:val="24"/>
        </w:rPr>
        <w:t xml:space="preserve">Figure X : </w:t>
      </w:r>
      <w:r>
        <w:rPr>
          <w:rFonts w:ascii="Arial" w:hAnsi="Arial"/>
          <w:sz w:val="24"/>
          <w:szCs w:val="24"/>
        </w:rPr>
        <w:t xml:space="preserve">Recall and precision of classifiers </w:t>
      </w:r>
      <w:r>
        <w:rPr>
          <w:rFonts w:ascii="Arial" w:hAnsi="Arial"/>
          <w:sz w:val="24"/>
          <w:szCs w:val="24"/>
        </w:rPr>
        <w:t>for PSS with items as predictors</w:t>
      </w:r>
    </w:p>
    <w:p>
      <w:pPr>
        <w:pStyle w:val="BodyText"/>
        <w:bidi w:val="0"/>
        <w:spacing w:lineRule="auto" w:line="276" w:before="0" w:after="14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US" w:eastAsia="zh-CN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Tahoma"/>
      <w:color w:val="auto"/>
      <w:kern w:val="2"/>
      <w:sz w:val="24"/>
      <w:szCs w:val="24"/>
      <w:lang w:val="en-US" w:eastAsia="zh-CN" w:bidi="zxx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LibreOffice/25.2.5.2$Windows_X86_64 LibreOffice_project/03d19516eb2e1dd5d4ccd751a0d6f35f35e08022</Application>
  <AppVersion>15.0000</AppVersion>
  <Pages>10</Pages>
  <Words>528</Words>
  <Characters>2817</Characters>
  <CharactersWithSpaces>3294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2025-07-22T16:34:16Z</dcterms:created>
  <dc:creator/>
  <dc:description/>
  <dc:language>en-US</dc:language>
  <cp:lastModifiedBy/>
  <dcterms:modified xsi:type="dcterms:W3CDTF">2025-07-23T14:40:39Z</dcterms:modified>
  <cp:revision>13</cp:revision>
  <dc:subject/>
  <dc:title/>
</cp:coreProperties>
</file>