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DE95C" w14:textId="77777777" w:rsidR="00CA5FD8" w:rsidRPr="00CA5FD8" w:rsidRDefault="00CA5FD8" w:rsidP="00CA5FD8">
      <w:r w:rsidRPr="00CA5FD8">
        <w:t>Unit 5 – Case study</w:t>
      </w:r>
    </w:p>
    <w:p w14:paraId="31DE505B" w14:textId="77777777" w:rsidR="00CA5FD8" w:rsidRPr="00CA5FD8" w:rsidRDefault="00CA5FD8" w:rsidP="00CA5FD8">
      <w:r w:rsidRPr="00CA5FD8">
        <w:rPr>
          <w:rFonts w:hint="cs"/>
          <w:rtl/>
          <w:lang w:bidi="ar-QA"/>
        </w:rPr>
        <w:t> </w:t>
      </w:r>
    </w:p>
    <w:p w14:paraId="38BD760C" w14:textId="77777777" w:rsidR="00CA5FD8" w:rsidRPr="00CA5FD8" w:rsidRDefault="00CA5FD8" w:rsidP="00CA5FD8">
      <w:r w:rsidRPr="00CA5FD8">
        <w:t>Netflix uses Data Science to analyze user behavior and deliver highly personalized recommendations. It collects data such as watch history, viewing time, and user preferences, which are processed using machine learning algorithms to predict what users are likely to watch next. For example, if a user frequently watches action movies, Netflix will recommend similar content. This is beneficial for business because personalized recommendations keep users engaged for longer periods and reduce the likelihood of subscription cancellation (Gomez-Uribe and Hunt, 2015).</w:t>
      </w:r>
    </w:p>
    <w:p w14:paraId="57666CAB" w14:textId="77777777" w:rsidR="00CA5FD8" w:rsidRPr="00CA5FD8" w:rsidRDefault="00CA5FD8" w:rsidP="00CA5FD8">
      <w:r w:rsidRPr="00CA5FD8">
        <w:t>To support this system, Netflix relies on cloud computing services such as Amazon Web Services and NoSQL databases like Apache Cassandra. These technologies allow Netflix to manage large volumes of both structured and unstructured data efficiently. In addition, cloud-based infrastructure enables scalability and low-latency performance, which is essential for delivering content to millions of users worldwide. This highlights how modern data storage solutions directly impact service quality and user experience (Hashem et al., 2015).</w:t>
      </w:r>
    </w:p>
    <w:p w14:paraId="0F63D2D0" w14:textId="77777777" w:rsidR="00CA5FD8" w:rsidRPr="00CA5FD8" w:rsidRDefault="00CA5FD8" w:rsidP="00CA5FD8">
      <w:r w:rsidRPr="00CA5FD8">
        <w:t>NoSQL databases are more suitable than traditional SQL systems in this context because they provide flexibility and scalability. Unlike SQL, which requires a fixed schema, NoSQL can handle dynamic and rapidly changing data such as user activity. Furthermore, horizontal scaling allows Netflix to expand its infrastructure easier to meet increasing demand. This suggests that choosing the right database model is a critical factor in supporting large-scale digital platforms (Cattell, 2011).</w:t>
      </w:r>
    </w:p>
    <w:p w14:paraId="039B1E41" w14:textId="77777777" w:rsidR="00CA5FD8" w:rsidRPr="00CA5FD8" w:rsidRDefault="00CA5FD8" w:rsidP="00CA5FD8">
      <w:r w:rsidRPr="00CA5FD8">
        <w:t>However, relying heavily on user data also raises important privacy and ethical concerns. Netflix collects detailed behavioral data, which may affect user trust if not managed carefully. Therefore, compliance with regulations such as General Data Protection Regulation is essential to ensure data protection and transparency. Additionally, recommendation systems may create a “filter bubble,” limiting content diversity and potentially shaping user preferences in a narrow way (Voigt and Von dem Bussche, 2017).</w:t>
      </w:r>
    </w:p>
    <w:p w14:paraId="70E448ED" w14:textId="77777777" w:rsidR="00CA5FD8" w:rsidRPr="00CA5FD8" w:rsidRDefault="00CA5FD8" w:rsidP="00CA5FD8">
      <w:r w:rsidRPr="00CA5FD8">
        <w:t>In conclusion, Netflix effectively uses Data Science and advanced storage technologies to enhance user experience, but long-term success depends on balancing technological innovation with ethical and legal responsibilities.</w:t>
      </w:r>
    </w:p>
    <w:p w14:paraId="00CE9779" w14:textId="77777777" w:rsidR="00CA5FD8" w:rsidRPr="00CA5FD8" w:rsidRDefault="00CA5FD8" w:rsidP="00CA5FD8">
      <w:r w:rsidRPr="00CA5FD8">
        <w:t> </w:t>
      </w:r>
    </w:p>
    <w:p w14:paraId="1095BBAD" w14:textId="77777777" w:rsidR="00CA5FD8" w:rsidRPr="00CA5FD8" w:rsidRDefault="00CA5FD8" w:rsidP="00CA5FD8">
      <w:r w:rsidRPr="00CA5FD8">
        <w:t> </w:t>
      </w:r>
    </w:p>
    <w:p w14:paraId="5B4D9099" w14:textId="77777777" w:rsidR="00CA5FD8" w:rsidRPr="00CA5FD8" w:rsidRDefault="00CA5FD8" w:rsidP="00CA5FD8">
      <w:r w:rsidRPr="00CA5FD8">
        <w:lastRenderedPageBreak/>
        <w:t> </w:t>
      </w:r>
    </w:p>
    <w:p w14:paraId="49B11E20" w14:textId="77777777" w:rsidR="00CA5FD8" w:rsidRPr="00CA5FD8" w:rsidRDefault="00CA5FD8" w:rsidP="00CA5FD8">
      <w:r w:rsidRPr="00CA5FD8">
        <w:rPr>
          <w:b/>
          <w:bCs/>
        </w:rPr>
        <w:t> </w:t>
      </w:r>
    </w:p>
    <w:p w14:paraId="2ADDA05F" w14:textId="77777777" w:rsidR="00CA5FD8" w:rsidRPr="00CA5FD8" w:rsidRDefault="00CA5FD8" w:rsidP="00CA5FD8">
      <w:r w:rsidRPr="00CA5FD8">
        <w:rPr>
          <w:b/>
          <w:bCs/>
        </w:rPr>
        <w:t>References,</w:t>
      </w:r>
    </w:p>
    <w:p w14:paraId="135E21D3" w14:textId="77777777" w:rsidR="00CA5FD8" w:rsidRPr="00CA5FD8" w:rsidRDefault="00CA5FD8" w:rsidP="00CA5FD8">
      <w:r w:rsidRPr="00CA5FD8">
        <w:t>Gomez-Uribe, C.A. and Hunt, N. (2015) </w:t>
      </w:r>
      <w:r w:rsidRPr="00CA5FD8">
        <w:rPr>
          <w:i/>
          <w:iCs/>
        </w:rPr>
        <w:t>The Netflix Recommender System: Algorithms, Business Value, and Innovation.</w:t>
      </w:r>
      <w:r w:rsidRPr="00CA5FD8">
        <w:t> ACM Transactions on Management Information Systems, 6(4), pp. 1–19.</w:t>
      </w:r>
    </w:p>
    <w:p w14:paraId="1D444FCE" w14:textId="77777777" w:rsidR="00CA5FD8" w:rsidRPr="00CA5FD8" w:rsidRDefault="00CA5FD8" w:rsidP="00CA5FD8">
      <w:r w:rsidRPr="00CA5FD8">
        <w:t>Hashem, I.A.T. et al. (2015) </w:t>
      </w:r>
      <w:r w:rsidRPr="00CA5FD8">
        <w:rPr>
          <w:i/>
          <w:iCs/>
        </w:rPr>
        <w:t>The rise of “big data” on cloud computing: Review and open research issues.</w:t>
      </w:r>
      <w:r w:rsidRPr="00CA5FD8">
        <w:t> Information Systems, 47, pp. 98–115.</w:t>
      </w:r>
    </w:p>
    <w:p w14:paraId="60B6557F" w14:textId="77777777" w:rsidR="00CA5FD8" w:rsidRPr="00CA5FD8" w:rsidRDefault="00CA5FD8" w:rsidP="00CA5FD8">
      <w:r w:rsidRPr="00CA5FD8">
        <w:t>Cattell, R. (2011) </w:t>
      </w:r>
      <w:r w:rsidRPr="00CA5FD8">
        <w:rPr>
          <w:i/>
          <w:iCs/>
        </w:rPr>
        <w:t>Scalable SQL and NoSQL data stores.</w:t>
      </w:r>
      <w:r w:rsidRPr="00CA5FD8">
        <w:t> ACM SIGMOD Record, 39(4), pp. 12–27.</w:t>
      </w:r>
    </w:p>
    <w:p w14:paraId="4DFAC3CD" w14:textId="77777777" w:rsidR="00CA5FD8" w:rsidRPr="00CA5FD8" w:rsidRDefault="00CA5FD8" w:rsidP="00CA5FD8">
      <w:r w:rsidRPr="00CA5FD8">
        <w:t>Voigt, P. and Von dem Bussche, A. (2017) </w:t>
      </w:r>
      <w:r w:rsidRPr="00CA5FD8">
        <w:rPr>
          <w:i/>
          <w:iCs/>
        </w:rPr>
        <w:t>The EU General Data Protection Regulation (GDPR): A Practical Guide.</w:t>
      </w:r>
      <w:r w:rsidRPr="00CA5FD8">
        <w:t> Cham: Springer.</w:t>
      </w:r>
    </w:p>
    <w:p w14:paraId="08E97256" w14:textId="77777777" w:rsidR="00D07CE4" w:rsidRDefault="00D07CE4"/>
    <w:sectPr w:rsidR="00D07CE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06200" w14:textId="77777777" w:rsidR="006D162F" w:rsidRDefault="006D162F" w:rsidP="00CA5FD8">
      <w:pPr>
        <w:spacing w:after="0" w:line="240" w:lineRule="auto"/>
      </w:pPr>
      <w:r>
        <w:separator/>
      </w:r>
    </w:p>
  </w:endnote>
  <w:endnote w:type="continuationSeparator" w:id="0">
    <w:p w14:paraId="553DECC4" w14:textId="77777777" w:rsidR="006D162F" w:rsidRDefault="006D162F" w:rsidP="00CA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F74FD" w14:textId="77777777" w:rsidR="006D162F" w:rsidRDefault="006D162F" w:rsidP="00CA5FD8">
      <w:pPr>
        <w:spacing w:after="0" w:line="240" w:lineRule="auto"/>
      </w:pPr>
      <w:r>
        <w:separator/>
      </w:r>
    </w:p>
  </w:footnote>
  <w:footnote w:type="continuationSeparator" w:id="0">
    <w:p w14:paraId="34F60408" w14:textId="77777777" w:rsidR="006D162F" w:rsidRDefault="006D162F" w:rsidP="00CA5F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D8"/>
    <w:rsid w:val="001C77DF"/>
    <w:rsid w:val="00207D1C"/>
    <w:rsid w:val="006D162F"/>
    <w:rsid w:val="00990336"/>
    <w:rsid w:val="00CA5FD8"/>
    <w:rsid w:val="00D07C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66EAF"/>
  <w15:chartTrackingRefBased/>
  <w15:docId w15:val="{1CED5B34-57FC-4830-A3F6-137D6D23B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FD8"/>
    <w:rPr>
      <w:rFonts w:eastAsiaTheme="majorEastAsia" w:cstheme="majorBidi"/>
      <w:color w:val="272727" w:themeColor="text1" w:themeTint="D8"/>
    </w:rPr>
  </w:style>
  <w:style w:type="paragraph" w:styleId="Title">
    <w:name w:val="Title"/>
    <w:basedOn w:val="Normal"/>
    <w:next w:val="Normal"/>
    <w:link w:val="TitleChar"/>
    <w:uiPriority w:val="10"/>
    <w:qFormat/>
    <w:rsid w:val="00CA5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FD8"/>
    <w:pPr>
      <w:spacing w:before="160"/>
      <w:jc w:val="center"/>
    </w:pPr>
    <w:rPr>
      <w:i/>
      <w:iCs/>
      <w:color w:val="404040" w:themeColor="text1" w:themeTint="BF"/>
    </w:rPr>
  </w:style>
  <w:style w:type="character" w:customStyle="1" w:styleId="QuoteChar">
    <w:name w:val="Quote Char"/>
    <w:basedOn w:val="DefaultParagraphFont"/>
    <w:link w:val="Quote"/>
    <w:uiPriority w:val="29"/>
    <w:rsid w:val="00CA5FD8"/>
    <w:rPr>
      <w:i/>
      <w:iCs/>
      <w:color w:val="404040" w:themeColor="text1" w:themeTint="BF"/>
    </w:rPr>
  </w:style>
  <w:style w:type="paragraph" w:styleId="ListParagraph">
    <w:name w:val="List Paragraph"/>
    <w:basedOn w:val="Normal"/>
    <w:uiPriority w:val="34"/>
    <w:qFormat/>
    <w:rsid w:val="00CA5FD8"/>
    <w:pPr>
      <w:ind w:left="720"/>
      <w:contextualSpacing/>
    </w:pPr>
  </w:style>
  <w:style w:type="character" w:styleId="IntenseEmphasis">
    <w:name w:val="Intense Emphasis"/>
    <w:basedOn w:val="DefaultParagraphFont"/>
    <w:uiPriority w:val="21"/>
    <w:qFormat/>
    <w:rsid w:val="00CA5FD8"/>
    <w:rPr>
      <w:i/>
      <w:iCs/>
      <w:color w:val="0F4761" w:themeColor="accent1" w:themeShade="BF"/>
    </w:rPr>
  </w:style>
  <w:style w:type="paragraph" w:styleId="IntenseQuote">
    <w:name w:val="Intense Quote"/>
    <w:basedOn w:val="Normal"/>
    <w:next w:val="Normal"/>
    <w:link w:val="IntenseQuoteChar"/>
    <w:uiPriority w:val="30"/>
    <w:qFormat/>
    <w:rsid w:val="00CA5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FD8"/>
    <w:rPr>
      <w:i/>
      <w:iCs/>
      <w:color w:val="0F4761" w:themeColor="accent1" w:themeShade="BF"/>
    </w:rPr>
  </w:style>
  <w:style w:type="character" w:styleId="IntenseReference">
    <w:name w:val="Intense Reference"/>
    <w:basedOn w:val="DefaultParagraphFont"/>
    <w:uiPriority w:val="32"/>
    <w:qFormat/>
    <w:rsid w:val="00CA5FD8"/>
    <w:rPr>
      <w:b/>
      <w:bCs/>
      <w:smallCaps/>
      <w:color w:val="0F4761" w:themeColor="accent1" w:themeShade="BF"/>
      <w:spacing w:val="5"/>
    </w:rPr>
  </w:style>
  <w:style w:type="paragraph" w:styleId="Header">
    <w:name w:val="header"/>
    <w:basedOn w:val="Normal"/>
    <w:link w:val="HeaderChar"/>
    <w:uiPriority w:val="99"/>
    <w:unhideWhenUsed/>
    <w:rsid w:val="00CA5FD8"/>
    <w:pPr>
      <w:tabs>
        <w:tab w:val="center" w:pos="4320"/>
        <w:tab w:val="right" w:pos="8640"/>
      </w:tabs>
      <w:spacing w:after="0" w:line="240" w:lineRule="auto"/>
    </w:pPr>
  </w:style>
  <w:style w:type="character" w:customStyle="1" w:styleId="HeaderChar">
    <w:name w:val="Header Char"/>
    <w:basedOn w:val="DefaultParagraphFont"/>
    <w:link w:val="Header"/>
    <w:uiPriority w:val="99"/>
    <w:rsid w:val="00CA5FD8"/>
  </w:style>
  <w:style w:type="paragraph" w:styleId="Footer">
    <w:name w:val="footer"/>
    <w:basedOn w:val="Normal"/>
    <w:link w:val="FooterChar"/>
    <w:uiPriority w:val="99"/>
    <w:unhideWhenUsed/>
    <w:rsid w:val="00CA5FD8"/>
    <w:pPr>
      <w:tabs>
        <w:tab w:val="center" w:pos="4320"/>
        <w:tab w:val="right" w:pos="8640"/>
      </w:tabs>
      <w:spacing w:after="0" w:line="240" w:lineRule="auto"/>
    </w:pPr>
  </w:style>
  <w:style w:type="character" w:customStyle="1" w:styleId="FooterChar">
    <w:name w:val="Footer Char"/>
    <w:basedOn w:val="DefaultParagraphFont"/>
    <w:link w:val="Footer"/>
    <w:uiPriority w:val="99"/>
    <w:rsid w:val="00CA5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1184768">
      <w:bodyDiv w:val="1"/>
      <w:marLeft w:val="0"/>
      <w:marRight w:val="0"/>
      <w:marTop w:val="0"/>
      <w:marBottom w:val="0"/>
      <w:divBdr>
        <w:top w:val="none" w:sz="0" w:space="0" w:color="auto"/>
        <w:left w:val="none" w:sz="0" w:space="0" w:color="auto"/>
        <w:bottom w:val="none" w:sz="0" w:space="0" w:color="auto"/>
        <w:right w:val="none" w:sz="0" w:space="0" w:color="auto"/>
      </w:divBdr>
    </w:div>
    <w:div w:id="131919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5bc6518d-5b46-4b84-b25d-10ff01fec322" origin="defaultValue">
  <element uid="184012ea-d81c-407a-9260-4deada1aab73" value=""/>
</sisl>
</file>

<file path=customXml/itemProps1.xml><?xml version="1.0" encoding="utf-8"?>
<ds:datastoreItem xmlns:ds="http://schemas.openxmlformats.org/officeDocument/2006/customXml" ds:itemID="{E17A27AB-BB57-474B-9ADD-C2EDC26B3A8A}">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2481</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Ali M H Al Obaidly</dc:creator>
  <cp:keywords/>
  <dc:description/>
  <cp:lastModifiedBy>Mariam Ali M H Al Obaidly</cp:lastModifiedBy>
  <cp:revision>1</cp:revision>
  <dcterms:created xsi:type="dcterms:W3CDTF">2026-04-28T08:09:00Z</dcterms:created>
  <dcterms:modified xsi:type="dcterms:W3CDTF">2026-04-28T08:09:00Z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e334b4fa-21be-4be7-b006-9c1961b6f60a</vt:lpwstr>
  </property>
  <property fmtid="{D5CDD505-2E9C-101B-9397-08002B2CF9AE}" pid="3" name="bjDocumentLabelXML">
    <vt:lpwstr>&lt;?xml version="1.0" encoding="us-ascii"?&gt;&lt;sisl xmlns:xsd="http://www.w3.org/2001/XMLSchema" xmlns:xsi="http://www.w3.org/2001/XMLSchema-instance" sislVersion="0" policy="5bc6518d-5b46-4b84-b25d-10ff01fec322" origin="defaultValue" xmlns="http://www.boldonj</vt:lpwstr>
  </property>
  <property fmtid="{D5CDD505-2E9C-101B-9397-08002B2CF9AE}" pid="4" name="bjDocumentLabelXML-0">
    <vt:lpwstr>ames.com/2008/01/sie/internal/label"&gt;&lt;element uid="184012ea-d81c-407a-9260-4deada1aab73" value="" /&gt;&lt;/sisl&gt;</vt:lpwstr>
  </property>
  <property fmtid="{D5CDD505-2E9C-101B-9397-08002B2CF9AE}" pid="5" name="bjDocumentSecurityLabel">
    <vt:lpwstr>Classification:General Business Use</vt:lpwstr>
  </property>
  <property fmtid="{D5CDD505-2E9C-101B-9397-08002B2CF9AE}" pid="6" name="bjSaver">
    <vt:lpwstr>vVVqk1UtEfSDgxHyRNFvwwHP/PKAJD7s</vt:lpwstr>
  </property>
</Properties>
</file>