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0"/>
        <w:tblBorders>
          <w:top w:val="nil"/>
          <w:left w:val="nil"/>
          <w:bottom w:val="nil"/>
          <w:right w:val="nil"/>
          <w:insideH w:val="nil"/>
          <w:insideV w:val="nil"/>
        </w:tblBorders>
      </w:tblPr>
      <w:tblGrid>
        <w:gridCol w:w="9070"/>
      </w:tblGrid>
      <w:tr>
        <w:trPr>
          <w:trHeight w:val="720" w:hRule="atLeast"/>
        </w:trPr>
        <w:tc>
          <w:tcPr>
            <w:tcW w:type="dxa" w:w="9070"/>
            <w:shd w:fill="1F3864" w:val="clear"/>
            <w:tcMar>
              <w:top w:type="dxa" w:w="120"/>
              <w:left w:type="dxa" w:w="200"/>
              <w:bottom w:type="dxa" w:w="120"/>
              <w:right w:type="dxa" w:w="200"/>
            </w:tcMar>
          </w:tcPr>
          <w:p>
            <w:pPr>
              <w:spacing w:after="60" w:before="120"/>
              <w:jc w:val="center"/>
            </w:pPr>
            <w:r>
              <w:rPr>
                <w:b/>
                <w:bCs/>
                <w:color w:val="FFFFFF"/>
                <w:spacing w:val="40"/>
                <w:sz w:val="20"/>
                <w:szCs w:val="20"/>
              </w:rPr>
              <w:t xml:space="preserve">CASTILLA-LA MANCHA  ·  FORMACIÓN PROFESIONAL</w:t>
            </w:r>
          </w:p>
          <w:p>
            <w:pPr>
              <w:spacing w:after="120"/>
              <w:jc w:val="center"/>
            </w:pPr>
            <w:r>
              <w:rPr>
                <w:color w:val="B9C7DE"/>
                <w:sz w:val="19"/>
                <w:szCs w:val="19"/>
              </w:rPr>
              <w:t xml:space="preserve">Administración y Gestión  ·  Informática y Comunicaciones</w:t>
            </w:r>
          </w:p>
        </w:tc>
      </w:tr>
    </w:tbl>
    <w:tbl>
      <w:tblPr>
        <w:tblW w:type="dxa" w:w="9070"/>
        <w:tblBorders>
          <w:top w:val="nil"/>
          <w:left w:val="nil"/>
          <w:bottom w:val="nil"/>
          <w:right w:val="nil"/>
          <w:insideH w:val="nil"/>
          <w:insideV w:val="nil"/>
        </w:tblBorders>
      </w:tblPr>
      <w:tblGrid>
        <w:gridCol w:w="9070"/>
      </w:tblGrid>
      <w:tr>
        <w:trPr>
          <w:trHeight w:val="60" w:hRule="atLeast"/>
        </w:trPr>
        <w:tc>
          <w:tcPr>
            <w:tcW w:type="dxa" w:w="9070"/>
            <w:shd w:fill="C9A227" w:val="clear"/>
            <w:tcMar>
              <w:top w:type="dxa" w:w="120"/>
              <w:left w:type="dxa" w:w="200"/>
              <w:bottom w:type="dxa" w:w="120"/>
              <w:right w:type="dxa" w:w="200"/>
            </w:tcMar>
          </w:tcPr>
          <w:p>
            <w:pPr>
              <w:spacing w:after="0"/>
            </w:pPr>
          </w:p>
        </w:tc>
      </w:tr>
    </w:tbl>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40"/>
        <w:jc w:val="center"/>
      </w:pPr>
      <w:r>
        <w:rPr>
          <w:b/>
          <w:bCs/>
          <w:color w:val="1F3864"/>
          <w:sz w:val="110"/>
          <w:szCs w:val="110"/>
        </w:rPr>
        <w:t xml:space="preserve">EvalFP</w:t>
      </w:r>
    </w:p>
    <w:p>
      <w:pPr>
        <w:spacing w:after="40"/>
        <w:jc w:val="center"/>
      </w:pPr>
      <w:r>
        <w:rPr>
          <w:color w:val="2E5496"/>
          <w:sz w:val="26"/>
          <w:szCs w:val="26"/>
        </w:rPr>
        <w:t xml:space="preserve">Cuaderno del profesorado de Formación Profesional</w:t>
      </w:r>
    </w:p>
    <w:p>
      <w:pPr>
        <w:pBdr>
          <w:bottom w:val="single" w:color="C9D3E4" w:sz="6" w:space="1"/>
        </w:pBdr>
        <w:spacing w:after="200" w:before="200"/>
        <w:jc w:val="center"/>
      </w:pPr>
      <w:r>
        <w:t xml:space="preserve"/>
      </w:r>
    </w:p>
    <w:p>
      <w:pPr>
        <w:spacing w:after="100"/>
        <w:jc w:val="center"/>
      </w:pPr>
      <w:r>
        <w:rPr>
          <w:b/>
          <w:bCs/>
          <w:spacing w:val="20"/>
          <w:sz w:val="40"/>
          <w:szCs w:val="40"/>
        </w:rPr>
        <w:t xml:space="preserve">MANUAL DEL PROFESORADO</w:t>
      </w:r>
    </w:p>
    <w:p>
      <w:pPr>
        <w:spacing w:after="480"/>
        <w:jc w:val="center"/>
      </w:pPr>
      <w:r>
        <w:rPr>
          <w:i/>
          <w:iCs/>
          <w:color w:val="555555"/>
          <w:sz w:val="24"/>
          <w:szCs w:val="24"/>
        </w:rPr>
        <w:t xml:space="preserve">Uso paso a paso y justificación normativa</w:t>
      </w:r>
    </w:p>
    <w:tbl>
      <w:tblPr>
        <w:tblW w:type="dxa" w:w="9070"/>
        <w:tblBorders>
          <w:top w:val="nil"/>
          <w:left w:val="nil"/>
          <w:bottom w:val="nil"/>
          <w:right w:val="nil"/>
          <w:insideH w:val="nil"/>
          <w:insideV w:val="nil"/>
        </w:tblBorders>
      </w:tblPr>
      <w:tblGrid>
        <w:gridCol w:w="9070"/>
      </w:tblGrid>
      <w:tr>
        <w:trPr>
          <w:trHeight w:val="400" w:hRule="atLeast"/>
        </w:trPr>
        <w:tc>
          <w:tcPr>
            <w:tcW w:type="dxa" w:w="9070"/>
            <w:shd w:fill="F4F6FA" w:val="clear"/>
            <w:tcMar>
              <w:top w:type="dxa" w:w="120"/>
              <w:left w:type="dxa" w:w="200"/>
              <w:bottom w:type="dxa" w:w="120"/>
              <w:right w:type="dxa" w:w="200"/>
            </w:tcMar>
          </w:tcPr>
          <w:p>
            <w:pPr>
              <w:spacing w:after="60" w:before="60"/>
              <w:jc w:val="center"/>
            </w:pPr>
            <w:r>
              <w:rPr>
                <w:b/>
                <w:bCs/>
                <w:color w:val="1F3864"/>
                <w:sz w:val="24"/>
                <w:szCs w:val="24"/>
              </w:rPr>
              <w:t xml:space="preserve">130 módulos  ·  12 ciclos  ·  5.964 criterios de evaluación</w:t>
            </w:r>
          </w:p>
          <w:p>
            <w:pPr>
              <w:spacing w:after="60"/>
              <w:jc w:val="center"/>
            </w:pPr>
            <w:r>
              <w:rPr>
                <w:color w:val="555555"/>
                <w:sz w:val="20"/>
                <w:szCs w:val="20"/>
              </w:rPr>
              <w:t xml:space="preserve">cotejados uno a uno contra el texto de su decreto en el DOCM · 100 %</w:t>
            </w:r>
          </w:p>
        </w:tc>
      </w:tr>
    </w:tbl>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jc w:val="center"/>
      </w:pPr>
      <w:r>
        <w:rPr>
          <w:b/>
          <w:bCs/>
          <w:sz w:val="22"/>
          <w:szCs w:val="22"/>
        </w:rPr>
        <w:t xml:space="preserve">Versión 3.16.0  ·  Curso 2026-27</w:t>
      </w:r>
    </w:p>
    <w:p>
      <w:pPr>
        <w:spacing w:after="240"/>
        <w:jc w:val="center"/>
      </w:pPr>
      <w:r>
        <w:rPr>
          <w:color w:val="555555"/>
          <w:sz w:val="22"/>
          <w:szCs w:val="22"/>
        </w:rPr>
        <w:t xml:space="preserve">Normativa en vigor a 10 de agosto de 2026</w:t>
      </w:r>
    </w:p>
    <w:p>
      <w:pPr>
        <w:spacing w:after="30"/>
        <w:jc w:val="center"/>
      </w:pPr>
      <w:r>
        <w:rPr>
          <w:color w:val="777777"/>
          <w:sz w:val="18"/>
          <w:szCs w:val="18"/>
        </w:rPr>
        <w:t xml:space="preserve">Decretos 78, 79 y 80/2024  ·  Decreto 79/2025</w:t>
      </w:r>
    </w:p>
    <w:p>
      <w:pPr>
        <w:spacing w:after="30"/>
        <w:jc w:val="center"/>
      </w:pPr>
      <w:r>
        <w:rPr>
          <w:color w:val="777777"/>
          <w:sz w:val="18"/>
          <w:szCs w:val="18"/>
        </w:rPr>
        <w:t xml:space="preserve">Órdenes 201/2024, 204/2024 y 55/2026</w:t>
      </w:r>
    </w:p>
    <w:p>
      <w:pPr>
        <w:spacing w:after="30"/>
        <w:jc w:val="center"/>
      </w:pPr>
      <w:r>
        <w:rPr>
          <w:color w:val="777777"/>
          <w:sz w:val="18"/>
          <w:szCs w:val="18"/>
        </w:rPr>
        <w:t xml:space="preserve">Licencia GPLv3 o posterior</w:t>
      </w:r>
    </w:p>
    <w:p>
      <w:r>
        <w:br w:type="page"/>
      </w:r>
    </w:p>
    <w:p>
      <w:pPr>
        <w:pStyle w:val="Heading1"/>
        <w:spacing w:after="20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Cómo leer este manual</w:t>
      </w:r>
    </w:p>
    <w:p>
      <w:pPr>
        <w:spacing w:after="120" w:line="276"/>
      </w:pPr>
      <w:r>
        <w:t xml:space="preserve">Este manual está escrito para un docente de Formación Profesional que abre EvalFP por primera vez. No da nada por sabido: cada pantalla se explica con lo que hay que pulsar, en qué orden y qué pasa después.</w:t>
      </w:r>
    </w:p>
    <w:p>
      <w:pPr>
        <w:spacing w:after="120" w:line="276"/>
      </w:pPr>
      <w:r>
        <w:t xml:space="preserve">Además de explicar el manejo, cada regla de evaluación que la aplicación aplica va acompañada del artículo que la obliga. Ese es el segundo propósito del documento: que ante una inspección educativa se pueda enseñar, para cada comportamiento del cuaderno, la norma que lo respalda. Las citas se identifican así:</w:t>
      </w:r>
    </w:p>
    <w:p>
      <w:pPr>
        <w:pStyle w:val="ListParagraph"/>
        <w:numPr>
          <w:ilvl w:val="0"/>
          <w:numId w:val="2"/>
        </w:numPr>
        <w:spacing w:after="80" w:line="276"/>
      </w:pPr>
      <w:r>
        <w:rPr>
          <w:b/>
          <w:bCs/>
        </w:rPr>
        <w:t xml:space="preserve">Orden 201/2024</w:t>
      </w:r>
      <w:r>
        <w:t xml:space="preserve"> — Orden de 28 de noviembre de 2024, de la Consejería de Educación, Cultura y Deportes, sobre evaluación, promoción y titulación en los Grados D y E de Formación Profesional (DOCM de 3 de diciembre de 2024).</w:t>
      </w:r>
    </w:p>
    <w:p>
      <w:pPr>
        <w:pStyle w:val="ListParagraph"/>
        <w:numPr>
          <w:ilvl w:val="0"/>
          <w:numId w:val="2"/>
        </w:numPr>
        <w:spacing w:after="80" w:line="276"/>
      </w:pPr>
      <w:r>
        <w:rPr>
          <w:b/>
          <w:bCs/>
        </w:rPr>
        <w:t xml:space="preserve">Orden 55/2026</w:t>
      </w:r>
      <w:r>
        <w:t xml:space="preserve"> — Orden 55/2026, de 17 de abril, que modifica la anterior (DOCM núm. 78, de 27 de abril de 2026, p. 14105). Cuando un artículo cambió de redacción o de numeración, se indica.</w:t>
      </w:r>
    </w:p>
    <w:p>
      <w:pPr>
        <w:pStyle w:val="ListParagraph"/>
        <w:numPr>
          <w:ilvl w:val="0"/>
          <w:numId w:val="2"/>
        </w:numPr>
        <w:spacing w:after="80" w:line="276"/>
      </w:pPr>
      <w:r>
        <w:rPr>
          <w:b/>
          <w:bCs/>
        </w:rPr>
        <w:t xml:space="preserve">Decretos 78, 79 y 80/2024</w:t>
      </w:r>
      <w:r>
        <w:t xml:space="preserve"> — currículos de Grado Básico, Grado Medio y Grado Superior (DOCM núm. 218, de 11 de noviembre de 2024).</w:t>
      </w:r>
    </w:p>
    <w:p>
      <w:pPr>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9C9A8" w:sz="2"/>
              <w:left w:val="single" w:color="2E5496" w:sz="18"/>
              <w:bottom w:val="single" w:color="D9C9A8" w:sz="2"/>
              <w:right w:val="single" w:color="D9C9A8" w:sz="2"/>
            </w:tcBorders>
            <w:shd w:fill="FFF4E0" w:val="clear"/>
            <w:tcMar>
              <w:top w:type="dxa" w:w="140"/>
              <w:left w:type="dxa" w:w="180"/>
              <w:bottom w:type="dxa" w:w="140"/>
              <w:right w:type="dxa" w:w="180"/>
            </w:tcMar>
          </w:tcPr>
          <w:p>
            <w:pPr>
              <w:spacing w:after="60"/>
            </w:pPr>
            <w:r>
              <w:rPr>
                <w:b/>
                <w:bCs/>
                <w:color w:val="1F3864"/>
              </w:rPr>
              <w:t xml:space="preserve">La regla que sostiene todo el catálogo</w:t>
            </w:r>
          </w:p>
          <w:p>
            <w:pPr>
              <w:spacing w:after="40" w:line="264"/>
            </w:pPr>
            <w:r>
              <w:rPr>
                <w:sz w:val="20"/>
                <w:szCs w:val="20"/>
              </w:rPr>
              <w:t xml:space="preserve">Los resultados de aprendizaje y los criterios de evaluación que trae la aplicación están copiados literalmente del decreto de Castilla-La Mancha publicado en el DOCM, nunca del Real Decreto estatal ni de resúmenes de terceros, porque no coinciden.</w:t>
            </w:r>
          </w:p>
          <w:p>
            <w:pPr>
              <w:spacing w:after="40" w:line="264"/>
            </w:pPr>
            <w:r>
              <w:rPr>
                <w:sz w:val="20"/>
                <w:szCs w:val="20"/>
              </w:rPr>
              <w:t xml:space="preserve">A fecha de esta versión: 130 módulos, 5.964 criterios de evaluación, cotejados uno a uno contra el texto de su decreto con un 100 % de coincidencia. El cotejo es repetible en un segundo (capítulo 11).</w:t>
            </w:r>
          </w:p>
        </w:tc>
      </w:tr>
    </w:tbl>
    <w:p>
      <w:pPr>
        <w:spacing w:after="120" w:line="276"/>
      </w:pPr>
      <w:r>
        <w:t xml:space="preserve"/>
      </w:r>
    </w:p>
    <w:p>
      <w:pPr>
        <w:pStyle w:val="Heading1"/>
        <w:spacing w:after="160" w:before="360"/>
      </w:pPr>
      <w:r>
        <w:t xml:space="preserve">1. Qué es EvalFP y qué problema resuelve</w:t>
      </w:r>
    </w:p>
    <w:p>
      <w:pPr>
        <w:spacing w:after="120" w:line="276"/>
      </w:pPr>
      <w:r>
        <w:t xml:space="preserve">EvalFP es un cuaderno del profesorado de escritorio: una aplicación que se instala en el ordenador, sin cuenta de usuario, sin nube y sin conexión a internet. Los datos no salen del equipo.</w:t>
      </w:r>
    </w:p>
    <w:p>
      <w:pPr>
        <w:spacing w:after="120" w:line="276"/>
      </w:pPr>
      <w:r>
        <w:t xml:space="preserve">Lo que lo distingue de una hoja de cálculo es que no califica por actividades sino por criterios de evaluación. Cada actividad que se da de alta —una práctica, un examen, una exposición— declara qué criterios evalúa. A partir de ahí la aplicación reconstruye sola la nota de cada criterio, la de cada resultado de aprendizaje y la del módulo, aplicando las reglas de la Orden 201/2024.</w:t>
      </w:r>
    </w:p>
    <w:p>
      <w:pPr>
        <w:spacing w:after="120" w:line="276"/>
      </w:pPr>
      <w:r>
        <w:rPr>
          <w:b/>
          <w:bCs/>
        </w:rPr>
        <w:t xml:space="preserve">Esta es exactamente la forma de evaluar que impone el artículo 2.2 de la Orden 201/2024</w:t>
      </w:r>
      <w:r>
        <w:t xml:space="preserve">: la evaluación verifica la adquisición de los resultados de aprendizaje conforme a sus criterios de evaluación. La calificación no es la media de lo que se ha hecho en clase: es la consecuencia de qué resultados de aprendizaje están alcanzados.</w:t>
      </w:r>
    </w:p>
    <w:p>
      <w:pPr>
        <w:pStyle w:val="Heading2"/>
        <w:spacing w:after="120" w:before="280"/>
      </w:pPr>
      <w:r>
        <w:t xml:space="preserve">1.1 Lo que la aplicación garantiza por diseño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70"/>
        <w:gridCol w:w="3000"/>
      </w:tblGrid>
      <w:tr>
        <w:trPr>
          <w:tblHeader/>
        </w:trPr>
        <w:tc>
          <w:tcPr>
            <w:tcW w:type="dxa" w:w="6070"/>
            <w:shd w:fill="1F3864" w:val="clear"/>
            <w:tcMar>
              <w:top w:type="dxa" w:w="80"/>
              <w:left w:type="dxa" w:w="120"/>
              <w:bottom w:type="dxa" w:w="80"/>
              <w:right w:type="dxa" w:w="120"/>
            </w:tcMar>
          </w:tcPr>
          <w:p>
            <w:pPr>
              <w:spacing w:after="0" w:line="252"/>
            </w:pPr>
            <w:r>
              <w:rPr>
                <w:b/>
                <w:bCs/>
                <w:color w:val="FFFFFF"/>
                <w:sz w:val="19"/>
                <w:szCs w:val="19"/>
              </w:rPr>
              <w:t xml:space="preserve">Comportamiento</w:t>
            </w:r>
          </w:p>
        </w:tc>
        <w:tc>
          <w:tcPr>
            <w:tcW w:type="dxa" w:w="3000"/>
            <w:shd w:fill="1F3864" w:val="clear"/>
            <w:tcMar>
              <w:top w:type="dxa" w:w="80"/>
              <w:left w:type="dxa" w:w="120"/>
              <w:bottom w:type="dxa" w:w="80"/>
              <w:right w:type="dxa" w:w="120"/>
            </w:tcMar>
          </w:tcPr>
          <w:p>
            <w:pPr>
              <w:spacing w:after="0" w:line="252"/>
            </w:pPr>
            <w:r>
              <w:rPr>
                <w:b/>
                <w:bCs/>
                <w:color w:val="FFFFFF"/>
                <w:sz w:val="19"/>
                <w:szCs w:val="19"/>
              </w:rPr>
              <w:t xml:space="preserve">Norma</w:t>
            </w:r>
          </w:p>
        </w:tc>
      </w:tr>
      <w:tr>
        <w:tc>
          <w:tcPr>
            <w:tcW w:type="dxa" w:w="6070"/>
            <w:tcMar>
              <w:top w:type="dxa" w:w="80"/>
              <w:left w:type="dxa" w:w="120"/>
              <w:bottom w:type="dxa" w:w="80"/>
              <w:right w:type="dxa" w:w="120"/>
            </w:tcMar>
          </w:tcPr>
          <w:p>
            <w:pPr>
              <w:spacing w:after="0" w:line="252"/>
            </w:pPr>
            <w:r>
              <w:rPr>
                <w:b w:val="false"/>
                <w:bCs w:val="false"/>
                <w:sz w:val="19"/>
                <w:szCs w:val="19"/>
              </w:rPr>
              <w:t xml:space="preserve">Un módulo solo está superado si TODOS sus resultados de aprendizaje llegan a 5. La media no compensa un RA suspenso.</w:t>
            </w:r>
          </w:p>
        </w:tc>
        <w:tc>
          <w:tcPr>
            <w:tcW w:type="dxa" w:w="3000"/>
            <w:tcMar>
              <w:top w:type="dxa" w:w="80"/>
              <w:left w:type="dxa" w:w="120"/>
              <w:bottom w:type="dxa" w:w="80"/>
              <w:right w:type="dxa" w:w="120"/>
            </w:tcMar>
          </w:tcPr>
          <w:p>
            <w:pPr>
              <w:spacing w:after="0" w:line="252"/>
            </w:pPr>
            <w:r>
              <w:rPr>
                <w:b w:val="false"/>
                <w:bCs w:val="false"/>
                <w:sz w:val="19"/>
                <w:szCs w:val="19"/>
              </w:rPr>
              <w:t xml:space="preserve">Orden 201/2024, art. 2.3</w:t>
            </w:r>
          </w:p>
        </w:tc>
      </w:tr>
      <w:tr>
        <w:tc>
          <w:tcPr>
            <w:tcW w:type="dxa" w:w="6070"/>
            <w:shd w:fill="F2F4F7" w:val="clear"/>
            <w:tcMar>
              <w:top w:type="dxa" w:w="80"/>
              <w:left w:type="dxa" w:w="120"/>
              <w:bottom w:type="dxa" w:w="80"/>
              <w:right w:type="dxa" w:w="120"/>
            </w:tcMar>
          </w:tcPr>
          <w:p>
            <w:pPr>
              <w:spacing w:after="0" w:line="252"/>
            </w:pPr>
            <w:r>
              <w:rPr>
                <w:b w:val="false"/>
                <w:bCs w:val="false"/>
                <w:sz w:val="19"/>
                <w:szCs w:val="19"/>
              </w:rPr>
              <w:t xml:space="preserve">Si no se alcanzan todos los RA, la calificación no puede pasar de 4.</w:t>
            </w:r>
          </w:p>
        </w:tc>
        <w:tc>
          <w:tcPr>
            <w:tcW w:type="dxa" w:w="3000"/>
            <w:shd w:fill="F2F4F7" w:val="clear"/>
            <w:tcMar>
              <w:top w:type="dxa" w:w="80"/>
              <w:left w:type="dxa" w:w="120"/>
              <w:bottom w:type="dxa" w:w="80"/>
              <w:right w:type="dxa" w:w="120"/>
            </w:tcMar>
          </w:tcPr>
          <w:p>
            <w:pPr>
              <w:spacing w:after="0" w:line="252"/>
            </w:pPr>
            <w:r>
              <w:rPr>
                <w:b w:val="false"/>
                <w:bCs w:val="false"/>
                <w:sz w:val="19"/>
                <w:szCs w:val="19"/>
              </w:rPr>
              <w:t xml:space="preserve">art. 25.5</w:t>
            </w:r>
          </w:p>
        </w:tc>
      </w:tr>
      <w:tr>
        <w:tc>
          <w:tcPr>
            <w:tcW w:type="dxa" w:w="6070"/>
            <w:tcMar>
              <w:top w:type="dxa" w:w="80"/>
              <w:left w:type="dxa" w:w="120"/>
              <w:bottom w:type="dxa" w:w="80"/>
              <w:right w:type="dxa" w:w="120"/>
            </w:tcMar>
          </w:tcPr>
          <w:p>
            <w:pPr>
              <w:spacing w:after="0" w:line="252"/>
            </w:pPr>
            <w:r>
              <w:rPr>
                <w:b w:val="false"/>
                <w:bCs w:val="false"/>
                <w:sz w:val="19"/>
                <w:szCs w:val="19"/>
              </w:rPr>
              <w:t xml:space="preserve">La calificación de acta es numérica, de 1 a 10, sin decimales.</w:t>
            </w:r>
          </w:p>
        </w:tc>
        <w:tc>
          <w:tcPr>
            <w:tcW w:type="dxa" w:w="3000"/>
            <w:tcMar>
              <w:top w:type="dxa" w:w="80"/>
              <w:left w:type="dxa" w:w="120"/>
              <w:bottom w:type="dxa" w:w="80"/>
              <w:right w:type="dxa" w:w="120"/>
            </w:tcMar>
          </w:tcPr>
          <w:p>
            <w:pPr>
              <w:spacing w:after="0" w:line="252"/>
            </w:pPr>
            <w:r>
              <w:rPr>
                <w:b w:val="false"/>
                <w:bCs w:val="false"/>
                <w:sz w:val="19"/>
                <w:szCs w:val="19"/>
              </w:rPr>
              <w:t xml:space="preserve">art. 25.4</w:t>
            </w:r>
          </w:p>
        </w:tc>
      </w:tr>
      <w:tr>
        <w:tc>
          <w:tcPr>
            <w:tcW w:type="dxa" w:w="6070"/>
            <w:shd w:fill="F2F4F7" w:val="clear"/>
            <w:tcMar>
              <w:top w:type="dxa" w:w="80"/>
              <w:left w:type="dxa" w:w="120"/>
              <w:bottom w:type="dxa" w:w="80"/>
              <w:right w:type="dxa" w:w="120"/>
            </w:tcMar>
          </w:tcPr>
          <w:p>
            <w:pPr>
              <w:spacing w:after="0" w:line="252"/>
            </w:pPr>
            <w:r>
              <w:rPr>
                <w:b w:val="false"/>
                <w:bCs w:val="false"/>
                <w:sz w:val="19"/>
                <w:szCs w:val="19"/>
              </w:rPr>
              <w:t xml:space="preserve">Cada criterio puede tener su propio peso dentro del resultado de aprendizaje.</w:t>
            </w:r>
          </w:p>
        </w:tc>
        <w:tc>
          <w:tcPr>
            <w:tcW w:type="dxa" w:w="3000"/>
            <w:shd w:fill="F2F4F7" w:val="clear"/>
            <w:tcMar>
              <w:top w:type="dxa" w:w="80"/>
              <w:left w:type="dxa" w:w="120"/>
              <w:bottom w:type="dxa" w:w="80"/>
              <w:right w:type="dxa" w:w="120"/>
            </w:tcMar>
          </w:tcPr>
          <w:p>
            <w:pPr>
              <w:spacing w:after="0" w:line="252"/>
            </w:pPr>
            <w:r>
              <w:rPr>
                <w:b w:val="false"/>
                <w:bCs w:val="false"/>
                <w:sz w:val="19"/>
                <w:szCs w:val="19"/>
              </w:rPr>
              <w:t xml:space="preserve">art. 4.3.a</w:t>
            </w:r>
          </w:p>
        </w:tc>
      </w:tr>
      <w:tr>
        <w:tc>
          <w:tcPr>
            <w:tcW w:type="dxa" w:w="6070"/>
            <w:tcMar>
              <w:top w:type="dxa" w:w="80"/>
              <w:left w:type="dxa" w:w="120"/>
              <w:bottom w:type="dxa" w:w="80"/>
              <w:right w:type="dxa" w:w="120"/>
            </w:tcMar>
          </w:tcPr>
          <w:p>
            <w:pPr>
              <w:spacing w:after="0" w:line="252"/>
            </w:pPr>
            <w:r>
              <w:rPr>
                <w:b w:val="false"/>
                <w:bCs w:val="false"/>
                <w:sz w:val="19"/>
                <w:szCs w:val="19"/>
              </w:rPr>
              <w:t xml:space="preserve">Un resultado de aprendizaje ya superado no vuelve a bajar por una actividad posterior.</w:t>
            </w:r>
          </w:p>
        </w:tc>
        <w:tc>
          <w:tcPr>
            <w:tcW w:type="dxa" w:w="3000"/>
            <w:tcMar>
              <w:top w:type="dxa" w:w="80"/>
              <w:left w:type="dxa" w:w="120"/>
              <w:bottom w:type="dxa" w:w="80"/>
              <w:right w:type="dxa" w:w="120"/>
            </w:tcMar>
          </w:tcPr>
          <w:p>
            <w:pPr>
              <w:spacing w:after="0" w:line="252"/>
            </w:pPr>
            <w:r>
              <w:rPr>
                <w:b w:val="false"/>
                <w:bCs w:val="false"/>
                <w:sz w:val="19"/>
                <w:szCs w:val="19"/>
              </w:rPr>
              <w:t xml:space="preserve">art. 4.3.f</w:t>
            </w:r>
          </w:p>
        </w:tc>
      </w:tr>
      <w:tr>
        <w:tc>
          <w:tcPr>
            <w:tcW w:type="dxa" w:w="6070"/>
            <w:shd w:fill="F2F4F7" w:val="clear"/>
            <w:tcMar>
              <w:top w:type="dxa" w:w="80"/>
              <w:left w:type="dxa" w:w="120"/>
              <w:bottom w:type="dxa" w:w="80"/>
              <w:right w:type="dxa" w:w="120"/>
            </w:tcMar>
          </w:tcPr>
          <w:p>
            <w:pPr>
              <w:spacing w:after="0" w:line="252"/>
            </w:pPr>
            <w:r>
              <w:rPr>
                <w:b w:val="false"/>
                <w:bCs w:val="false"/>
                <w:sz w:val="19"/>
                <w:szCs w:val="19"/>
              </w:rPr>
              <w:t xml:space="preserve">Quien pierde la evaluación continua se califica solo con una prueba objetiva que cubra todos los RA.</w:t>
            </w:r>
          </w:p>
        </w:tc>
        <w:tc>
          <w:tcPr>
            <w:tcW w:type="dxa" w:w="3000"/>
            <w:shd w:fill="F2F4F7" w:val="clear"/>
            <w:tcMar>
              <w:top w:type="dxa" w:w="80"/>
              <w:left w:type="dxa" w:w="120"/>
              <w:bottom w:type="dxa" w:w="80"/>
              <w:right w:type="dxa" w:w="120"/>
            </w:tcMar>
          </w:tcPr>
          <w:p>
            <w:pPr>
              <w:spacing w:after="0" w:line="252"/>
            </w:pPr>
            <w:r>
              <w:rPr>
                <w:b w:val="false"/>
                <w:bCs w:val="false"/>
                <w:sz w:val="19"/>
                <w:szCs w:val="19"/>
              </w:rPr>
              <w:t xml:space="preserve">art. 3.6, redacción de la Orden 55/2026</w:t>
            </w:r>
          </w:p>
        </w:tc>
      </w:tr>
      <w:tr>
        <w:tc>
          <w:tcPr>
            <w:tcW w:type="dxa" w:w="6070"/>
            <w:tcMar>
              <w:top w:type="dxa" w:w="80"/>
              <w:left w:type="dxa" w:w="120"/>
              <w:bottom w:type="dxa" w:w="80"/>
              <w:right w:type="dxa" w:w="120"/>
            </w:tcMar>
          </w:tcPr>
          <w:p>
            <w:pPr>
              <w:spacing w:after="0" w:line="252"/>
            </w:pPr>
            <w:r>
              <w:rPr>
                <w:b w:val="false"/>
                <w:bCs w:val="false"/>
                <w:sz w:val="19"/>
                <w:szCs w:val="19"/>
              </w:rPr>
              <w:t xml:space="preserve">Los criterios de evaluación son los del DOCM, palabra por palabra.</w:t>
            </w:r>
          </w:p>
        </w:tc>
        <w:tc>
          <w:tcPr>
            <w:tcW w:type="dxa" w:w="3000"/>
            <w:tcMar>
              <w:top w:type="dxa" w:w="80"/>
              <w:left w:type="dxa" w:w="120"/>
              <w:bottom w:type="dxa" w:w="80"/>
              <w:right w:type="dxa" w:w="120"/>
            </w:tcMar>
          </w:tcPr>
          <w:p>
            <w:pPr>
              <w:spacing w:after="0" w:line="252"/>
            </w:pPr>
            <w:r>
              <w:rPr>
                <w:b w:val="false"/>
                <w:bCs w:val="false"/>
                <w:sz w:val="19"/>
                <w:szCs w:val="19"/>
              </w:rPr>
              <w:t xml:space="preserve">Decretos 78, 79 y 80/2024</w:t>
            </w:r>
          </w:p>
        </w:tc>
      </w:tr>
    </w:tbl>
    <w:p>
      <w:pPr>
        <w:spacing w:after="60"/>
      </w:pPr>
    </w:p>
    <w:p>
      <w:pPr>
        <w:pStyle w:val="Heading2"/>
        <w:spacing w:after="120" w:before="280"/>
      </w:pPr>
      <w:r>
        <w:t xml:space="preserve">1.2 Un módulo, un cuaderno, un docente</w:t>
      </w:r>
    </w:p>
    <w:p>
      <w:pPr>
        <w:spacing w:after="120" w:line="276"/>
      </w:pPr>
      <w:r>
        <w:t xml:space="preserve">EvalFP es el cuaderno personal de quien imparte. No es el programa de gestión del centro ni pretende serlo: no emite actas oficiales firmadas, no calcula la nota final del ciclo de cara a la Administración y no gestiona matrículas. Calcula, con la norma en la mano, lo que hay que trasladar a esos sistemas, y lo justifica.</w:t>
      </w:r>
    </w:p>
    <w:p>
      <w:pPr>
        <w:spacing w:after="120" w:line="276"/>
      </w:pPr>
      <w:r>
        <w:t xml:space="preserve">Si se imparte el mismo módulo a dos grupos, se da de alta dos veces, cada una con su grupo. Son cuadernos independientes.</w:t>
      </w:r>
    </w:p>
    <w:p>
      <w:r>
        <w:br w:type="page"/>
      </w:r>
    </w:p>
    <w:p>
      <w:pPr>
        <w:pStyle w:val="Heading1"/>
        <w:spacing w:after="160" w:before="360"/>
      </w:pPr>
      <w:r>
        <w:t xml:space="preserve">2. Instalación y primer arranque</w:t>
      </w:r>
    </w:p>
    <w:p>
      <w:pPr>
        <w:pStyle w:val="Heading2"/>
        <w:spacing w:after="120" w:before="280"/>
      </w:pPr>
      <w:r>
        <w:t xml:space="preserve">2.1 macOS</w:t>
      </w:r>
    </w:p>
    <w:p>
      <w:pPr>
        <w:pStyle w:val="ListParagraph"/>
        <w:numPr>
          <w:ilvl w:val="0"/>
          <w:numId w:val="3"/>
        </w:numPr>
        <w:spacing w:after="80" w:line="276"/>
      </w:pPr>
      <w:r>
        <w:t xml:space="preserve">Abre el archivo EvalFP-&lt;versión&gt;-arm64.dmg si tu Mac es Apple Silicon, o EvalFP-&lt;versión&gt;.dmg si es Intel.</w:t>
      </w:r>
    </w:p>
    <w:p>
      <w:pPr>
        <w:pStyle w:val="ListParagraph"/>
        <w:numPr>
          <w:ilvl w:val="0"/>
          <w:numId w:val="3"/>
        </w:numPr>
        <w:spacing w:after="80" w:line="276"/>
      </w:pPr>
      <w:r>
        <w:t xml:space="preserve">Arrastra EvalFP a la carpeta Aplicaciones. Si ya tenías una versión, sustitúyela.</w:t>
      </w:r>
    </w:p>
    <w:p>
      <w:pPr>
        <w:pStyle w:val="ListParagraph"/>
        <w:numPr>
          <w:ilvl w:val="0"/>
          <w:numId w:val="3"/>
        </w:numPr>
        <w:spacing w:after="80" w:line="276"/>
      </w:pPr>
      <w:r>
        <w:t xml:space="preserve">Ábrela desde Aplicaciones o con Spotlight.</w:t>
      </w:r>
    </w:p>
    <w:p>
      <w:pPr>
        <w:spacing w:after="120" w:line="276"/>
      </w:pPr>
      <w:r>
        <w:t xml:space="preserve">La aplicación no está firmada con certificado de Apple, así que la primera vez macOS avisa de que «no se puede comprobar el desarrollador». Ábrela con clic derecho → Abrir, o ve a Ajustes del Sistema → Privacidad y seguridad y pulsa Abrir de todos modos. Solo hace falta la primera vez.</w:t>
      </w:r>
    </w:p>
    <w:p>
      <w:pPr>
        <w:spacing w:after="120" w:line="276"/>
      </w:pPr>
      <w:r>
        <w:t xml:space="preserve">Si la tenías en el Dock, quita el icono antiguo y vuelve a arrastrar la aplicación: el acceso del Dock sigue apuntando a la copia anterior aunque la hayas sustituido.</w:t>
      </w:r>
    </w:p>
    <w:p>
      <w:pPr>
        <w:pStyle w:val="Heading2"/>
        <w:spacing w:after="120" w:before="280"/>
      </w:pPr>
      <w:r>
        <w:t xml:space="preserve">2.2 Windows 11</w:t>
      </w:r>
    </w:p>
    <w:p>
      <w:pPr>
        <w:pStyle w:val="ListParagraph"/>
        <w:numPr>
          <w:ilvl w:val="0"/>
          <w:numId w:val="4"/>
        </w:numPr>
        <w:spacing w:after="80" w:line="276"/>
      </w:pPr>
      <w:r>
        <w:t xml:space="preserve">Ejecuta EvalFP Setup &lt;versión&gt;.exe.</w:t>
      </w:r>
    </w:p>
    <w:p>
      <w:pPr>
        <w:pStyle w:val="ListParagraph"/>
        <w:numPr>
          <w:ilvl w:val="0"/>
          <w:numId w:val="4"/>
        </w:numPr>
        <w:spacing w:after="80" w:line="276"/>
      </w:pPr>
      <w:r>
        <w:t xml:space="preserve">Windows muestra la pantalla azul de SmartScreen porque el instalador no está firmado: pulsa Más información → Ejecutar de todas formas.</w:t>
      </w:r>
    </w:p>
    <w:p>
      <w:pPr>
        <w:pStyle w:val="ListParagraph"/>
        <w:numPr>
          <w:ilvl w:val="0"/>
          <w:numId w:val="4"/>
        </w:numPr>
        <w:spacing w:after="80" w:line="276"/>
      </w:pPr>
      <w:r>
        <w:t xml:space="preserve">Elige carpeta de instalación y deja marcados los accesos directos si los quieres.</w:t>
      </w:r>
    </w:p>
    <w:p>
      <w:pPr>
        <w:pStyle w:val="ListParagraph"/>
        <w:numPr>
          <w:ilvl w:val="0"/>
          <w:numId w:val="4"/>
        </w:numPr>
        <w:spacing w:after="80" w:line="276"/>
      </w:pPr>
      <w:r>
        <w:t xml:space="preserve">Abre EvalFP desde el menú Inicio.</w:t>
      </w:r>
    </w:p>
    <w:p>
      <w:pPr>
        <w:spacing w:after="120" w:line="276"/>
      </w:pPr>
      <w:r>
        <w:t xml:space="preserve">El mismo .exe sirve para cualquier Windows 11; se puede copiar a otro equipo sin repetir nada. Los dos avisos, el de macOS y el de Windows, desaparecen firmando los instaladores, lo que exige comprar certificados.</w:t>
      </w:r>
    </w:p>
    <w:p>
      <w:pPr>
        <w:pStyle w:val="Heading2"/>
        <w:spacing w:after="120" w:before="280"/>
      </w:pPr>
      <w:r>
        <w:t xml:space="preserve">2.3 Python: solo si vas a usar la IA</w:t>
      </w:r>
    </w:p>
    <w:p>
      <w:pPr>
        <w:spacing w:after="120" w:line="276"/>
      </w:pPr>
      <w:r>
        <w:t xml:space="preserve">El cuaderno entero —módulos, alumnado, notas, evaluaciones, actas, boletines— funciona sin instalar nada más. Solo el Asistente IA y la corrección de exámenes desde foto usan scripts de Python, que no viajan dentro del instalador.</w:t>
      </w:r>
    </w:p>
    <w:p>
      <w:pPr>
        <w:spacing w:after="120" w:line="276"/>
      </w:pPr>
      <w:r>
        <w:t xml:space="preserve">Si los vas a usar, instala Python 3.10 o superior (en Windows, desde python.org marcando «Add python.exe to PATH») y después, en una terminal:</w:t>
      </w:r>
    </w:p>
    <w:p>
      <w:pPr>
        <w:shd w:fill="F2F4F7" w:val="clear"/>
        <w:spacing w:after="160" w:before="120"/>
        <w:ind w:left="240"/>
      </w:pPr>
      <w:r>
        <w:rPr>
          <w:rFonts w:ascii="Consolas" w:cs="Consolas" w:eastAsia="Consolas" w:hAnsi="Consolas"/>
          <w:sz w:val="18"/>
          <w:szCs w:val="18"/>
        </w:rPr>
        <w:t xml:space="preserve">pip install anthropic openai</w:t>
      </w:r>
    </w:p>
    <w:p>
      <w:pPr>
        <w:spacing w:after="120" w:line="276"/>
      </w:pPr>
      <w:r>
        <w:t xml:space="preserve">Con instalar el proveedor que vayas a usar es suficiente. Para recortar la cabecera de las fotos antes de enviarlas hace falta además ImageMagick (brew install imagemagick en macOS); sin él la corrección funciona igual, pero envía la hoja entera.</w:t>
      </w:r>
    </w:p>
    <w:p>
      <w:pPr>
        <w:pStyle w:val="Heading2"/>
        <w:spacing w:after="120" w:before="280"/>
      </w:pPr>
      <w:r>
        <w:t xml:space="preserve">2.4 Las claves de IA</w:t>
      </w:r>
    </w:p>
    <w:p>
      <w:pPr>
        <w:spacing w:after="120" w:line="276"/>
      </w:pPr>
      <w:r>
        <w:t xml:space="preserve">Se configuran en Ajustes y son tuyas y de pago: se generan en console.anthropic.com (Claude) o platform.openai.com (GPT), con saldo en la cuenta.</w:t>
      </w:r>
    </w:p>
    <w:p>
      <w:pPr>
        <w:spacing w:after="120" w:line="276"/>
      </w:pPr>
      <w:r>
        <w:t xml:space="preserve">Se guardan en el llavero del sistema —Keychain en macOS, Credential Manager en Windows—, nunca en el código ni en la base de datos. Los campos aparecen siempre vacíos al volver a Ajustes: verás «✓ configurada», no la clave.</w:t>
      </w:r>
    </w:p>
    <w:p>
      <w:pPr>
        <w:spacing w:after="120" w:line="276"/>
      </w:pPr>
      <w:r>
        <w:t xml:space="preserve">Sin claves, el asistente responde en modo demo: genera textos de ejemplo para que veas el formato, sin llamar a ningún servicio. Si Ajustes avisa de que el llavero del sistema no está disponible, las claves no se pueden guardar —EvalFP no las escribe nunca en texto plano— y el asistente se queda en modo demo.</w:t>
      </w:r>
    </w:p>
    <w:p>
      <w:r>
        <w:br w:type="page"/>
      </w:r>
    </w:p>
    <w:p>
      <w:pPr>
        <w:pStyle w:val="Heading1"/>
        <w:spacing w:after="160" w:before="360"/>
      </w:pPr>
      <w:r>
        <w:t xml:space="preserve">3. Dónde viven tus datos y qué sale del ordenador</w:t>
      </w:r>
    </w:p>
    <w:p>
      <w:pPr>
        <w:pStyle w:val="Heading2"/>
        <w:spacing w:after="120" w:before="280"/>
      </w:pPr>
      <w:r>
        <w:t xml:space="preserve">3.1 El archivo de base de datos</w:t>
      </w:r>
    </w:p>
    <w:p>
      <w:pPr>
        <w:spacing w:after="120" w:line="276"/>
      </w:pPr>
      <w:r>
        <w:t xml:space="preserve">Todo está en un único archivo, fuera de la aplicación: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tblHeader/>
        </w:trPr>
        <w:tc>
          <w:tcPr>
            <w:tcW w:type="dxa" w:w="2200"/>
            <w:shd w:fill="1F3864" w:val="clear"/>
            <w:tcMar>
              <w:top w:type="dxa" w:w="80"/>
              <w:left w:type="dxa" w:w="120"/>
              <w:bottom w:type="dxa" w:w="80"/>
              <w:right w:type="dxa" w:w="120"/>
            </w:tcMar>
          </w:tcPr>
          <w:p>
            <w:pPr>
              <w:spacing w:after="0" w:line="252"/>
            </w:pPr>
            <w:r>
              <w:rPr>
                <w:b/>
                <w:bCs/>
                <w:color w:val="FFFFFF"/>
                <w:sz w:val="19"/>
                <w:szCs w:val="19"/>
              </w:rPr>
              <w:t xml:space="preserve">Sistema</w:t>
            </w:r>
          </w:p>
        </w:tc>
        <w:tc>
          <w:tcPr>
            <w:tcW w:type="dxa" w:w="6870"/>
            <w:shd w:fill="1F3864" w:val="clear"/>
            <w:tcMar>
              <w:top w:type="dxa" w:w="80"/>
              <w:left w:type="dxa" w:w="120"/>
              <w:bottom w:type="dxa" w:w="80"/>
              <w:right w:type="dxa" w:w="120"/>
            </w:tcMar>
          </w:tcPr>
          <w:p>
            <w:pPr>
              <w:spacing w:after="0" w:line="252"/>
            </w:pPr>
            <w:r>
              <w:rPr>
                <w:b/>
                <w:bCs/>
                <w:color w:val="FFFFFF"/>
                <w:sz w:val="19"/>
                <w:szCs w:val="19"/>
              </w:rPr>
              <w:t xml:space="preserve">Ruta</w:t>
            </w:r>
          </w:p>
        </w:tc>
      </w:tr>
      <w:tr>
        <w:tc>
          <w:tcPr>
            <w:tcW w:type="dxa" w:w="2200"/>
            <w:tcMar>
              <w:top w:type="dxa" w:w="80"/>
              <w:left w:type="dxa" w:w="120"/>
              <w:bottom w:type="dxa" w:w="80"/>
              <w:right w:type="dxa" w:w="120"/>
            </w:tcMar>
          </w:tcPr>
          <w:p>
            <w:pPr>
              <w:spacing w:after="0" w:line="252"/>
            </w:pPr>
            <w:r>
              <w:rPr>
                <w:b w:val="false"/>
                <w:bCs w:val="false"/>
                <w:sz w:val="19"/>
                <w:szCs w:val="19"/>
              </w:rPr>
              <w:t xml:space="preserve">macOS</w:t>
            </w:r>
          </w:p>
        </w:tc>
        <w:tc>
          <w:tcPr>
            <w:tcW w:type="dxa" w:w="6870"/>
            <w:tcMar>
              <w:top w:type="dxa" w:w="80"/>
              <w:left w:type="dxa" w:w="120"/>
              <w:bottom w:type="dxa" w:w="80"/>
              <w:right w:type="dxa" w:w="120"/>
            </w:tcMar>
          </w:tcPr>
          <w:p>
            <w:pPr>
              <w:spacing w:after="0" w:line="252"/>
            </w:pPr>
            <w:r>
              <w:rPr>
                <w:b w:val="false"/>
                <w:bCs w:val="false"/>
                <w:sz w:val="19"/>
                <w:szCs w:val="19"/>
              </w:rPr>
              <w:t xml:space="preserve">~/Library/Application Support/EvalFP/evalfp.db</w:t>
            </w:r>
          </w:p>
        </w:tc>
      </w:tr>
      <w:tr>
        <w:tc>
          <w:tcPr>
            <w:tcW w:type="dxa" w:w="2200"/>
            <w:shd w:fill="F2F4F7" w:val="clear"/>
            <w:tcMar>
              <w:top w:type="dxa" w:w="80"/>
              <w:left w:type="dxa" w:w="120"/>
              <w:bottom w:type="dxa" w:w="80"/>
              <w:right w:type="dxa" w:w="120"/>
            </w:tcMar>
          </w:tcPr>
          <w:p>
            <w:pPr>
              <w:spacing w:after="0" w:line="252"/>
            </w:pPr>
            <w:r>
              <w:rPr>
                <w:b w:val="false"/>
                <w:bCs w:val="false"/>
                <w:sz w:val="19"/>
                <w:szCs w:val="19"/>
              </w:rPr>
              <w:t xml:space="preserve">Windows</w:t>
            </w:r>
          </w:p>
        </w:tc>
        <w:tc>
          <w:tcPr>
            <w:tcW w:type="dxa" w:w="6870"/>
            <w:shd w:fill="F2F4F7" w:val="clear"/>
            <w:tcMar>
              <w:top w:type="dxa" w:w="80"/>
              <w:left w:type="dxa" w:w="120"/>
              <w:bottom w:type="dxa" w:w="80"/>
              <w:right w:type="dxa" w:w="120"/>
            </w:tcMar>
          </w:tcPr>
          <w:p>
            <w:pPr>
              <w:spacing w:after="0" w:line="252"/>
            </w:pPr>
            <w:r>
              <w:rPr>
                <w:b w:val="false"/>
                <w:bCs w:val="false"/>
                <w:sz w:val="19"/>
                <w:szCs w:val="19"/>
              </w:rPr>
              <w:t xml:space="preserve">%APPDATA%\EvalFP\evalfp.db</w:t>
            </w:r>
          </w:p>
        </w:tc>
      </w:tr>
    </w:tbl>
    <w:p>
      <w:pPr>
        <w:spacing w:after="60"/>
      </w:pPr>
    </w:p>
    <w:p>
      <w:pPr>
        <w:spacing w:after="120" w:line="276"/>
      </w:pPr>
      <w:r>
        <w:t xml:space="preserve">Que esté fuera de la aplicación tiene dos consecuencias buenas: instalar una versión nueva encima no borra nada, y para llevarte el cuaderno a otro ordenador basta con copiar ese archivo a la misma ruta del equipo de destino, con la aplicación cerrada en ambos.</w:t>
      </w:r>
    </w:p>
    <w:p>
      <w:pPr>
        <w:spacing w:after="120" w:line="276"/>
      </w:pPr>
      <w:r>
        <w:t xml:space="preserve">Lo que la aplicación genera —informes, apuntes, boletines, correcciones— va a Documentos/EvalFP, en subcarpetas por tipo: Material IA, boletines, apuntes y correcciones.</w:t>
      </w:r>
    </w:p>
    <w:p>
      <w:pPr>
        <w:pStyle w:val="Heading2"/>
        <w:spacing w:after="120" w:before="280"/>
      </w:pPr>
      <w:r>
        <w:t xml:space="preserve">3.2 Datos de menores</w:t>
      </w:r>
    </w:p>
    <w:p>
      <w:pPr>
        <w:spacing w:after="120" w:line="276"/>
      </w:pPr>
      <w:r>
        <w:t xml:space="preserve">Este cuaderno guarda datos personales de alumnado menor de edad, así que conviene tenerlo claro: no sale nada del ordenador, salvo si usas la IA. La aplicación no tiene cuenta, ni nube, ni telemetría, y funciona entera sin conexión.</w:t>
      </w:r>
    </w:p>
    <w:p>
      <w:pPr>
        <w:spacing w:after="120" w:line="276"/>
      </w:pPr>
      <w:r>
        <w:t xml:space="preserve">Cuando pides un informe, un plan de recuperación, una radiografía del grupo o una corrección desde foto, sí sale información hacia el proveedor de IA configurado: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1F3864" w:val="clear"/>
            <w:tcMar>
              <w:top w:type="dxa" w:w="80"/>
              <w:left w:type="dxa" w:w="120"/>
              <w:bottom w:type="dxa" w:w="80"/>
              <w:right w:type="dxa" w:w="120"/>
            </w:tcMar>
          </w:tcPr>
          <w:p>
            <w:pPr>
              <w:spacing w:after="0" w:line="252"/>
            </w:pPr>
            <w:r>
              <w:rPr>
                <w:b/>
                <w:bCs/>
                <w:color w:val="FFFFFF"/>
                <w:sz w:val="19"/>
                <w:szCs w:val="19"/>
              </w:rPr>
              <w:t xml:space="preserve">Se envía</w:t>
            </w:r>
          </w:p>
        </w:tc>
        <w:tc>
          <w:tcPr>
            <w:tcW w:type="dxa" w:w="4535"/>
            <w:shd w:fill="1F3864" w:val="clear"/>
            <w:tcMar>
              <w:top w:type="dxa" w:w="80"/>
              <w:left w:type="dxa" w:w="120"/>
              <w:bottom w:type="dxa" w:w="80"/>
              <w:right w:type="dxa" w:w="120"/>
            </w:tcMar>
          </w:tcPr>
          <w:p>
            <w:pPr>
              <w:spacing w:after="0" w:line="252"/>
            </w:pPr>
            <w:r>
              <w:rPr>
                <w:b/>
                <w:bCs/>
                <w:color w:val="FFFFFF"/>
                <w:sz w:val="19"/>
                <w:szCs w:val="19"/>
              </w:rPr>
              <w:t xml:space="preserve">No se envía</w:t>
            </w:r>
          </w:p>
        </w:tc>
      </w:tr>
      <w:tr>
        <w:tc>
          <w:tcPr>
            <w:tcW w:type="dxa" w:w="4535"/>
            <w:tcMar>
              <w:top w:type="dxa" w:w="80"/>
              <w:left w:type="dxa" w:w="120"/>
              <w:bottom w:type="dxa" w:w="80"/>
              <w:right w:type="dxa" w:w="120"/>
            </w:tcMar>
          </w:tcPr>
          <w:p>
            <w:pPr>
              <w:spacing w:after="0" w:line="252"/>
            </w:pPr>
            <w:r>
              <w:rPr>
                <w:b w:val="false"/>
                <w:bCs w:val="false"/>
                <w:sz w:val="19"/>
                <w:szCs w:val="19"/>
              </w:rPr>
              <w:t xml:space="preserve">Notas por resultado de aprendizaje</w:t>
            </w:r>
          </w:p>
        </w:tc>
        <w:tc>
          <w:tcPr>
            <w:tcW w:type="dxa" w:w="4535"/>
            <w:tcMar>
              <w:top w:type="dxa" w:w="80"/>
              <w:left w:type="dxa" w:w="120"/>
              <w:bottom w:type="dxa" w:w="80"/>
              <w:right w:type="dxa" w:w="120"/>
            </w:tcMar>
          </w:tcPr>
          <w:p>
            <w:pPr>
              <w:spacing w:after="0" w:line="252"/>
            </w:pPr>
            <w:r>
              <w:rPr>
                <w:b w:val="false"/>
                <w:bCs w:val="false"/>
                <w:sz w:val="19"/>
                <w:szCs w:val="19"/>
              </w:rPr>
              <w:t xml:space="preserve">Nombres y apellidos: la casilla de anonimizar viene marcada</w:t>
            </w:r>
          </w:p>
        </w:tc>
      </w:tr>
      <w:tr>
        <w:tc>
          <w:tcPr>
            <w:tcW w:type="dxa" w:w="4535"/>
            <w:shd w:fill="F2F4F7" w:val="clear"/>
            <w:tcMar>
              <w:top w:type="dxa" w:w="80"/>
              <w:left w:type="dxa" w:w="120"/>
              <w:bottom w:type="dxa" w:w="80"/>
              <w:right w:type="dxa" w:w="120"/>
            </w:tcMar>
          </w:tcPr>
          <w:p>
            <w:pPr>
              <w:spacing w:after="0" w:line="252"/>
            </w:pPr>
            <w:r>
              <w:rPr>
                <w:b w:val="false"/>
                <w:bCs w:val="false"/>
                <w:sz w:val="19"/>
                <w:szCs w:val="19"/>
              </w:rPr>
              <w:t xml:space="preserve">Descripciones de las actividades y sus notas</w:t>
            </w:r>
          </w:p>
        </w:tc>
        <w:tc>
          <w:tcPr>
            <w:tcW w:type="dxa" w:w="4535"/>
            <w:shd w:fill="F2F4F7" w:val="clear"/>
            <w:tcMar>
              <w:top w:type="dxa" w:w="80"/>
              <w:left w:type="dxa" w:w="120"/>
              <w:bottom w:type="dxa" w:w="80"/>
              <w:right w:type="dxa" w:w="120"/>
            </w:tcMar>
          </w:tcPr>
          <w:p>
            <w:pPr>
              <w:spacing w:after="0" w:line="252"/>
            </w:pPr>
            <w:r>
              <w:rPr>
                <w:b w:val="false"/>
                <w:bCs w:val="false"/>
                <w:sz w:val="19"/>
                <w:szCs w:val="19"/>
              </w:rPr>
              <w:t xml:space="preserve">NIA, correo, teléfono, fecha de nacimiento</w:t>
            </w:r>
          </w:p>
        </w:tc>
      </w:tr>
      <w:tr>
        <w:tc>
          <w:tcPr>
            <w:tcW w:type="dxa" w:w="4535"/>
            <w:tcMar>
              <w:top w:type="dxa" w:w="80"/>
              <w:left w:type="dxa" w:w="120"/>
              <w:bottom w:type="dxa" w:w="80"/>
              <w:right w:type="dxa" w:w="120"/>
            </w:tcMar>
          </w:tcPr>
          <w:p>
            <w:pPr>
              <w:spacing w:after="0" w:line="252"/>
            </w:pPr>
            <w:r>
              <w:rPr>
                <w:b w:val="false"/>
                <w:bCs w:val="false"/>
                <w:sz w:val="19"/>
                <w:szCs w:val="19"/>
              </w:rPr>
              <w:t xml:space="preserve">Los RA y CE del decreto</w:t>
            </w:r>
          </w:p>
        </w:tc>
        <w:tc>
          <w:tcPr>
            <w:tcW w:type="dxa" w:w="4535"/>
            <w:tcMar>
              <w:top w:type="dxa" w:w="80"/>
              <w:left w:type="dxa" w:w="120"/>
              <w:bottom w:type="dxa" w:w="80"/>
              <w:right w:type="dxa" w:w="120"/>
            </w:tcMar>
          </w:tcPr>
          <w:p>
            <w:pPr>
              <w:spacing w:after="0" w:line="252"/>
            </w:pPr>
            <w:r>
              <w:rPr>
                <w:b w:val="false"/>
                <w:bCs w:val="false"/>
                <w:sz w:val="19"/>
                <w:szCs w:val="19"/>
              </w:rPr>
              <w:t xml:space="preserve">Datos de cualquier persona que no sea la del informe</w:t>
            </w:r>
          </w:p>
        </w:tc>
      </w:tr>
      <w:tr>
        <w:tc>
          <w:tcPr>
            <w:tcW w:type="dxa" w:w="4535"/>
            <w:shd w:fill="F2F4F7" w:val="clear"/>
            <w:tcMar>
              <w:top w:type="dxa" w:w="80"/>
              <w:left w:type="dxa" w:w="120"/>
              <w:bottom w:type="dxa" w:w="80"/>
              <w:right w:type="dxa" w:w="120"/>
            </w:tcMar>
          </w:tcPr>
          <w:p>
            <w:pPr>
              <w:spacing w:after="0" w:line="252"/>
            </w:pPr>
            <w:r>
              <w:rPr>
                <w:b w:val="false"/>
                <w:bCs w:val="false"/>
                <w:sz w:val="19"/>
                <w:szCs w:val="19"/>
              </w:rPr>
              <w:t xml:space="preserve">En la corrección, la foto del examen</w:t>
            </w:r>
          </w:p>
        </w:tc>
        <w:tc>
          <w:tcPr>
            <w:tcW w:type="dxa" w:w="4535"/>
            <w:shd w:fill="F2F4F7" w:val="clear"/>
            <w:tcMar>
              <w:top w:type="dxa" w:w="80"/>
              <w:left w:type="dxa" w:w="120"/>
              <w:bottom w:type="dxa" w:w="80"/>
              <w:right w:type="dxa" w:w="120"/>
            </w:tcMar>
          </w:tcPr>
          <w:p>
            <w:pPr>
              <w:spacing w:after="0" w:line="252"/>
            </w:pPr>
            <w:r>
              <w:rPr>
                <w:b w:val="false"/>
                <w:bCs w:val="false"/>
                <w:sz w:val="19"/>
                <w:szCs w:val="19"/>
              </w:rPr>
              <w:t xml:space="preserve">—</w:t>
            </w:r>
          </w:p>
        </w:tc>
      </w:tr>
    </w:tbl>
    <w:p>
      <w:pPr>
        <w:spacing w:after="60"/>
      </w:pPr>
    </w:p>
    <w:p>
      <w:pPr>
        <w:spacing w:after="120" w:line="276"/>
      </w:pPr>
      <w:r>
        <w:t xml:space="preserve">Cada una de esas pantallas exige marcar una casilla de conformidad antes de enviar nada, y la radiografía del grupo va siempre sin nombres. Si desmarcas la casilla de anonimizar, el nombre sí viaja: hazlo solo si sabes por qué.</w:t>
      </w:r>
    </w:p>
    <w:p>
      <w:pPr>
        <w:spacing w:after="120" w:line="276"/>
      </w:pPr>
      <w:r>
        <w:t xml:space="preserve">Los registros de funcionamiento (Documentos/EvalFP/logs) no guardan datos de alumnado: solo si arrancó la aplicación, si se hizo la copia y qué error hubo. Para borrarlo todo basta con eliminar la carpeta de datos y la carpeta Documentos/EvalFP.</w:t>
      </w:r>
    </w:p>
    <w:p>
      <w:pPr>
        <w:pStyle w:val="Heading2"/>
        <w:spacing w:after="120" w:before="280"/>
      </w:pPr>
      <w:r>
        <w:t xml:space="preserve">3.3 Copias de seguridad</w:t>
      </w:r>
    </w:p>
    <w:p>
      <w:pPr>
        <w:spacing w:after="120" w:line="276"/>
      </w:pPr>
      <w:r>
        <w:t xml:space="preserve">Se hacen solas: una diaria a las 2:00 y otra cada vez que cierras la aplicación. Se guardan como evalfp_&lt;fecha&gt;.db en la subcarpeta backups de la carpeta de datos, y las de más de 30 días se borran para no acumular.</w:t>
      </w:r>
    </w:p>
    <w:p>
      <w:pPr>
        <w:spacing w:after="120" w:line="276"/>
      </w:pPr>
      <w:r>
        <w:t xml:space="preserve">En Ajustes ves cuántas hay y de cuándo es la última, puedes abrir la carpeta y puedes crear una a demanda. Conviene hacerlo antes de tocar algo delicado, como rehacer la programación de un módulo en marcha.</w:t>
      </w:r>
    </w:p>
    <w:p>
      <w:pPr>
        <w:spacing w:after="120" w:line="276"/>
      </w:pPr>
      <w:r>
        <w:t xml:space="preserve">Para restaurar: cierra la aplicación, sustituye evalfp.db por la copia que quieras —quitándole la fecha del nombre— y vuelve a abrir.</w:t>
      </w:r>
    </w:p>
    <w:p>
      <w:r>
        <w:br w:type="page"/>
      </w:r>
    </w:p>
    <w:p>
      <w:pPr>
        <w:pStyle w:val="Heading1"/>
        <w:spacing w:after="160" w:before="360"/>
      </w:pPr>
      <w:r>
        <w:t xml:space="preserve">4. El mapa de la aplicación</w:t>
      </w:r>
    </w:p>
    <w:p>
      <w:pPr>
        <w:spacing w:after="120" w:line="276"/>
      </w:pPr>
      <w:r>
        <w:t xml:space="preserve">La columna de la izquierda es la navegación. Arriba del todo está el selector de módulo: casi todas las pantallas trabajan sobre el módulo que tengas seleccionado ahí, así que es lo primero que se toca al entrar.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tblHeader/>
        </w:trPr>
        <w:tc>
          <w:tcPr>
            <w:tcW w:type="dxa" w:w="2200"/>
            <w:shd w:fill="1F3864" w:val="clear"/>
            <w:tcMar>
              <w:top w:type="dxa" w:w="80"/>
              <w:left w:type="dxa" w:w="120"/>
              <w:bottom w:type="dxa" w:w="80"/>
              <w:right w:type="dxa" w:w="120"/>
            </w:tcMar>
          </w:tcPr>
          <w:p>
            <w:pPr>
              <w:spacing w:after="0" w:line="252"/>
            </w:pPr>
            <w:r>
              <w:rPr>
                <w:b/>
                <w:bCs/>
                <w:color w:val="FFFFFF"/>
                <w:sz w:val="19"/>
                <w:szCs w:val="19"/>
              </w:rPr>
              <w:t xml:space="preserve">Pantalla</w:t>
            </w:r>
          </w:p>
        </w:tc>
        <w:tc>
          <w:tcPr>
            <w:tcW w:type="dxa" w:w="6870"/>
            <w:shd w:fill="1F3864" w:val="clear"/>
            <w:tcMar>
              <w:top w:type="dxa" w:w="80"/>
              <w:left w:type="dxa" w:w="120"/>
              <w:bottom w:type="dxa" w:w="80"/>
              <w:right w:type="dxa" w:w="120"/>
            </w:tcMar>
          </w:tcPr>
          <w:p>
            <w:pPr>
              <w:spacing w:after="0" w:line="252"/>
            </w:pPr>
            <w:r>
              <w:rPr>
                <w:b/>
                <w:bCs/>
                <w:color w:val="FFFFFF"/>
                <w:sz w:val="19"/>
                <w:szCs w:val="19"/>
              </w:rPr>
              <w:t xml:space="preserve">Para qué sirve</w:t>
            </w:r>
          </w:p>
        </w:tc>
      </w:tr>
      <w:tr>
        <w:tc>
          <w:tcPr>
            <w:tcW w:type="dxa" w:w="2200"/>
            <w:tcMar>
              <w:top w:type="dxa" w:w="80"/>
              <w:left w:type="dxa" w:w="120"/>
              <w:bottom w:type="dxa" w:w="80"/>
              <w:right w:type="dxa" w:w="120"/>
            </w:tcMar>
          </w:tcPr>
          <w:p>
            <w:pPr>
              <w:spacing w:after="0" w:line="252"/>
            </w:pPr>
            <w:r>
              <w:rPr>
                <w:b w:val="false"/>
                <w:bCs w:val="false"/>
                <w:sz w:val="19"/>
                <w:szCs w:val="19"/>
              </w:rPr>
              <w:t xml:space="preserve">🏠 Inicio</w:t>
            </w:r>
          </w:p>
        </w:tc>
        <w:tc>
          <w:tcPr>
            <w:tcW w:type="dxa" w:w="6870"/>
            <w:tcMar>
              <w:top w:type="dxa" w:w="80"/>
              <w:left w:type="dxa" w:w="120"/>
              <w:bottom w:type="dxa" w:w="80"/>
              <w:right w:type="dxa" w:w="120"/>
            </w:tcMar>
          </w:tcPr>
          <w:p>
            <w:pPr>
              <w:spacing w:after="0" w:line="252"/>
            </w:pPr>
            <w:r>
              <w:rPr>
                <w:b w:val="false"/>
                <w:bCs w:val="false"/>
                <w:sz w:val="19"/>
                <w:szCs w:val="19"/>
              </w:rPr>
              <w:t xml:space="preserve">Portada con accesos directos a Módulos, Alumnos, Notas, Dashboard y Asistente IA.</w:t>
            </w:r>
          </w:p>
        </w:tc>
      </w:tr>
      <w:tr>
        <w:tc>
          <w:tcPr>
            <w:tcW w:type="dxa" w:w="2200"/>
            <w:shd w:fill="F2F4F7" w:val="clear"/>
            <w:tcMar>
              <w:top w:type="dxa" w:w="80"/>
              <w:left w:type="dxa" w:w="120"/>
              <w:bottom w:type="dxa" w:w="80"/>
              <w:right w:type="dxa" w:w="120"/>
            </w:tcMar>
          </w:tcPr>
          <w:p>
            <w:pPr>
              <w:spacing w:after="0" w:line="252"/>
            </w:pPr>
            <w:r>
              <w:rPr>
                <w:b w:val="false"/>
                <w:bCs w:val="false"/>
                <w:sz w:val="19"/>
                <w:szCs w:val="19"/>
              </w:rPr>
              <w:t xml:space="preserve">📋 Programación</w:t>
            </w:r>
          </w:p>
        </w:tc>
        <w:tc>
          <w:tcPr>
            <w:tcW w:type="dxa" w:w="6870"/>
            <w:shd w:fill="F2F4F7" w:val="clear"/>
            <w:tcMar>
              <w:top w:type="dxa" w:w="80"/>
              <w:left w:type="dxa" w:w="120"/>
              <w:bottom w:type="dxa" w:w="80"/>
              <w:right w:type="dxa" w:w="120"/>
            </w:tcMar>
          </w:tcPr>
          <w:p>
            <w:pPr>
              <w:spacing w:after="0" w:line="252"/>
            </w:pPr>
            <w:r>
              <w:rPr>
                <w:b w:val="false"/>
                <w:bCs w:val="false"/>
                <w:sz w:val="19"/>
                <w:szCs w:val="19"/>
              </w:rPr>
              <w:t xml:space="preserve">El corazón del cuaderno: unidades de trabajo, resultados de aprendizaje, ponderaciones, actividades y qué criterios evalúa cada una.</w:t>
            </w:r>
          </w:p>
        </w:tc>
      </w:tr>
      <w:tr>
        <w:tc>
          <w:tcPr>
            <w:tcW w:type="dxa" w:w="2200"/>
            <w:tcMar>
              <w:top w:type="dxa" w:w="80"/>
              <w:left w:type="dxa" w:w="120"/>
              <w:bottom w:type="dxa" w:w="80"/>
              <w:right w:type="dxa" w:w="120"/>
            </w:tcMar>
          </w:tcPr>
          <w:p>
            <w:pPr>
              <w:spacing w:after="0" w:line="252"/>
            </w:pPr>
            <w:r>
              <w:rPr>
                <w:b w:val="false"/>
                <w:bCs w:val="false"/>
                <w:sz w:val="19"/>
                <w:szCs w:val="19"/>
              </w:rPr>
              <w:t xml:space="preserve">👥 Alumnos</w:t>
            </w:r>
          </w:p>
        </w:tc>
        <w:tc>
          <w:tcPr>
            <w:tcW w:type="dxa" w:w="6870"/>
            <w:tcMar>
              <w:top w:type="dxa" w:w="80"/>
              <w:left w:type="dxa" w:w="120"/>
              <w:bottom w:type="dxa" w:w="80"/>
              <w:right w:type="dxa" w:w="120"/>
            </w:tcMar>
          </w:tcPr>
          <w:p>
            <w:pPr>
              <w:spacing w:after="0" w:line="252"/>
            </w:pPr>
            <w:r>
              <w:rPr>
                <w:b w:val="false"/>
                <w:bCs w:val="false"/>
                <w:sz w:val="19"/>
                <w:szCs w:val="19"/>
              </w:rPr>
              <w:t xml:space="preserve">La lista de clase, las faltas, la fase de empresa, las convocatorias, la pérdida de evaluación continua y las convalidaciones.</w:t>
            </w:r>
          </w:p>
        </w:tc>
      </w:tr>
      <w:tr>
        <w:tc>
          <w:tcPr>
            <w:tcW w:type="dxa" w:w="2200"/>
            <w:shd w:fill="F2F4F7" w:val="clear"/>
            <w:tcMar>
              <w:top w:type="dxa" w:w="80"/>
              <w:left w:type="dxa" w:w="120"/>
              <w:bottom w:type="dxa" w:w="80"/>
              <w:right w:type="dxa" w:w="120"/>
            </w:tcMar>
          </w:tcPr>
          <w:p>
            <w:pPr>
              <w:spacing w:after="0" w:line="252"/>
            </w:pPr>
            <w:r>
              <w:rPr>
                <w:b w:val="false"/>
                <w:bCs w:val="false"/>
                <w:sz w:val="19"/>
                <w:szCs w:val="19"/>
              </w:rPr>
              <w:t xml:space="preserve">🔢 Notas</w:t>
            </w:r>
          </w:p>
        </w:tc>
        <w:tc>
          <w:tcPr>
            <w:tcW w:type="dxa" w:w="6870"/>
            <w:shd w:fill="F2F4F7" w:val="clear"/>
            <w:tcMar>
              <w:top w:type="dxa" w:w="80"/>
              <w:left w:type="dxa" w:w="120"/>
              <w:bottom w:type="dxa" w:w="80"/>
              <w:right w:type="dxa" w:w="120"/>
            </w:tcMar>
          </w:tcPr>
          <w:p>
            <w:pPr>
              <w:spacing w:after="0" w:line="252"/>
            </w:pPr>
            <w:r>
              <w:rPr>
                <w:b w:val="false"/>
                <w:bCs w:val="false"/>
                <w:sz w:val="19"/>
                <w:szCs w:val="19"/>
              </w:rPr>
              <w:t xml:space="preserve">La parrilla de calificación, actividad por actividad, con recuperaciones y exportación a PDF.</w:t>
            </w:r>
          </w:p>
        </w:tc>
      </w:tr>
      <w:tr>
        <w:tc>
          <w:tcPr>
            <w:tcW w:type="dxa" w:w="2200"/>
            <w:tcMar>
              <w:top w:type="dxa" w:w="80"/>
              <w:left w:type="dxa" w:w="120"/>
              <w:bottom w:type="dxa" w:w="80"/>
              <w:right w:type="dxa" w:w="120"/>
            </w:tcMar>
          </w:tcPr>
          <w:p>
            <w:pPr>
              <w:spacing w:after="0" w:line="252"/>
            </w:pPr>
            <w:r>
              <w:rPr>
                <w:b w:val="false"/>
                <w:bCs w:val="false"/>
                <w:sz w:val="19"/>
                <w:szCs w:val="19"/>
              </w:rPr>
              <w:t xml:space="preserve">📊 Evaluaciones</w:t>
            </w:r>
          </w:p>
        </w:tc>
        <w:tc>
          <w:tcPr>
            <w:tcW w:type="dxa" w:w="6870"/>
            <w:tcMar>
              <w:top w:type="dxa" w:w="80"/>
              <w:left w:type="dxa" w:w="120"/>
              <w:bottom w:type="dxa" w:w="80"/>
              <w:right w:type="dxa" w:w="120"/>
            </w:tcMar>
          </w:tcPr>
          <w:p>
            <w:pPr>
              <w:spacing w:after="0" w:line="252"/>
            </w:pPr>
            <w:r>
              <w:rPr>
                <w:b w:val="false"/>
                <w:bCs w:val="false"/>
                <w:sz w:val="19"/>
                <w:szCs w:val="19"/>
              </w:rPr>
              <w:t xml:space="preserve">El resultado por evaluación y por convocatoria, el veredicto del módulo y el acta.</w:t>
            </w:r>
          </w:p>
        </w:tc>
      </w:tr>
      <w:tr>
        <w:tc>
          <w:tcPr>
            <w:tcW w:type="dxa" w:w="2200"/>
            <w:shd w:fill="F2F4F7" w:val="clear"/>
            <w:tcMar>
              <w:top w:type="dxa" w:w="80"/>
              <w:left w:type="dxa" w:w="120"/>
              <w:bottom w:type="dxa" w:w="80"/>
              <w:right w:type="dxa" w:w="120"/>
            </w:tcMar>
          </w:tcPr>
          <w:p>
            <w:pPr>
              <w:spacing w:after="0" w:line="252"/>
            </w:pPr>
            <w:r>
              <w:rPr>
                <w:b w:val="false"/>
                <w:bCs w:val="false"/>
                <w:sz w:val="19"/>
                <w:szCs w:val="19"/>
              </w:rPr>
              <w:t xml:space="preserve">📈 Dashboard</w:t>
            </w:r>
          </w:p>
        </w:tc>
        <w:tc>
          <w:tcPr>
            <w:tcW w:type="dxa" w:w="6870"/>
            <w:shd w:fill="F2F4F7" w:val="clear"/>
            <w:tcMar>
              <w:top w:type="dxa" w:w="80"/>
              <w:left w:type="dxa" w:w="120"/>
              <w:bottom w:type="dxa" w:w="80"/>
              <w:right w:type="dxa" w:w="120"/>
            </w:tcMar>
          </w:tcPr>
          <w:p>
            <w:pPr>
              <w:spacing w:after="0" w:line="252"/>
            </w:pPr>
            <w:r>
              <w:rPr>
                <w:b w:val="false"/>
                <w:bCs w:val="false"/>
                <w:sz w:val="19"/>
                <w:szCs w:val="19"/>
              </w:rPr>
              <w:t xml:space="preserve">Vista de conjunto de la clase y boletines individuales en PDF.</w:t>
            </w:r>
          </w:p>
        </w:tc>
      </w:tr>
      <w:tr>
        <w:tc>
          <w:tcPr>
            <w:tcW w:type="dxa" w:w="2200"/>
            <w:tcMar>
              <w:top w:type="dxa" w:w="80"/>
              <w:left w:type="dxa" w:w="120"/>
              <w:bottom w:type="dxa" w:w="80"/>
              <w:right w:type="dxa" w:w="120"/>
            </w:tcMar>
          </w:tcPr>
          <w:p>
            <w:pPr>
              <w:spacing w:after="0" w:line="252"/>
            </w:pPr>
            <w:r>
              <w:rPr>
                <w:b w:val="false"/>
                <w:bCs w:val="false"/>
                <w:sz w:val="19"/>
                <w:szCs w:val="19"/>
              </w:rPr>
              <w:t xml:space="preserve">🤖 Asistente IA</w:t>
            </w:r>
          </w:p>
        </w:tc>
        <w:tc>
          <w:tcPr>
            <w:tcW w:type="dxa" w:w="6870"/>
            <w:tcMar>
              <w:top w:type="dxa" w:w="80"/>
              <w:left w:type="dxa" w:w="120"/>
              <w:bottom w:type="dxa" w:w="80"/>
              <w:right w:type="dxa" w:w="120"/>
            </w:tcMar>
          </w:tcPr>
          <w:p>
            <w:pPr>
              <w:spacing w:after="0" w:line="252"/>
            </w:pPr>
            <w:r>
              <w:rPr>
                <w:b w:val="false"/>
                <w:bCs w:val="false"/>
                <w:sz w:val="19"/>
                <w:szCs w:val="19"/>
              </w:rPr>
              <w:t xml:space="preserve">Nueve utilidades opcionales de generación y apoyo. Nunca pone notas por sí solo.</w:t>
            </w:r>
          </w:p>
        </w:tc>
      </w:tr>
      <w:tr>
        <w:tc>
          <w:tcPr>
            <w:tcW w:type="dxa" w:w="2200"/>
            <w:shd w:fill="F2F4F7" w:val="clear"/>
            <w:tcMar>
              <w:top w:type="dxa" w:w="80"/>
              <w:left w:type="dxa" w:w="120"/>
              <w:bottom w:type="dxa" w:w="80"/>
              <w:right w:type="dxa" w:w="120"/>
            </w:tcMar>
          </w:tcPr>
          <w:p>
            <w:pPr>
              <w:spacing w:after="0" w:line="252"/>
            </w:pPr>
            <w:r>
              <w:rPr>
                <w:b w:val="false"/>
                <w:bCs w:val="false"/>
                <w:sz w:val="19"/>
                <w:szCs w:val="19"/>
              </w:rPr>
              <w:t xml:space="preserve">📚 Módulos</w:t>
            </w:r>
          </w:p>
        </w:tc>
        <w:tc>
          <w:tcPr>
            <w:tcW w:type="dxa" w:w="6870"/>
            <w:shd w:fill="F2F4F7" w:val="clear"/>
            <w:tcMar>
              <w:top w:type="dxa" w:w="80"/>
              <w:left w:type="dxa" w:w="120"/>
              <w:bottom w:type="dxa" w:w="80"/>
              <w:right w:type="dxa" w:w="120"/>
            </w:tcMar>
          </w:tcPr>
          <w:p>
            <w:pPr>
              <w:spacing w:after="0" w:line="252"/>
            </w:pPr>
            <w:r>
              <w:rPr>
                <w:b w:val="false"/>
                <w:bCs w:val="false"/>
                <w:sz w:val="19"/>
                <w:szCs w:val="19"/>
              </w:rPr>
              <w:t xml:space="preserve">Alta y baja de módulos desde el catálogo oficial de Castilla-La Mancha.</w:t>
            </w:r>
          </w:p>
        </w:tc>
      </w:tr>
      <w:tr>
        <w:tc>
          <w:tcPr>
            <w:tcW w:type="dxa" w:w="2200"/>
            <w:tcMar>
              <w:top w:type="dxa" w:w="80"/>
              <w:left w:type="dxa" w:w="120"/>
              <w:bottom w:type="dxa" w:w="80"/>
              <w:right w:type="dxa" w:w="120"/>
            </w:tcMar>
          </w:tcPr>
          <w:p>
            <w:pPr>
              <w:spacing w:after="0" w:line="252"/>
            </w:pPr>
            <w:r>
              <w:rPr>
                <w:b w:val="false"/>
                <w:bCs w:val="false"/>
                <w:sz w:val="19"/>
                <w:szCs w:val="19"/>
              </w:rPr>
              <w:t xml:space="preserve">⚙️ Ajustes</w:t>
            </w:r>
          </w:p>
        </w:tc>
        <w:tc>
          <w:tcPr>
            <w:tcW w:type="dxa" w:w="6870"/>
            <w:tcMar>
              <w:top w:type="dxa" w:w="80"/>
              <w:left w:type="dxa" w:w="120"/>
              <w:bottom w:type="dxa" w:w="80"/>
              <w:right w:type="dxa" w:w="120"/>
            </w:tcMar>
          </w:tcPr>
          <w:p>
            <w:pPr>
              <w:spacing w:after="0" w:line="252"/>
            </w:pPr>
            <w:r>
              <w:rPr>
                <w:b w:val="false"/>
                <w:bCs w:val="false"/>
                <w:sz w:val="19"/>
                <w:szCs w:val="19"/>
              </w:rPr>
              <w:t xml:space="preserve">Claves de IA, preferencias, apariencia, copias de seguridad, módulos archivados y fase de empresa del CE de Python.</w:t>
            </w:r>
          </w:p>
        </w:tc>
      </w:tr>
    </w:tbl>
    <w:p>
      <w:pPr>
        <w:spacing w:after="60"/>
      </w:pPr>
    </w:p>
    <w:p>
      <w:pPr>
        <w:spacing w:after="120" w:line="276"/>
      </w:pPr>
      <w:r>
        <w:t xml:space="preserve">Abajo del todo, junto al número de versión, el botón «Acerca de» muestra la versión exacta y la licencia. Conviene saber dónde está: es lo primero que se enseña si alguien pregunta qué versión se está usando.</w:t>
      </w:r>
    </w:p>
    <w:p>
      <w:r>
        <w:br w:type="page"/>
      </w:r>
    </w:p>
    <w:p>
      <w:pPr>
        <w:pStyle w:val="Heading1"/>
        <w:spacing w:after="160" w:before="360"/>
      </w:pPr>
      <w:r>
        <w:t xml:space="preserve">5. Paso a paso: cómo se trabaja un curso</w:t>
      </w:r>
    </w:p>
    <w:p>
      <w:pPr>
        <w:spacing w:after="120" w:line="276"/>
      </w:pPr>
      <w:r>
        <w:t xml:space="preserve">Este capítulo es el recorrido completo, en el orden real en que se hacen las cosas desde septiembre hasta la evaluación final. Cada paso indica qué se pulsa y qué norma respalda lo que la aplicación hace después.</w:t>
      </w:r>
    </w:p>
    <w:p>
      <w:pPr>
        <w:pStyle w:val="Heading2"/>
        <w:spacing w:after="120" w:before="280"/>
      </w:pPr>
      <w:r>
        <w:t xml:space="preserve">5.1 Dar de alta el módulo</w:t>
      </w:r>
    </w:p>
    <w:p>
      <w:pPr>
        <w:spacing w:after="120" w:line="276"/>
      </w:pPr>
      <w:r>
        <w:rPr>
          <w:b/>
          <w:bCs/>
        </w:rPr>
        <w:t xml:space="preserve">Módulos → ＋ Añadir módulo.</w:t>
      </w:r>
      <w:r>
        <w:t xml:space="preserve"> Se abre el catálogo: en la columna de la izquierda eliges el ciclo —cada uno indica cuántos módulos trae— y en las tarjetas de la derecha, el módulo.</w:t>
      </w:r>
    </w:p>
    <w:p>
      <w:pPr>
        <w:spacing w:after="120" w:line="276"/>
      </w:pPr>
      <w:r>
        <w:t xml:space="preserve">Al aceptar, el módulo llega completo y listo para trabajar:</w:t>
      </w:r>
    </w:p>
    <w:p>
      <w:pPr>
        <w:pStyle w:val="ListParagraph"/>
        <w:numPr>
          <w:ilvl w:val="0"/>
          <w:numId w:val="2"/>
        </w:numPr>
        <w:spacing w:after="80" w:line="276"/>
      </w:pPr>
      <w:r>
        <w:t xml:space="preserve">Sus resultados de aprendizaje y sus criterios de evaluación, literales del decreto.</w:t>
      </w:r>
    </w:p>
    <w:p>
      <w:pPr>
        <w:pStyle w:val="ListParagraph"/>
        <w:numPr>
          <w:ilvl w:val="0"/>
          <w:numId w:val="2"/>
        </w:numPr>
        <w:spacing w:after="80" w:line="276"/>
      </w:pPr>
      <w:r>
        <w:t xml:space="preserve">Sus unidades de trabajo, ya repartidas por evaluación.</w:t>
      </w:r>
    </w:p>
    <w:p>
      <w:pPr>
        <w:pStyle w:val="ListParagraph"/>
        <w:numPr>
          <w:ilvl w:val="0"/>
          <w:numId w:val="2"/>
        </w:numPr>
        <w:spacing w:after="80" w:line="276"/>
      </w:pPr>
      <w:r>
        <w:t xml:space="preserve">Unas actividades de partida: las prácticas se llevan el 30 % de cada evaluación y el examen el 70 %, y todas traen marcados los criterios de su unidad.</w:t>
      </w:r>
    </w:p>
    <w:p>
      <w:pPr>
        <w:pStyle w:val="ListParagraph"/>
        <w:numPr>
          <w:ilvl w:val="0"/>
          <w:numId w:val="2"/>
        </w:numPr>
        <w:spacing w:after="80" w:line="276"/>
      </w:pPr>
      <w:r>
        <w:t xml:space="preserve">Sus horas oficiales y las de aula, y la cita del decreto del que salen unas y otras.</w:t>
      </w:r>
    </w:p>
    <w:p>
      <w:pPr>
        <w:spacing w:after="120" w:line="276"/>
      </w:pPr>
      <w:r>
        <w:t xml:space="preserve">Si das el mismo módulo a dos clases, añádelo dos veces poniéndole a cada una su grupo. Son cuadernos separados: alumnado, notas y programación no se mezclan.</w:t>
      </w:r>
    </w:p>
    <w:p>
      <w:pPr>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9C9A8" w:sz="2"/>
              <w:left w:val="single" w:color="2E5496" w:sz="18"/>
              <w:bottom w:val="single" w:color="D9C9A8" w:sz="2"/>
              <w:right w:val="single" w:color="D9C9A8" w:sz="2"/>
            </w:tcBorders>
            <w:shd w:fill="FFF4E0" w:val="clear"/>
            <w:tcMar>
              <w:top w:type="dxa" w:w="140"/>
              <w:left w:type="dxa" w:w="180"/>
              <w:bottom w:type="dxa" w:w="140"/>
              <w:right w:type="dxa" w:w="180"/>
            </w:tcMar>
          </w:tcPr>
          <w:p>
            <w:pPr>
              <w:spacing w:after="60"/>
            </w:pPr>
            <w:r>
              <w:rPr>
                <w:b/>
                <w:bCs/>
                <w:color w:val="1F3864"/>
              </w:rPr>
              <w:t xml:space="preserve">Por qué esto pasa una inspección</w:t>
            </w:r>
          </w:p>
          <w:p>
            <w:pPr>
              <w:spacing w:after="40" w:line="264"/>
            </w:pPr>
            <w:r>
              <w:rPr>
                <w:sz w:val="20"/>
                <w:szCs w:val="20"/>
              </w:rPr>
              <w:t xml:space="preserve">Lo que se inspecciona aquí es si los criterios de evaluación del cuaderno son los del currículo autonómico. Los de EvalFP están copiados del texto del DOCM, no del Real Decreto estatal ni de resúmenes: los dos textos existen y no coinciden.</w:t>
            </w:r>
          </w:p>
          <w:p>
            <w:pPr>
              <w:spacing w:after="40" w:line="264"/>
            </w:pPr>
            <w:r>
              <w:rPr>
                <w:sz w:val="20"/>
                <w:szCs w:val="20"/>
              </w:rPr>
              <w:t xml:space="preserve">Cada módulo guarda además la doble cita: de qué decreto y anexo salen sus horas y de cuál sus RA y criterios, con número de DOCM y fecha. Casi nunca son el mismo decreto, porque los de 2024 fijaron las horas pero no reescribieron los currículos. El apartado 8.2 tiene la tabla completa, ciclo por ciclo, de las dos familias del catálogo: Administración y Gestión e Informática y Comunicaciones.</w:t>
            </w:r>
          </w:p>
        </w:tc>
      </w:tr>
    </w:tbl>
    <w:p>
      <w:pPr>
        <w:spacing w:after="60"/>
      </w:pPr>
    </w:p>
    <w:p>
      <w:pPr>
        <w:spacing w:after="120" w:line="276"/>
      </w:pPr>
      <w:r>
        <w:rPr>
          <w:b/>
          <w:bCs/>
        </w:rPr>
        <w:t xml:space="preserve">Si borras un módulo sin querer: </w:t>
      </w:r>
      <w:r>
        <w:t xml:space="preserve">borrar archiva. El módulo desaparece de la lista pero conserva alumnado, notas y programación, y se restaura desde Ajustes → Módulos archivados. El borrado definitivo, que sí arrastra todo lo demás, es una segunda confirmación aparte. Ante la duda, archiva.</w:t>
      </w:r>
    </w:p>
    <w:p>
      <w:r>
        <w:br w:type="page"/>
      </w:r>
    </w:p>
    <w:p>
      <w:pPr>
        <w:pStyle w:val="Heading2"/>
        <w:spacing w:after="120" w:before="280"/>
      </w:pPr>
      <w:r>
        <w:t xml:space="preserve">5.2 La programación: de dónde come todo lo demás</w:t>
      </w:r>
    </w:p>
    <w:p>
      <w:pPr>
        <w:spacing w:after="120" w:line="276"/>
      </w:pPr>
      <w:r>
        <w:t xml:space="preserve">Esta es la pantalla que hay que entender bien. Todo lo que calcula la aplicación sale de aquí, y casi todos los errores de un cuaderno mal montado se originan en esta pantalla.</w:t>
      </w:r>
    </w:p>
    <w:p>
      <w:pPr>
        <w:pStyle w:val="Heading3"/>
        <w:spacing w:after="100" w:before="220"/>
      </w:pPr>
      <w:r>
        <w:t xml:space="preserve">Las unidades de trabajo</w:t>
      </w:r>
    </w:p>
    <w:p>
      <w:pPr>
        <w:spacing w:after="120" w:line="276"/>
      </w:pPr>
      <w:r>
        <w:t xml:space="preserve">Cada unidad tiene sus horas, su evaluación y los resultados de aprendizaje que trabaja. Se editan directamente sobre la tabla; el botón de RA de cada unidad abre el cuadro donde se marcan.</w:t>
      </w:r>
    </w:p>
    <w:p>
      <w:pPr>
        <w:pStyle w:val="Heading3"/>
        <w:spacing w:after="100" w:before="220"/>
      </w:pPr>
      <w:r>
        <w:t xml:space="preserve">Las ponderaciones</w:t>
      </w:r>
    </w:p>
    <w:p>
      <w:pPr>
        <w:spacing w:after="120" w:line="276"/>
      </w:pPr>
      <w:r>
        <w:t xml:space="preserve">Cada resultado de aprendizaje tiene su peso dentro del módulo, y la suma debe dar 100. Dentro de cada RA se puede además ponderar criterio a criterio.</w:t>
      </w:r>
    </w:p>
    <w:p>
      <w:pPr>
        <w:spacing w:after="120" w:line="276"/>
      </w:pPr>
      <w:r>
        <w:rPr>
          <w:b/>
          <w:bCs/>
        </w:rPr>
        <w:t xml:space="preserve">Esa segunda ponderación es la del artículo 4.3.a de la Orden 201/2024</w:t>
      </w:r>
      <w:r>
        <w:t xml:space="preserve">, que permite atribuir distinta importancia a cada criterio. Si no declaras pesos, todos los criterios del RA valen igual: es una decisión legítima, pero es una decisión, y conviene que esté tomada a conciencia y no por omisión.</w:t>
      </w:r>
    </w:p>
    <w:p>
      <w:pPr>
        <w:spacing w:after="120" w:line="276"/>
      </w:pPr>
      <w:r>
        <w:t xml:space="preserve">El botón «Aplicar a todo el módulo» reparte de una vez la configuración que hayas fijado, para no ir RA por RA.</w:t>
      </w:r>
    </w:p>
    <w:p>
      <w:pPr>
        <w:pStyle w:val="Heading3"/>
        <w:spacing w:after="100" w:before="220"/>
      </w:pPr>
      <w:r>
        <w:t xml:space="preserve">Las actividades y sus criterios</w:t>
      </w:r>
    </w:p>
    <w:p>
      <w:pPr>
        <w:spacing w:after="120" w:line="276"/>
      </w:pPr>
      <w:r>
        <w:t xml:space="preserve">Cada actividad —práctica, examen, exposición, trabajo— declara tres cosas: a qué evaluación pertenece, cuánto pesa dentro de ella y, sobre todo, qué criterios de evaluación evalúa.</w:t>
      </w:r>
    </w:p>
    <w:p>
      <w:pPr>
        <w:spacing w:after="120" w:line="276"/>
      </w:pPr>
      <w:r>
        <w:t xml:space="preserve">La columna RA te dice qué resultado califica cada actividad. En la ficha de cada RA, un punto verde señala los criterios que alguien evalúa y uno hueco los que no evalúa nadie: esa es la comprobación rápida de que no queda currículo sin evaluar.</w:t>
      </w:r>
    </w:p>
    <w:p>
      <w:pPr>
        <w:spacing w:after="120" w:line="276"/>
      </w:pPr>
      <w:r>
        <w:t xml:space="preserve">El botón «Rellenar criterios desde las UT» hace el trabajo grueso de una vez, incluidos los exámenes que no tienen unidad asignada. Dentro del cuadro de criterios tienes además «todos» y «ninguno» por cada RA.</w:t>
      </w:r>
    </w:p>
    <w:p>
      <w:pPr>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9C9A8" w:sz="2"/>
              <w:left w:val="single" w:color="2E5496" w:sz="18"/>
              <w:bottom w:val="single" w:color="D9C9A8" w:sz="2"/>
              <w:right w:val="single" w:color="D9C9A8" w:sz="2"/>
            </w:tcBorders>
            <w:shd w:fill="FFF4E0" w:val="clear"/>
            <w:tcMar>
              <w:top w:type="dxa" w:w="140"/>
              <w:left w:type="dxa" w:w="180"/>
              <w:bottom w:type="dxa" w:w="140"/>
              <w:right w:type="dxa" w:w="180"/>
            </w:tcMar>
          </w:tcPr>
          <w:p>
            <w:pPr>
              <w:spacing w:after="60"/>
            </w:pPr>
            <w:r>
              <w:rPr>
                <w:b/>
                <w:bCs/>
                <w:color w:val="1F3864"/>
              </w:rPr>
              <w:t xml:space="preserve">El aviso que hay que entender sí o sí</w:t>
            </w:r>
          </w:p>
          <w:p>
            <w:pPr>
              <w:spacing w:after="40" w:line="264"/>
            </w:pPr>
            <w:r>
              <w:rPr>
                <w:sz w:val="20"/>
                <w:szCs w:val="20"/>
              </w:rPr>
              <w:t xml:space="preserve">Una actividad sin criterios marcados no cuenta para ningún resultado de aprendizaje, por mucho peso que tenga.</w:t>
            </w:r>
          </w:p>
          <w:p>
            <w:pPr>
              <w:spacing w:after="40" w:line="264"/>
            </w:pPr>
            <w:r>
              <w:rPr>
                <w:sz w:val="20"/>
                <w:szCs w:val="20"/>
              </w:rPr>
              <w:t xml:space="preserve">Si ves un instrumento con la casilla de criterios en ámbar, su nota no está entrando en la calificación del módulo. No es un fallo de la aplicación: es que esa actividad no está declarando qué evalúa, y sin eso no hay forma de imputarla a ningún RA.</w:t>
            </w:r>
          </w:p>
        </w:tc>
      </w:tr>
    </w:tbl>
    <w:p>
      <w:pPr>
        <w:spacing w:after="60"/>
      </w:pPr>
    </w:p>
    <w:p>
      <w:pPr>
        <w:spacing w:after="120" w:line="276"/>
      </w:pPr>
      <w:r>
        <w:rPr>
          <w:b/>
          <w:bCs/>
        </w:rPr>
        <w:t xml:space="preserve">Antes de rehacer la programación de un módulo en marcha, crea una copia de seguridad a demanda desde Ajustes.</w:t>
      </w:r>
      <w:r>
        <w:t xml:space="preserve"> Cambiar ponderaciones a mitad de curso recalcula todo hacia atrás.</w:t>
      </w:r>
    </w:p>
    <w:p>
      <w:r>
        <w:br w:type="page"/>
      </w:r>
    </w:p>
    <w:p>
      <w:pPr>
        <w:pStyle w:val="Heading2"/>
        <w:spacing w:after="120" w:before="280"/>
      </w:pPr>
      <w:r>
        <w:t xml:space="preserve">5.3 El alumnado</w:t>
      </w:r>
    </w:p>
    <w:p>
      <w:pPr>
        <w:spacing w:after="120" w:line="276"/>
      </w:pPr>
      <w:r>
        <w:rPr>
          <w:b/>
          <w:bCs/>
        </w:rPr>
        <w:t xml:space="preserve">Alumnos → 📋 Importar lista</w:t>
      </w:r>
      <w:r>
        <w:t xml:space="preserve"> permite pegar la lista de clase entera de una vez, un nombre por línea, separando solo apellidos y nombre. «＋ Añadir alumno» da de alta uno a uno.</w:t>
      </w:r>
    </w:p>
    <w:p>
      <w:pPr>
        <w:spacing w:after="120" w:line="276"/>
      </w:pPr>
      <w:r>
        <w:t xml:space="preserve">Además de los datos de contacto, la tabla tiene una columna por cada situación que la norma contempla. Estas son, de izquierda a derecha:</w:t>
      </w:r>
    </w:p>
    <w:p>
      <w:pPr>
        <w:pStyle w:val="Heading3"/>
        <w:spacing w:after="100" w:before="220"/>
      </w:pPr>
      <w:r>
        <w:t xml:space="preserve">Faltas (h)</w:t>
      </w:r>
    </w:p>
    <w:p>
      <w:pPr>
        <w:spacing w:after="120" w:line="276"/>
      </w:pPr>
      <w:r>
        <w:t xml:space="preserve">Se anotan en horas. La aplicación calcula el porcentaje sobre las horas del módulo y avisa en rojo al pasar del 25 %.</w:t>
      </w:r>
    </w:p>
    <w:p>
      <w:pPr>
        <w:spacing w:after="120" w:line="276"/>
      </w:pPr>
      <w:r>
        <w:rPr>
          <w:b/>
          <w:bCs/>
        </w:rPr>
        <w:t xml:space="preserve">Ese 25 % es el umbral del artículo 3.3 de la Orden 201/2024</w:t>
      </w:r>
      <w:r>
        <w:t xml:space="preserve">, a partir del cual se puede perder el derecho a la evaluación continua. En grado básico no aplica —artículo 3.4— y la aplicación lo indica en vez de avisar.</w:t>
      </w:r>
    </w:p>
    <w:p>
      <w:pPr>
        <w:spacing w:after="120" w:line="276"/>
      </w:pPr>
      <w:r>
        <w:rPr>
          <w:b/>
          <w:bCs/>
        </w:rPr>
        <w:t xml:space="preserve">Importante: pasar del 25 % no activa nada por sí solo.</w:t>
      </w:r>
      <w:r>
        <w:t xml:space="preserve"> La columna se pone en ámbar, pero la pérdida de la evaluación continua es una decisión del docente y del equipo, con su procedimiento, y hay que declararla expresamente.</w:t>
      </w:r>
    </w:p>
    <w:p>
      <w:pPr>
        <w:pStyle w:val="Heading3"/>
        <w:spacing w:after="100" w:before="220"/>
      </w:pPr>
      <w:r>
        <w:t xml:space="preserve">Empresa</w:t>
      </w:r>
    </w:p>
    <w:p>
      <w:pPr>
        <w:spacing w:after="120" w:line="276"/>
      </w:pPr>
      <w:r>
        <w:t xml:space="preserve">Solo aparece en los módulos con fase de formación en empresa. Cuatro estados: pendiente, superada, no superada o exenta.</w:t>
      </w:r>
    </w:p>
    <w:p>
      <w:pPr>
        <w:spacing w:after="120" w:line="276"/>
      </w:pPr>
      <w:r>
        <w:rPr>
          <w:b/>
          <w:bCs/>
        </w:rPr>
        <w:t xml:space="preserve">Es lo que decide si el módulo queda en «superado parcial», el tercero de los estados del artículo 12 de la Orden 201/2024</w:t>
      </w:r>
      <w:r>
        <w:t xml:space="preserve">: todo lo académico alcanzado pero la fase en empresa aún no. A efectos de promoción cuenta como superado (art. 18.4) y conserva su calificación cuando se complete la fase (art. 25.6), por lo que el tope de 4 del artículo 25.5 no le aplica. La exención se recoge en el artículo 22.</w:t>
      </w:r>
    </w:p>
    <w:p>
      <w:pPr>
        <w:pStyle w:val="Heading3"/>
        <w:spacing w:after="100" w:before="220"/>
      </w:pPr>
      <w:r>
        <w:t xml:space="preserve">Convoc. · pend.</w:t>
      </w:r>
    </w:p>
    <w:p>
      <w:pPr>
        <w:spacing w:after="120" w:line="276"/>
      </w:pPr>
      <w:r>
        <w:t xml:space="preserve">Muestra las convocatorias gastadas con su tope y la marca «pend.» para quien arrastra el módulo de un curso anterior.</w:t>
      </w:r>
    </w:p>
    <w:p>
      <w:pPr>
        <w:spacing w:after="120" w:line="276"/>
      </w:pPr>
      <w:r>
        <w:rPr>
          <w:b/>
          <w:bCs/>
        </w:rPr>
        <w:t xml:space="preserve">El tope lo fija el artículo 8.2 de la Orden 201/2024</w:t>
      </w:r>
      <w:r>
        <w:t xml:space="preserve">: cuatro convocatorias en Grado D y dos en Grado E. La convocatoria extraordinaria es el artículo 9. El régimen del alumnado con módulos pendientes de otro curso está en el artículo 19.</w:t>
      </w:r>
    </w:p>
    <w:p>
      <w:pPr>
        <w:pStyle w:val="Heading3"/>
        <w:spacing w:after="100" w:before="220"/>
      </w:pPr>
      <w:r>
        <w:t xml:space="preserve">Ev. continua · conval.</w:t>
      </w:r>
    </w:p>
    <w:p>
      <w:pPr>
        <w:spacing w:after="120" w:line="276"/>
      </w:pPr>
      <w:r>
        <w:t xml:space="preserve">Dos botones pequeños en la misma columna.</w:t>
      </w:r>
    </w:p>
    <w:p>
      <w:pPr>
        <w:spacing w:after="120" w:line="276"/>
      </w:pPr>
      <w:r>
        <w:rPr>
          <w:b/>
          <w:bCs/>
        </w:rPr>
        <w:t xml:space="preserve">EC</w:t>
      </w:r>
      <w:r>
        <w:t xml:space="preserve"> marca la pérdida del derecho a la evaluación continua. Se pone en ámbar con el porcentaje en cuanto alguien pasa del 25 % de faltas, pero no se activa solo. Al pulsarlo la aplicación te explica lo que implica, te pide un motivo y lo guarda con la fecha.</w:t>
      </w:r>
    </w:p>
    <w:p>
      <w:pPr>
        <w:spacing w:after="120" w:line="276"/>
      </w:pPr>
      <w:r>
        <w:t xml:space="preserve">A partir de ese momento esa persona se califica solo con la prueba objetiva, sin arrastrar nada de lo hecho durante el curso. Sus notas no se borran: si levantas la pérdida, vuelven tal cual estaban.</w:t>
      </w:r>
    </w:p>
    <w:p>
      <w:pPr>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9C9A8" w:sz="2"/>
              <w:left w:val="single" w:color="2E5496" w:sz="18"/>
              <w:bottom w:val="single" w:color="D9C9A8" w:sz="2"/>
              <w:right w:val="single" w:color="D9C9A8" w:sz="2"/>
            </w:tcBorders>
            <w:shd w:fill="FFF4E0" w:val="clear"/>
            <w:tcMar>
              <w:top w:type="dxa" w:w="140"/>
              <w:left w:type="dxa" w:w="180"/>
              <w:bottom w:type="dxa" w:w="140"/>
              <w:right w:type="dxa" w:w="180"/>
            </w:tcMar>
          </w:tcPr>
          <w:p>
            <w:pPr>
              <w:spacing w:after="60"/>
            </w:pPr>
            <w:r>
              <w:rPr>
                <w:b/>
                <w:bCs/>
                <w:color w:val="1F3864"/>
              </w:rPr>
              <w:t xml:space="preserve">Esto cambió en abril de 2026</w:t>
            </w:r>
          </w:p>
          <w:p>
            <w:pPr>
              <w:spacing w:after="40" w:line="264"/>
            </w:pPr>
            <w:r>
              <w:rPr>
                <w:sz w:val="20"/>
                <w:szCs w:val="20"/>
              </w:rPr>
              <w:t xml:space="preserve">Hasta la Orden 55/2026, la pérdida de la evaluación continua conservaba las calificaciones parciales ya obtenidas. Ya no. La redacción vigente del artículo 3.6 obliga a calificar únicamente con una prueba objetiva que abarque la totalidad de los resultados de aprendizaje del módulo.</w:t>
            </w:r>
          </w:p>
          <w:p>
            <w:pPr>
              <w:spacing w:after="40" w:line="264"/>
            </w:pPr>
            <w:r>
              <w:rPr>
                <w:sz w:val="20"/>
                <w:szCs w:val="20"/>
              </w:rPr>
              <w:t xml:space="preserve">Un cuaderno que siga arrastrando las notas del trimestre para quien ha perdido la evaluación continua está aplicando una norma derogada. EvalFP lo hace como manda la redacción vigente, y el capítulo 5.8 explica cómo se monta esa prueba.</w:t>
            </w:r>
          </w:p>
        </w:tc>
      </w:tr>
    </w:tbl>
    <w:p>
      <w:pPr>
        <w:spacing w:after="120" w:line="276"/>
      </w:pPr>
      <w:r>
        <w:rPr>
          <w:b/>
          <w:bCs/>
        </w:rPr>
        <w:t xml:space="preserve">CONV</w:t>
      </w:r>
      <w:r>
        <w:t xml:space="preserve"> convalida el módulo, con nota o sin ella. La diferencia importa fuera de este cuaderno: los convalidados con nota computan en la calificación final del ciclo (art. 25.7) y los convalidados sin nota no computan (art. 25.11).</w:t>
      </w:r>
    </w:p>
    <w:p>
      <w:pPr>
        <w:pStyle w:val="Heading3"/>
        <w:spacing w:after="100" w:before="220"/>
      </w:pPr>
      <w:r>
        <w:t xml:space="preserve">Estado</w:t>
      </w:r>
    </w:p>
    <w:p>
      <w:pPr>
        <w:spacing w:after="120" w:line="276"/>
      </w:pPr>
      <w:r>
        <w:t xml:space="preserve">Cuatro valores: Activo, Pendiente, Renuncia y Baja.</w:t>
      </w:r>
    </w:p>
    <w:p>
      <w:pPr>
        <w:pStyle w:val="ListParagraph"/>
        <w:numPr>
          <w:ilvl w:val="0"/>
          <w:numId w:val="2"/>
        </w:numPr>
        <w:spacing w:after="80" w:line="276"/>
      </w:pPr>
      <w:r>
        <w:rPr>
          <w:b/>
          <w:bCs/>
        </w:rPr>
        <w:t xml:space="preserve">Renuncia</w:t>
      </w:r>
      <w:r>
        <w:t xml:space="preserve"> es la renuncia a convocatoria del artículo 11. Aparece como RC en las actas. Ojo con la cita: la Orden 55/2026 renumeró el artículo 25 y esta regla, que era el apartado 25.9, es ahora el </w:t>
      </w:r>
      <w:r>
        <w:rPr>
          <w:b/>
          <w:bCs/>
        </w:rPr>
        <w:t xml:space="preserve">25.8</w:t>
      </w:r>
      <w:r>
        <w:t xml:space="preserve">.</w:t>
      </w:r>
    </w:p>
    <w:p>
      <w:pPr>
        <w:pStyle w:val="ListParagraph"/>
        <w:numPr>
          <w:ilvl w:val="0"/>
          <w:numId w:val="2"/>
        </w:numPr>
        <w:spacing w:after="80" w:line="276"/>
      </w:pPr>
      <w:r>
        <w:rPr>
          <w:b/>
          <w:bCs/>
        </w:rPr>
        <w:t xml:space="preserve">Baja</w:t>
      </w:r>
      <w:r>
        <w:t xml:space="preserve"> es la matrícula anulada del artículo 7.1: se ve la fila con sus notas de trabajo, pero sin calificación final, sin acta y sin veredicto, porque una matrícula anulada no se evalúa en ninguna convocatoria.</w:t>
      </w:r>
    </w:p>
    <w:p>
      <w:r>
        <w:br w:type="page"/>
      </w:r>
    </w:p>
    <w:p>
      <w:pPr>
        <w:pStyle w:val="Heading2"/>
        <w:spacing w:after="120" w:before="280"/>
      </w:pPr>
      <w:r>
        <w:t xml:space="preserve">5.4 Las notas</w:t>
      </w:r>
    </w:p>
    <w:p>
      <w:pPr>
        <w:spacing w:after="120" w:line="276"/>
      </w:pPr>
      <w:r>
        <w:t xml:space="preserve">La parrilla de siempre: alumnado en filas, actividades en columnas. Se guarda al salir de cada celda, sin botón de guardar.</w:t>
      </w:r>
    </w:p>
    <w:p>
      <w:pPr>
        <w:spacing w:after="120" w:line="276"/>
      </w:pPr>
      <w:r>
        <w:t xml:space="preserve">El desplegable superior filtra por evaluación —incluida la opción «Todas»— y el botón 📄 Exportar PDF saca el resumen.</w:t>
      </w:r>
    </w:p>
    <w:p>
      <w:pPr>
        <w:spacing w:after="120" w:line="276"/>
      </w:pPr>
      <w:r>
        <w:rPr>
          <w:b/>
          <w:bCs/>
        </w:rPr>
        <w:t xml:space="preserve">El botón «Recuperar actividad»</w:t>
      </w:r>
      <w:r>
        <w:t xml:space="preserve"> permite volver a calificar una actividad sin borrar la nota anterior. Eso es recuperación dentro de la 1ª convocatoria: queda registro de las dos notas.</w:t>
      </w:r>
    </w:p>
    <w:p>
      <w:pPr>
        <w:spacing w:after="120" w:line="276"/>
      </w:pPr>
      <w:r>
        <w:rPr>
          <w:b/>
          <w:bCs/>
        </w:rPr>
        <w:t xml:space="preserve">La columna «Media act.» es la media de las actividades, no la calificación del módulo.</w:t>
      </w:r>
      <w:r>
        <w:t xml:space="preserve"> Es un dato de trabajo, útil para ver de un vistazo cómo va la clase, pero la calificación que vale es la de Evaluaciones, porque es la única que aplica la regla de todos los resultados de aprendizaje. Conviene tenerlo claro antes de enseñarle un número a nadie.</w:t>
      </w:r>
    </w:p>
    <w:p>
      <w:pPr>
        <w:pStyle w:val="Heading2"/>
        <w:spacing w:after="120" w:before="280"/>
      </w:pPr>
      <w:r>
        <w:t xml:space="preserve">5.5 Las evaluaciones y el cierre de trimestre</w:t>
      </w:r>
    </w:p>
    <w:p>
      <w:pPr>
        <w:spacing w:after="120" w:line="276"/>
      </w:pPr>
      <w:r>
        <w:t xml:space="preserve">Aquí está el resultado por evaluación, las pestañas de 1ª y 2ª convocatoria y la columna de acta.</w:t>
      </w:r>
    </w:p>
    <w:p>
      <w:pPr>
        <w:spacing w:after="120" w:line="276"/>
      </w:pPr>
      <w:r>
        <w:rPr>
          <w:b/>
          <w:bCs/>
        </w:rPr>
        <w:t xml:space="preserve">Rige la regla de oro: para superar el módulo hacen falta todos los resultados de aprendizaje con 5 o más. La media no compensa un RA suspenso.</w:t>
      </w:r>
      <w:r>
        <w:t xml:space="preserve"> Es el artículo 2.3 de la Orden 201/2024, y es lo primero que mira una inspección cuando revisa un cuaderno.</w:t>
      </w:r>
    </w:p>
    <w:p>
      <w:pPr>
        <w:spacing w:after="120" w:line="276"/>
      </w:pPr>
      <w:r>
        <w:t xml:space="preserve">Si algún RA queda por debajo de 5, la calificación se topa en 4 por el artículo 25.5. El acta da un entero, redondeando al alza desde el 0,5, como exige el artículo 25.4.</w:t>
      </w:r>
    </w:p>
    <w:p>
      <w:pPr>
        <w:pStyle w:val="Heading3"/>
        <w:spacing w:after="100" w:before="220"/>
      </w:pPr>
      <w:r>
        <w:t xml:space="preserve">Cerrar evaluación</w:t>
      </w:r>
    </w:p>
    <w:p>
      <w:pPr>
        <w:spacing w:after="120" w:line="276"/>
      </w:pPr>
      <w:r>
        <w:t xml:space="preserve">Al terminar cada trimestre, el botón «Cerrar evaluación» deja fijados los RA ya alcanzados, para que una actividad posterior no los baje. La tabla muestra cuántos hay fijados con un candado 🔒, y ese mismo candado los reabre si te has equivocado.</w:t>
      </w:r>
    </w:p>
    <w:p>
      <w:pPr>
        <w:spacing w:after="120" w:line="276"/>
      </w:pPr>
      <w:r>
        <w:rPr>
          <w:b/>
          <w:bCs/>
        </w:rPr>
        <w:t xml:space="preserve">Esto implementa el artículo 4.3.f</w:t>
      </w:r>
      <w:r>
        <w:t xml:space="preserve">: un resultado de aprendizaje ya superado no se vuelve a evaluar a la baja. Dicho de otra forma, presentarse a una recuperación no puede salir caro.</w:t>
      </w:r>
    </w:p>
    <w:p>
      <w:pPr>
        <w:pStyle w:val="Heading3"/>
        <w:spacing w:after="100" w:before="220"/>
      </w:pPr>
      <w:r>
        <w:t xml:space="preserve">Los tres estados del módulo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5070"/>
        <w:gridCol w:w="2000"/>
      </w:tblGrid>
      <w:tr>
        <w:trPr>
          <w:tblHeader/>
        </w:trPr>
        <w:tc>
          <w:tcPr>
            <w:tcW w:type="dxa" w:w="2000"/>
            <w:shd w:fill="1F3864" w:val="clear"/>
            <w:tcMar>
              <w:top w:type="dxa" w:w="80"/>
              <w:left w:type="dxa" w:w="120"/>
              <w:bottom w:type="dxa" w:w="80"/>
              <w:right w:type="dxa" w:w="120"/>
            </w:tcMar>
          </w:tcPr>
          <w:p>
            <w:pPr>
              <w:spacing w:after="0" w:line="252"/>
            </w:pPr>
            <w:r>
              <w:rPr>
                <w:b/>
                <w:bCs/>
                <w:color w:val="FFFFFF"/>
                <w:sz w:val="19"/>
                <w:szCs w:val="19"/>
              </w:rPr>
              <w:t xml:space="preserve">Estado</w:t>
            </w:r>
          </w:p>
        </w:tc>
        <w:tc>
          <w:tcPr>
            <w:tcW w:type="dxa" w:w="5070"/>
            <w:shd w:fill="1F3864" w:val="clear"/>
            <w:tcMar>
              <w:top w:type="dxa" w:w="80"/>
              <w:left w:type="dxa" w:w="120"/>
              <w:bottom w:type="dxa" w:w="80"/>
              <w:right w:type="dxa" w:w="120"/>
            </w:tcMar>
          </w:tcPr>
          <w:p>
            <w:pPr>
              <w:spacing w:after="0" w:line="252"/>
            </w:pPr>
            <w:r>
              <w:rPr>
                <w:b/>
                <w:bCs/>
                <w:color w:val="FFFFFF"/>
                <w:sz w:val="19"/>
                <w:szCs w:val="19"/>
              </w:rPr>
              <w:t xml:space="preserve">Qué significa</w:t>
            </w:r>
          </w:p>
        </w:tc>
        <w:tc>
          <w:tcPr>
            <w:tcW w:type="dxa" w:w="2000"/>
            <w:shd w:fill="1F3864" w:val="clear"/>
            <w:tcMar>
              <w:top w:type="dxa" w:w="80"/>
              <w:left w:type="dxa" w:w="120"/>
              <w:bottom w:type="dxa" w:w="80"/>
              <w:right w:type="dxa" w:w="120"/>
            </w:tcMar>
          </w:tcPr>
          <w:p>
            <w:pPr>
              <w:spacing w:after="0" w:line="252"/>
            </w:pPr>
            <w:r>
              <w:rPr>
                <w:b/>
                <w:bCs/>
                <w:color w:val="FFFFFF"/>
                <w:sz w:val="19"/>
                <w:szCs w:val="19"/>
              </w:rPr>
              <w:t xml:space="preserve">Norma</w:t>
            </w:r>
          </w:p>
        </w:tc>
      </w:tr>
      <w:tr>
        <w:tc>
          <w:tcPr>
            <w:tcW w:type="dxa" w:w="2000"/>
            <w:tcMar>
              <w:top w:type="dxa" w:w="80"/>
              <w:left w:type="dxa" w:w="120"/>
              <w:bottom w:type="dxa" w:w="80"/>
              <w:right w:type="dxa" w:w="120"/>
            </w:tcMar>
          </w:tcPr>
          <w:p>
            <w:pPr>
              <w:spacing w:after="0" w:line="252"/>
            </w:pPr>
            <w:r>
              <w:rPr>
                <w:b w:val="false"/>
                <w:bCs w:val="false"/>
                <w:sz w:val="19"/>
                <w:szCs w:val="19"/>
              </w:rPr>
              <w:t xml:space="preserve">Superado</w:t>
            </w:r>
          </w:p>
        </w:tc>
        <w:tc>
          <w:tcPr>
            <w:tcW w:type="dxa" w:w="5070"/>
            <w:tcMar>
              <w:top w:type="dxa" w:w="80"/>
              <w:left w:type="dxa" w:w="120"/>
              <w:bottom w:type="dxa" w:w="80"/>
              <w:right w:type="dxa" w:w="120"/>
            </w:tcMar>
          </w:tcPr>
          <w:p>
            <w:pPr>
              <w:spacing w:after="0" w:line="252"/>
            </w:pPr>
            <w:r>
              <w:rPr>
                <w:b w:val="false"/>
                <w:bCs w:val="false"/>
                <w:sz w:val="19"/>
                <w:szCs w:val="19"/>
              </w:rPr>
              <w:t xml:space="preserve">Todos los RA alcanzados.</w:t>
            </w:r>
          </w:p>
        </w:tc>
        <w:tc>
          <w:tcPr>
            <w:tcW w:type="dxa" w:w="2000"/>
            <w:tcMar>
              <w:top w:type="dxa" w:w="80"/>
              <w:left w:type="dxa" w:w="120"/>
              <w:bottom w:type="dxa" w:w="80"/>
              <w:right w:type="dxa" w:w="120"/>
            </w:tcMar>
          </w:tcPr>
          <w:p>
            <w:pPr>
              <w:spacing w:after="0" w:line="252"/>
            </w:pPr>
            <w:r>
              <w:rPr>
                <w:b w:val="false"/>
                <w:bCs w:val="false"/>
                <w:sz w:val="19"/>
                <w:szCs w:val="19"/>
              </w:rPr>
              <w:t xml:space="preserve">art. 2.3 y 12</w:t>
            </w:r>
          </w:p>
        </w:tc>
      </w:tr>
      <w:tr>
        <w:tc>
          <w:tcPr>
            <w:tcW w:type="dxa" w:w="2000"/>
            <w:shd w:fill="F2F4F7" w:val="clear"/>
            <w:tcMar>
              <w:top w:type="dxa" w:w="80"/>
              <w:left w:type="dxa" w:w="120"/>
              <w:bottom w:type="dxa" w:w="80"/>
              <w:right w:type="dxa" w:w="120"/>
            </w:tcMar>
          </w:tcPr>
          <w:p>
            <w:pPr>
              <w:spacing w:after="0" w:line="252"/>
            </w:pPr>
            <w:r>
              <w:rPr>
                <w:b w:val="false"/>
                <w:bCs w:val="false"/>
                <w:sz w:val="19"/>
                <w:szCs w:val="19"/>
              </w:rPr>
              <w:t xml:space="preserve">Superado parcial (SP)</w:t>
            </w:r>
          </w:p>
        </w:tc>
        <w:tc>
          <w:tcPr>
            <w:tcW w:type="dxa" w:w="5070"/>
            <w:shd w:fill="F2F4F7" w:val="clear"/>
            <w:tcMar>
              <w:top w:type="dxa" w:w="80"/>
              <w:left w:type="dxa" w:w="120"/>
              <w:bottom w:type="dxa" w:w="80"/>
              <w:right w:type="dxa" w:w="120"/>
            </w:tcMar>
          </w:tcPr>
          <w:p>
            <w:pPr>
              <w:spacing w:after="0" w:line="252"/>
            </w:pPr>
            <w:r>
              <w:rPr>
                <w:b w:val="false"/>
                <w:bCs w:val="false"/>
                <w:sz w:val="19"/>
                <w:szCs w:val="19"/>
              </w:rPr>
              <w:t xml:space="preserve">Todo lo académico alcanzado, la fase en empresa aún no. Cuenta como superado a efectos de promoción y conserva su nota al completarse.</w:t>
            </w:r>
          </w:p>
        </w:tc>
        <w:tc>
          <w:tcPr>
            <w:tcW w:type="dxa" w:w="2000"/>
            <w:shd w:fill="F2F4F7" w:val="clear"/>
            <w:tcMar>
              <w:top w:type="dxa" w:w="80"/>
              <w:left w:type="dxa" w:w="120"/>
              <w:bottom w:type="dxa" w:w="80"/>
              <w:right w:type="dxa" w:w="120"/>
            </w:tcMar>
          </w:tcPr>
          <w:p>
            <w:pPr>
              <w:spacing w:after="0" w:line="252"/>
            </w:pPr>
            <w:r>
              <w:rPr>
                <w:b w:val="false"/>
                <w:bCs w:val="false"/>
                <w:sz w:val="19"/>
                <w:szCs w:val="19"/>
              </w:rPr>
              <w:t xml:space="preserve">art. 12, 18.4 y 25.6</w:t>
            </w:r>
          </w:p>
        </w:tc>
      </w:tr>
      <w:tr>
        <w:tc>
          <w:tcPr>
            <w:tcW w:type="dxa" w:w="2000"/>
            <w:tcMar>
              <w:top w:type="dxa" w:w="80"/>
              <w:left w:type="dxa" w:w="120"/>
              <w:bottom w:type="dxa" w:w="80"/>
              <w:right w:type="dxa" w:w="120"/>
            </w:tcMar>
          </w:tcPr>
          <w:p>
            <w:pPr>
              <w:spacing w:after="0" w:line="252"/>
            </w:pPr>
            <w:r>
              <w:rPr>
                <w:b w:val="false"/>
                <w:bCs w:val="false"/>
                <w:sz w:val="19"/>
                <w:szCs w:val="19"/>
              </w:rPr>
              <w:t xml:space="preserve">No superado</w:t>
            </w:r>
          </w:p>
        </w:tc>
        <w:tc>
          <w:tcPr>
            <w:tcW w:type="dxa" w:w="5070"/>
            <w:tcMar>
              <w:top w:type="dxa" w:w="80"/>
              <w:left w:type="dxa" w:w="120"/>
              <w:bottom w:type="dxa" w:w="80"/>
              <w:right w:type="dxa" w:w="120"/>
            </w:tcMar>
          </w:tcPr>
          <w:p>
            <w:pPr>
              <w:spacing w:after="0" w:line="252"/>
            </w:pPr>
            <w:r>
              <w:rPr>
                <w:b w:val="false"/>
                <w:bCs w:val="false"/>
                <w:sz w:val="19"/>
                <w:szCs w:val="19"/>
              </w:rPr>
              <w:t xml:space="preserve">Queda algún resultado de aprendizaje por debajo de 5. Máximo 4.</w:t>
            </w:r>
          </w:p>
        </w:tc>
        <w:tc>
          <w:tcPr>
            <w:tcW w:type="dxa" w:w="2000"/>
            <w:tcMar>
              <w:top w:type="dxa" w:w="80"/>
              <w:left w:type="dxa" w:w="120"/>
              <w:bottom w:type="dxa" w:w="80"/>
              <w:right w:type="dxa" w:w="120"/>
            </w:tcMar>
          </w:tcPr>
          <w:p>
            <w:pPr>
              <w:spacing w:after="0" w:line="252"/>
            </w:pPr>
            <w:r>
              <w:rPr>
                <w:b w:val="false"/>
                <w:bCs w:val="false"/>
                <w:sz w:val="19"/>
                <w:szCs w:val="19"/>
              </w:rPr>
              <w:t xml:space="preserve">art. 12 y 25.5</w:t>
            </w:r>
          </w:p>
        </w:tc>
      </w:tr>
    </w:tbl>
    <w:p>
      <w:pPr>
        <w:spacing w:after="60"/>
      </w:pPr>
    </w:p>
    <w:p>
      <w:pPr>
        <w:spacing w:after="120" w:line="276"/>
      </w:pPr>
      <w:r>
        <w:t xml:space="preserve">En el acta, la renuncia aparece como RC (art. 25.8) y la convalidación como CONV (art. 25.7).</w:t>
      </w:r>
    </w:p>
    <w:p>
      <w:pPr>
        <w:pStyle w:val="Heading3"/>
        <w:spacing w:after="100" w:before="220"/>
      </w:pPr>
      <w:r>
        <w:t xml:space="preserve">Dar un criterio por alcanzado sin prueba escrita</w:t>
      </w:r>
    </w:p>
    <w:p>
      <w:pPr>
        <w:spacing w:after="120" w:line="276"/>
      </w:pPr>
      <w:r>
        <w:t xml:space="preserve">Existe un botón para ello: pide con qué evidencia se da por alcanzado y lo deja registrado con la fecha y el texto que escribas. No es un atajo, es lo contrario: obliga a dejar constancia.</w:t>
      </w:r>
    </w:p>
    <w:p>
      <w:pPr>
        <w:spacing w:after="120" w:line="276"/>
      </w:pPr>
      <w:r>
        <w:rPr>
          <w:b/>
          <w:bCs/>
        </w:rPr>
        <w:t xml:space="preserve">Tiene su razón normativa. El artículo 2.4 reconoce el derecho del alumnado y de sus familias a acceder a los documentos de las pruebas</w:t>
      </w:r>
      <w:r>
        <w:t xml:space="preserve">. Si un criterio se da por alcanzado por observación en el taller o por una defensa oral, tiene que existir el registro de esa evidencia, no solo la nota. Este botón es donde vive ese registro.</w:t>
      </w:r>
    </w:p>
    <w:p>
      <w:r>
        <w:br w:type="page"/>
      </w:r>
    </w:p>
    <w:p>
      <w:pPr>
        <w:pStyle w:val="Heading2"/>
        <w:spacing w:after="120" w:before="280"/>
      </w:pPr>
      <w:r>
        <w:t xml:space="preserve">5.6 El dashboard y los boletines</w:t>
      </w:r>
    </w:p>
    <w:p>
      <w:pPr>
        <w:spacing w:after="120" w:line="276"/>
      </w:pPr>
      <w:r>
        <w:t xml:space="preserve">Vista de conjunto de la clase, con las pestañas 1ª Ordinaria y 2ª Ordinaria, y accesos directos a Alumnos, Programación y Notas.</w:t>
      </w:r>
    </w:p>
    <w:p>
      <w:pPr>
        <w:spacing w:after="120" w:line="276"/>
      </w:pPr>
      <w:r>
        <w:t xml:space="preserve">El botón 📄 Boletín PDF genera el boletín individual. Lleva la misma nota que el acta, calculada por el mismo motor: no hay dos formas de calcular en esta aplicación, hay una, y todas las pantallas la usan. Es una decisión de diseño hecha precisamente para que no haya nunca dos cifras distintas del mismo dato.</w:t>
      </w:r>
    </w:p>
    <w:p>
      <w:pPr>
        <w:spacing w:after="120" w:line="276"/>
      </w:pPr>
      <w:r>
        <w:t xml:space="preserve">Los boletines se guardan en Documentos/EvalFP/boletines.</w:t>
      </w:r>
    </w:p>
    <w:p>
      <w:pPr>
        <w:pStyle w:val="Heading2"/>
        <w:spacing w:after="120" w:before="280"/>
      </w:pPr>
      <w:r>
        <w:t xml:space="preserve">5.7 La 2ª convocatoria</w:t>
      </w:r>
    </w:p>
    <w:p>
      <w:pPr>
        <w:spacing w:after="120" w:line="276"/>
      </w:pPr>
      <w:r>
        <w:t xml:space="preserve">Se prepara como cualquier otra evaluación, no como un caso aparte. Son cuatro pasos:</w:t>
      </w:r>
    </w:p>
    <w:p>
      <w:pPr>
        <w:pStyle w:val="ListParagraph"/>
        <w:numPr>
          <w:ilvl w:val="0"/>
          <w:numId w:val="5"/>
        </w:numPr>
        <w:spacing w:after="80" w:line="276"/>
      </w:pPr>
      <w:r>
        <w:rPr>
          <w:b/>
          <w:bCs/>
        </w:rPr>
        <w:t xml:space="preserve">En Programación</w:t>
      </w:r>
      <w:r>
        <w:t xml:space="preserve">, al final de la pantalla, tienes 🔁 Recuperación · 2ª convocatoria. Das de alta ahí la prueba o el trabajo de recuperación y le marcas qué criterios recupera: los del módulo entero, no los de una unidad.</w:t>
      </w:r>
    </w:p>
    <w:p>
      <w:pPr>
        <w:pStyle w:val="ListParagraph"/>
        <w:numPr>
          <w:ilvl w:val="0"/>
          <w:numId w:val="5"/>
        </w:numPr>
        <w:spacing w:after="80" w:line="276"/>
      </w:pPr>
      <w:r>
        <w:rPr>
          <w:b/>
          <w:bCs/>
        </w:rPr>
        <w:t xml:space="preserve">En Notas</w:t>
      </w:r>
      <w:r>
        <w:t xml:space="preserve">, el desplegable de evaluación tiene la opción «Recuperación · 2ª conv.». Ahí la calificas. Esa nota no toca la 1ª convocatoria, que ya está en acta.</w:t>
      </w:r>
    </w:p>
    <w:p>
      <w:pPr>
        <w:pStyle w:val="ListParagraph"/>
        <w:numPr>
          <w:ilvl w:val="0"/>
          <w:numId w:val="5"/>
        </w:numPr>
        <w:spacing w:after="80" w:line="276"/>
      </w:pPr>
      <w:r>
        <w:rPr>
          <w:b/>
          <w:bCs/>
        </w:rPr>
        <w:t xml:space="preserve">En Evaluaciones</w:t>
      </w:r>
      <w:r>
        <w:t xml:space="preserve">, la pestaña de la 2ª la recoge sola: cada criterio vale la mejor de sus dos notas, la del curso y la de la recuperación.</w:t>
      </w:r>
    </w:p>
    <w:p>
      <w:pPr>
        <w:pStyle w:val="ListParagraph"/>
        <w:numPr>
          <w:ilvl w:val="0"/>
          <w:numId w:val="5"/>
        </w:numPr>
        <w:spacing w:after="80" w:line="276"/>
      </w:pPr>
      <w:r>
        <w:t xml:space="preserve">El resto —regla de oro, mínimo de examen, acta— funciona igual que en la primera.</w:t>
      </w:r>
    </w:p>
    <w:p>
      <w:pPr>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9C9A8" w:sz="2"/>
              <w:left w:val="single" w:color="2E5496" w:sz="18"/>
              <w:bottom w:val="single" w:color="D9C9A8" w:sz="2"/>
              <w:right w:val="single" w:color="D9C9A8" w:sz="2"/>
            </w:tcBorders>
            <w:shd w:fill="FFF4E0" w:val="clear"/>
            <w:tcMar>
              <w:top w:type="dxa" w:w="140"/>
              <w:left w:type="dxa" w:w="180"/>
              <w:bottom w:type="dxa" w:w="140"/>
              <w:right w:type="dxa" w:w="180"/>
            </w:tcMar>
          </w:tcPr>
          <w:p>
            <w:pPr>
              <w:spacing w:after="60"/>
            </w:pPr>
            <w:r>
              <w:rPr>
                <w:b/>
                <w:bCs/>
                <w:color w:val="1F3864"/>
              </w:rPr>
              <w:t xml:space="preserve">Por qué la recuperación es una actividad y no una pantalla aparte</w:t>
            </w:r>
          </w:p>
          <w:p>
            <w:pPr>
              <w:spacing w:after="40" w:line="264"/>
            </w:pPr>
            <w:r>
              <w:rPr>
                <w:sz w:val="20"/>
                <w:szCs w:val="20"/>
              </w:rPr>
              <w:t xml:space="preserve">El artículo 21.5 de la Orden 201/2024 exige que la segunda convocatoria se evalúe con instrumentos de evaluación diferentes de los de la primera. Modelarla como una actividad más, con sus propios criterios marcados, es justamente lo que permite demostrar que el instrumento es otro y qué criterios cubre.</w:t>
            </w:r>
          </w:p>
          <w:p>
            <w:pPr>
              <w:spacing w:after="40" w:line="264"/>
            </w:pPr>
            <w:r>
              <w:rPr>
                <w:sz w:val="20"/>
                <w:szCs w:val="20"/>
              </w:rPr>
              <w:t xml:space="preserve">Y como cada criterio se queda con la mejor de sus dos notas, se cumple a la vez el artículo 4.3.f: presentarse a la recuperación nunca baja lo que ya estaba alcanzado.</w:t>
            </w:r>
          </w:p>
        </w:tc>
      </w:tr>
    </w:tbl>
    <w:p>
      <w:r>
        <w:br w:type="page"/>
      </w:r>
    </w:p>
    <w:p>
      <w:pPr>
        <w:pStyle w:val="Heading2"/>
        <w:spacing w:after="120" w:before="280"/>
      </w:pPr>
      <w:r>
        <w:t xml:space="preserve">5.8 La prueba objetiva del módulo completo</w:t>
      </w:r>
    </w:p>
    <w:p>
      <w:pPr>
        <w:spacing w:after="120" w:line="276"/>
      </w:pPr>
      <w:r>
        <w:t xml:space="preserve">Es la prueba de quien ha perdido el derecho a la evaluación continua.</w:t>
      </w:r>
    </w:p>
    <w:p>
      <w:pPr>
        <w:spacing w:after="120" w:line="276"/>
      </w:pPr>
      <w:r>
        <w:rPr>
          <w:b/>
          <w:bCs/>
        </w:rPr>
        <w:t xml:space="preserve">En Programación</w:t>
      </w:r>
      <w:r>
        <w:t xml:space="preserve">, debajo del bloque de recuperación, el botón «＋ Prueba objetiva del módulo completo» la crea ya con todos los criterios del módulo marcados.</w:t>
      </w:r>
    </w:p>
    <w:p>
      <w:pPr>
        <w:spacing w:after="120" w:line="276"/>
      </w:pPr>
      <w:r>
        <w:rPr>
          <w:b/>
          <w:bCs/>
        </w:rPr>
        <w:t xml:space="preserve">No es una comodidad: es un requisito.</w:t>
      </w:r>
      <w:r>
        <w:t xml:space="preserve"> La redacción vigente del artículo 3.6 exige que esa prueba incluya la totalidad de los resultados de aprendizaje del módulo, y marcarlos a mano invita a olvidar alguno. Si aun así la prueba deja algún RA sin evaluar, el módulo se queda en PENDIENTE en lugar de darse por superado: la aplicación no permite cerrar un módulo con una prueba objetiva incompleta.</w:t>
      </w:r>
    </w:p>
    <w:p>
      <w:pPr>
        <w:spacing w:after="120" w:line="276"/>
      </w:pPr>
      <w:r>
        <w:t xml:space="preserve">Para quien conserva la evaluación continua, esta prueba es una actividad más y no le altera nada.</w:t>
      </w:r>
    </w:p>
    <w:p>
      <w:pPr>
        <w:spacing w:after="120" w:line="276"/>
      </w:pPr>
      <w:r>
        <w:t xml:space="preserve">Recuerda el orden real de las cosas: primero se declara la pérdida en Alumnos con el botón EC, con su motivo y su fecha; después se da de alta la prueba en Programación; después se califica en Notas. La aplicación entonces calcula a esa persona únicamente con esa prueba.</w:t>
      </w:r>
    </w:p>
    <w:p>
      <w:pPr>
        <w:pStyle w:val="Heading2"/>
        <w:spacing w:after="120" w:before="280"/>
      </w:pPr>
      <w:r>
        <w:t xml:space="preserve">5.9 El Asistente IA</w:t>
      </w:r>
    </w:p>
    <w:p>
      <w:pPr>
        <w:spacing w:after="120" w:line="276"/>
      </w:pPr>
      <w:r>
        <w:t xml:space="preserve">Opcional. Nueve utilidades, cada una en su pestaña, con un selector de módulo y un selector de proveedor —Auto, Claude, OpenAI o Demo—: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shd w:fill="1F3864" w:val="clear"/>
            <w:tcMar>
              <w:top w:type="dxa" w:w="80"/>
              <w:left w:type="dxa" w:w="120"/>
              <w:bottom w:type="dxa" w:w="80"/>
              <w:right w:type="dxa" w:w="120"/>
            </w:tcMar>
          </w:tcPr>
          <w:p>
            <w:pPr>
              <w:spacing w:after="0" w:line="252"/>
            </w:pPr>
            <w:r>
              <w:rPr>
                <w:b/>
                <w:bCs/>
                <w:color w:val="FFFFFF"/>
                <w:sz w:val="19"/>
                <w:szCs w:val="19"/>
              </w:rPr>
              <w:t xml:space="preserve">Utilidad</w:t>
            </w:r>
          </w:p>
        </w:tc>
        <w:tc>
          <w:tcPr>
            <w:tcW w:type="dxa" w:w="6470"/>
            <w:shd w:fill="1F3864" w:val="clear"/>
            <w:tcMar>
              <w:top w:type="dxa" w:w="80"/>
              <w:left w:type="dxa" w:w="120"/>
              <w:bottom w:type="dxa" w:w="80"/>
              <w:right w:type="dxa" w:w="120"/>
            </w:tcMar>
          </w:tcPr>
          <w:p>
            <w:pPr>
              <w:spacing w:after="0" w:line="252"/>
            </w:pPr>
            <w:r>
              <w:rPr>
                <w:b/>
                <w:bCs/>
                <w:color w:val="FFFFFF"/>
                <w:sz w:val="19"/>
                <w:szCs w:val="19"/>
              </w:rPr>
              <w:t xml:space="preserve">Qué genera</w:t>
            </w:r>
          </w:p>
        </w:tc>
      </w:tr>
      <w:tr>
        <w:tc>
          <w:tcPr>
            <w:tcW w:type="dxa" w:w="2600"/>
            <w:tcMar>
              <w:top w:type="dxa" w:w="80"/>
              <w:left w:type="dxa" w:w="120"/>
              <w:bottom w:type="dxa" w:w="80"/>
              <w:right w:type="dxa" w:w="120"/>
            </w:tcMar>
          </w:tcPr>
          <w:p>
            <w:pPr>
              <w:spacing w:after="0" w:line="252"/>
            </w:pPr>
            <w:r>
              <w:rPr>
                <w:b w:val="false"/>
                <w:bCs w:val="false"/>
                <w:sz w:val="19"/>
                <w:szCs w:val="19"/>
              </w:rPr>
              <w:t xml:space="preserve">📋 Rúbrica</w:t>
            </w:r>
          </w:p>
        </w:tc>
        <w:tc>
          <w:tcPr>
            <w:tcW w:type="dxa" w:w="6470"/>
            <w:tcMar>
              <w:top w:type="dxa" w:w="80"/>
              <w:left w:type="dxa" w:w="120"/>
              <w:bottom w:type="dxa" w:w="80"/>
              <w:right w:type="dxa" w:w="120"/>
            </w:tcMar>
          </w:tcPr>
          <w:p>
            <w:pPr>
              <w:spacing w:after="0" w:line="252"/>
            </w:pPr>
            <w:r>
              <w:rPr>
                <w:b w:val="false"/>
                <w:bCs w:val="false"/>
                <w:sz w:val="19"/>
                <w:szCs w:val="19"/>
              </w:rPr>
              <w:t xml:space="preserve">Una rúbrica a partir de los criterios de evaluación del módulo.</w:t>
            </w:r>
          </w:p>
        </w:tc>
      </w:tr>
      <w:tr>
        <w:tc>
          <w:tcPr>
            <w:tcW w:type="dxa" w:w="2600"/>
            <w:shd w:fill="F2F4F7" w:val="clear"/>
            <w:tcMar>
              <w:top w:type="dxa" w:w="80"/>
              <w:left w:type="dxa" w:w="120"/>
              <w:bottom w:type="dxa" w:w="80"/>
              <w:right w:type="dxa" w:w="120"/>
            </w:tcMar>
          </w:tcPr>
          <w:p>
            <w:pPr>
              <w:spacing w:after="0" w:line="252"/>
            </w:pPr>
            <w:r>
              <w:rPr>
                <w:b w:val="false"/>
                <w:bCs w:val="false"/>
                <w:sz w:val="19"/>
                <w:szCs w:val="19"/>
              </w:rPr>
              <w:t xml:space="preserve">🔧 Actividades</w:t>
            </w:r>
          </w:p>
        </w:tc>
        <w:tc>
          <w:tcPr>
            <w:tcW w:type="dxa" w:w="6470"/>
            <w:shd w:fill="F2F4F7" w:val="clear"/>
            <w:tcMar>
              <w:top w:type="dxa" w:w="80"/>
              <w:left w:type="dxa" w:w="120"/>
              <w:bottom w:type="dxa" w:w="80"/>
              <w:right w:type="dxa" w:w="120"/>
            </w:tcMar>
          </w:tcPr>
          <w:p>
            <w:pPr>
              <w:spacing w:after="0" w:line="252"/>
            </w:pPr>
            <w:r>
              <w:rPr>
                <w:b w:val="false"/>
                <w:bCs w:val="false"/>
                <w:sz w:val="19"/>
                <w:szCs w:val="19"/>
              </w:rPr>
              <w:t xml:space="preserve">Propuestas de actividades, indicando cuántas quieres.</w:t>
            </w:r>
          </w:p>
        </w:tc>
      </w:tr>
      <w:tr>
        <w:tc>
          <w:tcPr>
            <w:tcW w:type="dxa" w:w="2600"/>
            <w:tcMar>
              <w:top w:type="dxa" w:w="80"/>
              <w:left w:type="dxa" w:w="120"/>
              <w:bottom w:type="dxa" w:w="80"/>
              <w:right w:type="dxa" w:w="120"/>
            </w:tcMar>
          </w:tcPr>
          <w:p>
            <w:pPr>
              <w:spacing w:after="0" w:line="252"/>
            </w:pPr>
            <w:r>
              <w:rPr>
                <w:b w:val="false"/>
                <w:bCs w:val="false"/>
                <w:sz w:val="19"/>
                <w:szCs w:val="19"/>
              </w:rPr>
              <w:t xml:space="preserve">📝 Informe</w:t>
            </w:r>
          </w:p>
        </w:tc>
        <w:tc>
          <w:tcPr>
            <w:tcW w:type="dxa" w:w="6470"/>
            <w:tcMar>
              <w:top w:type="dxa" w:w="80"/>
              <w:left w:type="dxa" w:w="120"/>
              <w:bottom w:type="dxa" w:w="80"/>
              <w:right w:type="dxa" w:w="120"/>
            </w:tcMar>
          </w:tcPr>
          <w:p>
            <w:pPr>
              <w:spacing w:after="0" w:line="252"/>
            </w:pPr>
            <w:r>
              <w:rPr>
                <w:b w:val="false"/>
                <w:bCs w:val="false"/>
                <w:sz w:val="19"/>
                <w:szCs w:val="19"/>
              </w:rPr>
              <w:t xml:space="preserve">Informe individual de un alumno o alumna a partir de sus notas por RA.</w:t>
            </w:r>
          </w:p>
        </w:tc>
      </w:tr>
      <w:tr>
        <w:tc>
          <w:tcPr>
            <w:tcW w:type="dxa" w:w="2600"/>
            <w:shd w:fill="F2F4F7" w:val="clear"/>
            <w:tcMar>
              <w:top w:type="dxa" w:w="80"/>
              <w:left w:type="dxa" w:w="120"/>
              <w:bottom w:type="dxa" w:w="80"/>
              <w:right w:type="dxa" w:w="120"/>
            </w:tcMar>
          </w:tcPr>
          <w:p>
            <w:pPr>
              <w:spacing w:after="0" w:line="252"/>
            </w:pPr>
            <w:r>
              <w:rPr>
                <w:b w:val="false"/>
                <w:bCs w:val="false"/>
                <w:sz w:val="19"/>
                <w:szCs w:val="19"/>
              </w:rPr>
              <w:t xml:space="preserve">🎯 Plan de recuperación</w:t>
            </w:r>
          </w:p>
        </w:tc>
        <w:tc>
          <w:tcPr>
            <w:tcW w:type="dxa" w:w="6470"/>
            <w:shd w:fill="F2F4F7" w:val="clear"/>
            <w:tcMar>
              <w:top w:type="dxa" w:w="80"/>
              <w:left w:type="dxa" w:w="120"/>
              <w:bottom w:type="dxa" w:w="80"/>
              <w:right w:type="dxa" w:w="120"/>
            </w:tcMar>
          </w:tcPr>
          <w:p>
            <w:pPr>
              <w:spacing w:after="0" w:line="252"/>
            </w:pPr>
            <w:r>
              <w:rPr>
                <w:b w:val="false"/>
                <w:bCs w:val="false"/>
                <w:sz w:val="19"/>
                <w:szCs w:val="19"/>
              </w:rPr>
              <w:t xml:space="preserve">Plan personalizado para los RA no alcanzados.</w:t>
            </w:r>
          </w:p>
        </w:tc>
      </w:tr>
      <w:tr>
        <w:tc>
          <w:tcPr>
            <w:tcW w:type="dxa" w:w="2600"/>
            <w:tcMar>
              <w:top w:type="dxa" w:w="80"/>
              <w:left w:type="dxa" w:w="120"/>
              <w:bottom w:type="dxa" w:w="80"/>
              <w:right w:type="dxa" w:w="120"/>
            </w:tcMar>
          </w:tcPr>
          <w:p>
            <w:pPr>
              <w:spacing w:after="0" w:line="252"/>
            </w:pPr>
            <w:r>
              <w:rPr>
                <w:b w:val="false"/>
                <w:bCs w:val="false"/>
                <w:sz w:val="19"/>
                <w:szCs w:val="19"/>
              </w:rPr>
              <w:t xml:space="preserve">📊 Radiografía del grupo</w:t>
            </w:r>
          </w:p>
        </w:tc>
        <w:tc>
          <w:tcPr>
            <w:tcW w:type="dxa" w:w="6470"/>
            <w:tcMar>
              <w:top w:type="dxa" w:w="80"/>
              <w:left w:type="dxa" w:w="120"/>
              <w:bottom w:type="dxa" w:w="80"/>
              <w:right w:type="dxa" w:w="120"/>
            </w:tcMar>
          </w:tcPr>
          <w:p>
            <w:pPr>
              <w:spacing w:after="0" w:line="252"/>
            </w:pPr>
            <w:r>
              <w:rPr>
                <w:b w:val="false"/>
                <w:bCs w:val="false"/>
                <w:sz w:val="19"/>
                <w:szCs w:val="19"/>
              </w:rPr>
              <w:t xml:space="preserve">Análisis del conjunto de la clase. Va siempre sin nombres.</w:t>
            </w:r>
          </w:p>
        </w:tc>
      </w:tr>
      <w:tr>
        <w:tc>
          <w:tcPr>
            <w:tcW w:type="dxa" w:w="2600"/>
            <w:shd w:fill="F2F4F7" w:val="clear"/>
            <w:tcMar>
              <w:top w:type="dxa" w:w="80"/>
              <w:left w:type="dxa" w:w="120"/>
              <w:bottom w:type="dxa" w:w="80"/>
              <w:right w:type="dxa" w:w="120"/>
            </w:tcMar>
          </w:tcPr>
          <w:p>
            <w:pPr>
              <w:spacing w:after="0" w:line="252"/>
            </w:pPr>
            <w:r>
              <w:rPr>
                <w:b w:val="false"/>
                <w:bCs w:val="false"/>
                <w:sz w:val="19"/>
                <w:szCs w:val="19"/>
              </w:rPr>
              <w:t xml:space="preserve">🧪 Prueba escrita</w:t>
            </w:r>
          </w:p>
        </w:tc>
        <w:tc>
          <w:tcPr>
            <w:tcW w:type="dxa" w:w="6470"/>
            <w:shd w:fill="F2F4F7" w:val="clear"/>
            <w:tcMar>
              <w:top w:type="dxa" w:w="80"/>
              <w:left w:type="dxa" w:w="120"/>
              <w:bottom w:type="dxa" w:w="80"/>
              <w:right w:type="dxa" w:w="120"/>
            </w:tcMar>
          </w:tcPr>
          <w:p>
            <w:pPr>
              <w:spacing w:after="0" w:line="252"/>
            </w:pPr>
            <w:r>
              <w:rPr>
                <w:b w:val="false"/>
                <w:bCs w:val="false"/>
                <w:sz w:val="19"/>
                <w:szCs w:val="19"/>
              </w:rPr>
              <w:t xml:space="preserve">Prueba con su solucionario.</w:t>
            </w:r>
          </w:p>
        </w:tc>
      </w:tr>
      <w:tr>
        <w:tc>
          <w:tcPr>
            <w:tcW w:type="dxa" w:w="2600"/>
            <w:tcMar>
              <w:top w:type="dxa" w:w="80"/>
              <w:left w:type="dxa" w:w="120"/>
              <w:bottom w:type="dxa" w:w="80"/>
              <w:right w:type="dxa" w:w="120"/>
            </w:tcMar>
          </w:tcPr>
          <w:p>
            <w:pPr>
              <w:spacing w:after="0" w:line="252"/>
            </w:pPr>
            <w:r>
              <w:rPr>
                <w:b w:val="false"/>
                <w:bCs w:val="false"/>
                <w:sz w:val="19"/>
                <w:szCs w:val="19"/>
              </w:rPr>
              <w:t xml:space="preserve">🖊️ Corregir desde foto</w:t>
            </w:r>
          </w:p>
        </w:tc>
        <w:tc>
          <w:tcPr>
            <w:tcW w:type="dxa" w:w="6470"/>
            <w:tcMar>
              <w:top w:type="dxa" w:w="80"/>
              <w:left w:type="dxa" w:w="120"/>
              <w:bottom w:type="dxa" w:w="80"/>
              <w:right w:type="dxa" w:w="120"/>
            </w:tcMar>
          </w:tcPr>
          <w:p>
            <w:pPr>
              <w:spacing w:after="0" w:line="252"/>
            </w:pPr>
            <w:r>
              <w:rPr>
                <w:b w:val="false"/>
                <w:bCs w:val="false"/>
                <w:sz w:val="19"/>
                <w:szCs w:val="19"/>
              </w:rPr>
              <w:t xml:space="preserve">Lectura y corrección de exámenes manuscritos fotografiados, con corrección por lotes.</w:t>
            </w:r>
          </w:p>
        </w:tc>
      </w:tr>
      <w:tr>
        <w:tc>
          <w:tcPr>
            <w:tcW w:type="dxa" w:w="2600"/>
            <w:shd w:fill="F2F4F7" w:val="clear"/>
            <w:tcMar>
              <w:top w:type="dxa" w:w="80"/>
              <w:left w:type="dxa" w:w="120"/>
              <w:bottom w:type="dxa" w:w="80"/>
              <w:right w:type="dxa" w:w="120"/>
            </w:tcMar>
          </w:tcPr>
          <w:p>
            <w:pPr>
              <w:spacing w:after="0" w:line="252"/>
            </w:pPr>
            <w:r>
              <w:rPr>
                <w:b w:val="false"/>
                <w:bCs w:val="false"/>
                <w:sz w:val="19"/>
                <w:szCs w:val="19"/>
              </w:rPr>
              <w:t xml:space="preserve">📄 Apuntes HTML</w:t>
            </w:r>
          </w:p>
        </w:tc>
        <w:tc>
          <w:tcPr>
            <w:tcW w:type="dxa" w:w="6470"/>
            <w:shd w:fill="F2F4F7" w:val="clear"/>
            <w:tcMar>
              <w:top w:type="dxa" w:w="80"/>
              <w:left w:type="dxa" w:w="120"/>
              <w:bottom w:type="dxa" w:w="80"/>
              <w:right w:type="dxa" w:w="120"/>
            </w:tcMar>
          </w:tcPr>
          <w:p>
            <w:pPr>
              <w:spacing w:after="0" w:line="252"/>
            </w:pPr>
            <w:r>
              <w:rPr>
                <w:b w:val="false"/>
                <w:bCs w:val="false"/>
                <w:sz w:val="19"/>
                <w:szCs w:val="19"/>
              </w:rPr>
              <w:t xml:space="preserve">Material de aula en HTML.</w:t>
            </w:r>
          </w:p>
        </w:tc>
      </w:tr>
      <w:tr>
        <w:tc>
          <w:tcPr>
            <w:tcW w:type="dxa" w:w="2600"/>
            <w:tcMar>
              <w:top w:type="dxa" w:w="80"/>
              <w:left w:type="dxa" w:w="120"/>
              <w:bottom w:type="dxa" w:w="80"/>
              <w:right w:type="dxa" w:w="120"/>
            </w:tcMar>
          </w:tcPr>
          <w:p>
            <w:pPr>
              <w:spacing w:after="0" w:line="252"/>
            </w:pPr>
            <w:r>
              <w:rPr>
                <w:b w:val="false"/>
                <w:bCs w:val="false"/>
                <w:sz w:val="19"/>
                <w:szCs w:val="19"/>
              </w:rPr>
              <w:t xml:space="preserve">🚀 Todo el módulo</w:t>
            </w:r>
          </w:p>
        </w:tc>
        <w:tc>
          <w:tcPr>
            <w:tcW w:type="dxa" w:w="6470"/>
            <w:tcMar>
              <w:top w:type="dxa" w:w="80"/>
              <w:left w:type="dxa" w:w="120"/>
              <w:bottom w:type="dxa" w:w="80"/>
              <w:right w:type="dxa" w:w="120"/>
            </w:tcMar>
          </w:tcPr>
          <w:p>
            <w:pPr>
              <w:spacing w:after="0" w:line="252"/>
            </w:pPr>
            <w:r>
              <w:rPr>
                <w:b w:val="false"/>
                <w:bCs w:val="false"/>
                <w:sz w:val="19"/>
                <w:szCs w:val="19"/>
              </w:rPr>
              <w:t xml:space="preserve">Genera de una vez el paquete completo.</w:t>
            </w:r>
          </w:p>
        </w:tc>
      </w:tr>
    </w:tbl>
    <w:p>
      <w:pPr>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9C9A8" w:sz="2"/>
              <w:left w:val="single" w:color="2E5496" w:sz="18"/>
              <w:bottom w:val="single" w:color="D9C9A8" w:sz="2"/>
              <w:right w:val="single" w:color="D9C9A8" w:sz="2"/>
            </w:tcBorders>
            <w:shd w:fill="E8F0FA" w:val="clear"/>
            <w:tcMar>
              <w:top w:type="dxa" w:w="140"/>
              <w:left w:type="dxa" w:w="180"/>
              <w:bottom w:type="dxa" w:w="140"/>
              <w:right w:type="dxa" w:w="180"/>
            </w:tcMar>
          </w:tcPr>
          <w:p>
            <w:pPr>
              <w:spacing w:after="60"/>
            </w:pPr>
            <w:r>
              <w:rPr>
                <w:b/>
                <w:bCs/>
                <w:color w:val="1F3864"/>
              </w:rPr>
              <w:t xml:space="preserve">La IA no pone notas</w:t>
            </w:r>
          </w:p>
          <w:p>
            <w:pPr>
              <w:spacing w:after="40" w:line="264"/>
            </w:pPr>
            <w:r>
              <w:rPr>
                <w:sz w:val="20"/>
                <w:szCs w:val="20"/>
              </w:rPr>
              <w:t xml:space="preserve">Todo lo que genera el asistente es un borrador que revisas tú. La corrección desde foto devuelve una propuesta de nota que no entra en el cuaderno hasta que pulsas el botón, y en la corrección por lotes se te enseña primero qué fotos son de cada alumno para que lo verifiques antes de enviar nada. Una nota la pone una persona.</w:t>
            </w:r>
          </w:p>
          <w:p>
            <w:pPr>
              <w:spacing w:after="40" w:line="264"/>
            </w:pPr>
            <w:r>
              <w:rPr>
                <w:sz w:val="20"/>
                <w:szCs w:val="20"/>
              </w:rPr>
              <w:t xml:space="preserve">Antes de enviar nada a un proveedor, la aplicación pide consentimiento y ofrece anonimizar: el alumnado viaja como «Alumno_03», no con su nombre. En la corrección desde foto hay además un recorte de cabecera —la franja superior de la hoja, donde va el nombre, el DNI o el número de expediente, se corta antes de enviar la imagen—. Viene activado con un 15 %; súbelo si tus plantillas tienen la cabecera más alta.</w:t>
            </w:r>
          </w:p>
        </w:tc>
      </w:tr>
    </w:tbl>
    <w:p>
      <w:r>
        <w:br w:type="page"/>
      </w:r>
    </w:p>
    <w:p>
      <w:pPr>
        <w:pStyle w:val="Heading1"/>
        <w:spacing w:after="160" w:before="360"/>
      </w:pPr>
      <w:r>
        <w:t xml:space="preserve">6. Situaciones especiales</w:t>
      </w:r>
    </w:p>
    <w:p>
      <w:pPr>
        <w:pStyle w:val="Heading2"/>
        <w:spacing w:after="120" w:before="280"/>
      </w:pPr>
      <w:r>
        <w:t xml:space="preserve">6.1 La fase de formación en empresa</w:t>
      </w:r>
    </w:p>
    <w:p>
      <w:pPr>
        <w:spacing w:after="120" w:line="276"/>
      </w:pPr>
      <w:r>
        <w:t xml:space="preserve">En los módulos que la llevan, la columna Empresa de la pantalla de Alumnos decide el estado del módulo. Mientras esté pendiente, el módulo queda en superado parcial si todo lo académico está alcanzado.</w:t>
      </w:r>
    </w:p>
    <w:p>
      <w:pPr>
        <w:spacing w:after="120" w:line="276"/>
      </w:pPr>
      <w:r>
        <w:t xml:space="preserve">La programación permite además marcar qué resultados de aprendizaje corresponden a la fase de empresa, de modo que el reparto entre centro y empresa quede documentado y sea comprobable.</w:t>
      </w:r>
    </w:p>
    <w:p>
      <w:pPr>
        <w:spacing w:after="120" w:line="276"/>
      </w:pPr>
      <w:r>
        <w:rPr>
          <w:b/>
          <w:bCs/>
        </w:rPr>
        <w:t xml:space="preserve">La organización de la formación dual está en la Orden 204/2024, de 2 de diciembre (DOCM de 5 de diciembre de 2024)</w:t>
      </w:r>
      <w:r>
        <w:t xml:space="preserve">. Su artículo 16.1 obliga a respetar los anexos de los decretos de currículo, lo que tiene una consecuencia que conviene no dar nunca por sabida al revés: en grado básico, las 400 horas de formación en empresa salen de dentro de las 2.000 horas del ciclo, no se suman a ellas. El Anexo I del Decreto 78/2024 ya es la tabla ajustada.</w:t>
      </w:r>
    </w:p>
    <w:p>
      <w:pPr>
        <w:pStyle w:val="Heading2"/>
        <w:spacing w:after="120" w:before="280"/>
      </w:pPr>
      <w:r>
        <w:t xml:space="preserve">6.2 El curso de especialización de Python</w:t>
      </w:r>
    </w:p>
    <w:p>
      <w:pPr>
        <w:spacing w:after="120" w:line="276"/>
      </w:pPr>
      <w:r>
        <w:t xml:space="preserve">Este curso puede ofertar periodo de formación en empresa o no hacerlo: lo decide el centro.</w:t>
      </w:r>
    </w:p>
    <w:p>
      <w:pPr>
        <w:spacing w:after="120" w:line="276"/>
      </w:pPr>
      <w:r>
        <w:rPr>
          <w:b/>
          <w:bCs/>
        </w:rPr>
        <w:t xml:space="preserve">En Ajustes → 🐍 Fase de empresa · CE de Python</w:t>
      </w:r>
      <w:r>
        <w:t xml:space="preserve"> se pone el número de horas, que debe estar entre 86 y 150 —el 20 y el 35 % de las 430 horas del curso— o ser 0 si no se oferta. La aplicación no deja salirse de esa franja. Al aplicarlo, las horas se reparten entre los cuatro módulos en proporción a su duración.</w:t>
      </w:r>
    </w:p>
    <w:p>
      <w:pPr>
        <w:spacing w:after="120" w:line="276"/>
      </w:pPr>
      <w:r>
        <w:rPr>
          <w:b/>
          <w:bCs/>
        </w:rPr>
        <w:t xml:space="preserve">La franja del 20 al 35 % la fija el artículo 5.3 del Decreto 79/2025, de 14 de octubre (DOCM núm. 205, de 23 de octubre de 2025, p. 33217)</w:t>
      </w:r>
      <w:r>
        <w:t xml:space="preserve">, que es también el decreto del que salen los cuatro módulos del curso, sus códigos oficiales 5098 a 5101 y los 127 criterios de su Anexo II.</w:t>
      </w:r>
    </w:p>
    <w:p>
      <w:pPr>
        <w:pStyle w:val="Heading2"/>
        <w:spacing w:after="120" w:before="280"/>
      </w:pPr>
      <w:r>
        <w:t xml:space="preserve">6.3 Alumnado con módulos pendientes de otro curso</w:t>
      </w:r>
    </w:p>
    <w:p>
      <w:pPr>
        <w:spacing w:after="120" w:line="276"/>
      </w:pPr>
      <w:r>
        <w:t xml:space="preserve">Se marca con «pend.» en la columna de convocatorias. El régimen es el del artículo 19 de la Orden 201/2024.</w:t>
      </w:r>
    </w:p>
    <w:p>
      <w:pPr>
        <w:spacing w:after="120" w:line="276"/>
      </w:pPr>
      <w:r>
        <w:rPr>
          <w:b/>
          <w:bCs/>
        </w:rPr>
        <w:t xml:space="preserve">La Orden 55/2026 añadió el artículo 18.5</w:t>
      </w:r>
      <w:r>
        <w:t xml:space="preserve">, que permite continuar con hasta tres módulos pendientes siempre que no superen el 30 % de la carga horaria del curso. El motor de EvalFP ya calcula si se cumplen esas condiciones y, cuando no se cumplen, por qué. El documento de esa decisión —el anexo VIII— todavía no se genera desde la aplicación: hay que redactarlo aparte.</w:t>
      </w:r>
    </w:p>
    <w:p>
      <w:pPr>
        <w:pStyle w:val="Heading2"/>
        <w:spacing w:after="120" w:before="280"/>
      </w:pPr>
      <w:r>
        <w:t xml:space="preserve">6.4 Los ámbitos de Grado Básico y la calificación cualitativa</w:t>
      </w:r>
    </w:p>
    <w:p>
      <w:pPr>
        <w:spacing w:after="120" w:line="276"/>
      </w:pPr>
      <w:r>
        <w:rPr>
          <w:b/>
          <w:bCs/>
        </w:rPr>
        <w:t xml:space="preserve">Los ámbitos de Ciencias Aplicadas y de Comunicación y Ciencias Sociales (códigos 3161 a 3164) y la Segunda lengua extranjera (0180) no están en el catálogo, y es a propósito.</w:t>
      </w:r>
      <w:r>
        <w:t xml:space="preserve"> El artículo 9 del Decreto 78/2024 los llama «ámbitos no profesionales» y los atribuye a otro profesorado: no son módulos de este cuaderno.</w:t>
      </w:r>
    </w:p>
    <w:p>
      <w:pPr>
        <w:spacing w:after="120" w:line="276"/>
      </w:pPr>
      <w:r>
        <w:t xml:space="preserve">Aun así, la calificación cualitativa que esos ámbitos exigen —Insuficiente, Suficiente, Bien, Notable o Sobresaliente, con las equivalencias IN 3, SU 5, BI 6, NT 7,5 y SB 9 de los artículos 25.2 y 25.3— está implementada y probada en el motor, por si alguna vez hiciera falta.</w:t>
      </w:r>
    </w:p>
    <w:p>
      <w:pPr>
        <w:pStyle w:val="Heading2"/>
        <w:spacing w:after="120" w:before="280"/>
      </w:pPr>
      <w:r>
        <w:t xml:space="preserve">6.5 La nota final del ciclo y la Matrícula de Honor</w:t>
      </w:r>
    </w:p>
    <w:p>
      <w:pPr>
        <w:spacing w:after="120" w:line="276"/>
      </w:pPr>
      <w:r>
        <w:t xml:space="preserve">No hay pantalla para esto, y es una decisión razonada: los cuadernos de EvalFP son de cada docente y de un solo módulo, mientras que esa media la calcula la Administración con los datos de todo el equipo docente.</w:t>
      </w:r>
    </w:p>
    <w:p>
      <w:pPr>
        <w:spacing w:after="120" w:line="276"/>
      </w:pPr>
      <w:r>
        <w:t xml:space="preserve">Las funciones están en el motor y probadas, por si algún día se necesitan, y aplican las reglas vigentes: la calificación final es la media aritmética con dos decimales —no ponderada por horas— de los artículos 25.9 y 25.10; los módulos convalidados sin calificación no computan (art. 25.11); y la Matrícula de Honor requiere un 9 o más, con un cupo de una por cada veinte alumnos o fracción (art. 25.12).</w:t>
      </w:r>
    </w:p>
    <w:p>
      <w:r>
        <w:br w:type="page"/>
      </w:r>
    </w:p>
    <w:p>
      <w:pPr>
        <w:pStyle w:val="Heading1"/>
        <w:spacing w:after="160" w:before="360"/>
      </w:pPr>
      <w:r>
        <w:t xml:space="preserve">7. Tabla de correspondencia: artículo por artículo</w:t>
      </w:r>
    </w:p>
    <w:p>
      <w:pPr>
        <w:spacing w:after="120" w:line="276"/>
      </w:pPr>
      <w:r>
        <w:t xml:space="preserve">Esta es la tabla que se enseña si una inspección pregunta por qué el cuaderno hace lo que hace. Recorre los artículos de la Orden 201/2024 —en la redacción dada por la Orden 55/2026— y señala dónde se ve cada uno dentro de la aplicación.</w:t>
      </w:r>
    </w:p>
    <w:p>
      <w:pPr>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4085"/>
        <w:gridCol w:w="4085"/>
      </w:tblGrid>
      <w:tr>
        <w:trPr>
          <w:tblHeader/>
        </w:trPr>
        <w:tc>
          <w:tcPr>
            <w:tcW w:type="dxa" w:w="900"/>
            <w:shd w:fill="1F3864" w:val="clear"/>
            <w:tcMar>
              <w:top w:type="dxa" w:w="80"/>
              <w:left w:type="dxa" w:w="120"/>
              <w:bottom w:type="dxa" w:w="80"/>
              <w:right w:type="dxa" w:w="120"/>
            </w:tcMar>
          </w:tcPr>
          <w:p>
            <w:pPr>
              <w:spacing w:after="0" w:line="252"/>
            </w:pPr>
            <w:r>
              <w:rPr>
                <w:b/>
                <w:bCs/>
                <w:color w:val="FFFFFF"/>
                <w:sz w:val="19"/>
                <w:szCs w:val="19"/>
              </w:rPr>
              <w:t xml:space="preserve">Artículo</w:t>
            </w:r>
          </w:p>
        </w:tc>
        <w:tc>
          <w:tcPr>
            <w:tcW w:type="dxa" w:w="4085"/>
            <w:shd w:fill="1F3864" w:val="clear"/>
            <w:tcMar>
              <w:top w:type="dxa" w:w="80"/>
              <w:left w:type="dxa" w:w="120"/>
              <w:bottom w:type="dxa" w:w="80"/>
              <w:right w:type="dxa" w:w="120"/>
            </w:tcMar>
          </w:tcPr>
          <w:p>
            <w:pPr>
              <w:spacing w:after="0" w:line="252"/>
            </w:pPr>
            <w:r>
              <w:rPr>
                <w:b/>
                <w:bCs/>
                <w:color w:val="FFFFFF"/>
                <w:sz w:val="19"/>
                <w:szCs w:val="19"/>
              </w:rPr>
              <w:t xml:space="preserve">Qué exige la norma</w:t>
            </w:r>
          </w:p>
        </w:tc>
        <w:tc>
          <w:tcPr>
            <w:tcW w:type="dxa" w:w="4085"/>
            <w:shd w:fill="1F3864" w:val="clear"/>
            <w:tcMar>
              <w:top w:type="dxa" w:w="80"/>
              <w:left w:type="dxa" w:w="120"/>
              <w:bottom w:type="dxa" w:w="80"/>
              <w:right w:type="dxa" w:w="120"/>
            </w:tcMar>
          </w:tcPr>
          <w:p>
            <w:pPr>
              <w:spacing w:after="0" w:line="252"/>
            </w:pPr>
            <w:r>
              <w:rPr>
                <w:b/>
                <w:bCs/>
                <w:color w:val="FFFFFF"/>
                <w:sz w:val="19"/>
                <w:szCs w:val="19"/>
              </w:rPr>
              <w:t xml:space="preserve">Dónde se ve en EvalFP</w:t>
            </w:r>
          </w:p>
        </w:tc>
      </w:tr>
      <w:tr>
        <w:tc>
          <w:tcPr>
            <w:tcW w:type="dxa" w:w="900"/>
            <w:tcMar>
              <w:top w:type="dxa" w:w="80"/>
              <w:left w:type="dxa" w:w="120"/>
              <w:bottom w:type="dxa" w:w="80"/>
              <w:right w:type="dxa" w:w="120"/>
            </w:tcMar>
          </w:tcPr>
          <w:p>
            <w:pPr>
              <w:spacing w:after="0" w:line="252"/>
            </w:pPr>
            <w:r>
              <w:rPr>
                <w:b w:val="false"/>
                <w:bCs w:val="false"/>
                <w:sz w:val="19"/>
                <w:szCs w:val="19"/>
              </w:rPr>
              <w:t xml:space="preserve">2.2</w:t>
            </w:r>
          </w:p>
        </w:tc>
        <w:tc>
          <w:tcPr>
            <w:tcW w:type="dxa" w:w="4085"/>
            <w:tcMar>
              <w:top w:type="dxa" w:w="80"/>
              <w:left w:type="dxa" w:w="120"/>
              <w:bottom w:type="dxa" w:w="80"/>
              <w:right w:type="dxa" w:w="120"/>
            </w:tcMar>
          </w:tcPr>
          <w:p>
            <w:pPr>
              <w:spacing w:after="0" w:line="252"/>
            </w:pPr>
            <w:r>
              <w:rPr>
                <w:b w:val="false"/>
                <w:bCs w:val="false"/>
                <w:sz w:val="19"/>
                <w:szCs w:val="19"/>
              </w:rPr>
              <w:t xml:space="preserve">La evaluación verifica la adquisición de los RA conforme a sus criterios de evaluación.</w:t>
            </w:r>
          </w:p>
        </w:tc>
        <w:tc>
          <w:tcPr>
            <w:tcW w:type="dxa" w:w="4085"/>
            <w:tcMar>
              <w:top w:type="dxa" w:w="80"/>
              <w:left w:type="dxa" w:w="120"/>
              <w:bottom w:type="dxa" w:w="80"/>
              <w:right w:type="dxa" w:w="120"/>
            </w:tcMar>
          </w:tcPr>
          <w:p>
            <w:pPr>
              <w:spacing w:after="0" w:line="252"/>
            </w:pPr>
            <w:r>
              <w:rPr>
                <w:b w:val="false"/>
                <w:bCs w:val="false"/>
                <w:sz w:val="19"/>
                <w:szCs w:val="19"/>
              </w:rPr>
              <w:t xml:space="preserve">Programación: cada actividad declara qué criterios evalúa. La nota se construye criterio → RA → módulo.</w:t>
            </w:r>
          </w:p>
        </w:tc>
      </w:tr>
      <w:tr>
        <w:tc>
          <w:tcPr>
            <w:tcW w:type="dxa" w:w="900"/>
            <w:shd w:fill="F2F4F7" w:val="clear"/>
            <w:tcMar>
              <w:top w:type="dxa" w:w="80"/>
              <w:left w:type="dxa" w:w="120"/>
              <w:bottom w:type="dxa" w:w="80"/>
              <w:right w:type="dxa" w:w="120"/>
            </w:tcMar>
          </w:tcPr>
          <w:p>
            <w:pPr>
              <w:spacing w:after="0" w:line="252"/>
            </w:pPr>
            <w:r>
              <w:rPr>
                <w:b w:val="false"/>
                <w:bCs w:val="false"/>
                <w:sz w:val="19"/>
                <w:szCs w:val="19"/>
              </w:rPr>
              <w:t xml:space="preserve">2.3</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El módulo se supera cuando se alcanzan todos los RA.</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Evaluaciones: la regla de oro. La media no compensa un RA suspenso.</w:t>
            </w:r>
          </w:p>
        </w:tc>
      </w:tr>
      <w:tr>
        <w:tc>
          <w:tcPr>
            <w:tcW w:type="dxa" w:w="900"/>
            <w:tcMar>
              <w:top w:type="dxa" w:w="80"/>
              <w:left w:type="dxa" w:w="120"/>
              <w:bottom w:type="dxa" w:w="80"/>
              <w:right w:type="dxa" w:w="120"/>
            </w:tcMar>
          </w:tcPr>
          <w:p>
            <w:pPr>
              <w:spacing w:after="0" w:line="252"/>
            </w:pPr>
            <w:r>
              <w:rPr>
                <w:b w:val="false"/>
                <w:bCs w:val="false"/>
                <w:sz w:val="19"/>
                <w:szCs w:val="19"/>
              </w:rPr>
              <w:t xml:space="preserve">2.4</w:t>
            </w:r>
          </w:p>
        </w:tc>
        <w:tc>
          <w:tcPr>
            <w:tcW w:type="dxa" w:w="4085"/>
            <w:tcMar>
              <w:top w:type="dxa" w:w="80"/>
              <w:left w:type="dxa" w:w="120"/>
              <w:bottom w:type="dxa" w:w="80"/>
              <w:right w:type="dxa" w:w="120"/>
            </w:tcMar>
          </w:tcPr>
          <w:p>
            <w:pPr>
              <w:spacing w:after="0" w:line="252"/>
            </w:pPr>
            <w:r>
              <w:rPr>
                <w:b w:val="false"/>
                <w:bCs w:val="false"/>
                <w:sz w:val="19"/>
                <w:szCs w:val="19"/>
              </w:rPr>
              <w:t xml:space="preserve">Derecho a acceder a los documentos de las pruebas.</w:t>
            </w:r>
          </w:p>
        </w:tc>
        <w:tc>
          <w:tcPr>
            <w:tcW w:type="dxa" w:w="4085"/>
            <w:tcMar>
              <w:top w:type="dxa" w:w="80"/>
              <w:left w:type="dxa" w:w="120"/>
              <w:bottom w:type="dxa" w:w="80"/>
              <w:right w:type="dxa" w:w="120"/>
            </w:tcMar>
          </w:tcPr>
          <w:p>
            <w:pPr>
              <w:spacing w:after="0" w:line="252"/>
            </w:pPr>
            <w:r>
              <w:rPr>
                <w:b w:val="false"/>
                <w:bCs w:val="false"/>
                <w:sz w:val="19"/>
                <w:szCs w:val="19"/>
              </w:rPr>
              <w:t xml:space="preserve">Registro de evidencias con fecha al dar un criterio por alcanzado; exportación de notas y boletines.</w:t>
            </w:r>
          </w:p>
        </w:tc>
      </w:tr>
      <w:tr>
        <w:tc>
          <w:tcPr>
            <w:tcW w:type="dxa" w:w="900"/>
            <w:shd w:fill="F2F4F7" w:val="clear"/>
            <w:tcMar>
              <w:top w:type="dxa" w:w="80"/>
              <w:left w:type="dxa" w:w="120"/>
              <w:bottom w:type="dxa" w:w="80"/>
              <w:right w:type="dxa" w:w="120"/>
            </w:tcMar>
          </w:tcPr>
          <w:p>
            <w:pPr>
              <w:spacing w:after="0" w:line="252"/>
            </w:pPr>
            <w:r>
              <w:rPr>
                <w:b w:val="false"/>
                <w:bCs w:val="false"/>
                <w:sz w:val="19"/>
                <w:szCs w:val="19"/>
              </w:rPr>
              <w:t xml:space="preserve">3.3</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El 25 % de faltas puede suponer la pérdida de la evaluación continua.</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Alumnos → Faltas (h): porcentaje calculado y aviso en rojo al superar el umbral.</w:t>
            </w:r>
          </w:p>
        </w:tc>
      </w:tr>
      <w:tr>
        <w:tc>
          <w:tcPr>
            <w:tcW w:type="dxa" w:w="900"/>
            <w:tcMar>
              <w:top w:type="dxa" w:w="80"/>
              <w:left w:type="dxa" w:w="120"/>
              <w:bottom w:type="dxa" w:w="80"/>
              <w:right w:type="dxa" w:w="120"/>
            </w:tcMar>
          </w:tcPr>
          <w:p>
            <w:pPr>
              <w:spacing w:after="0" w:line="252"/>
            </w:pPr>
            <w:r>
              <w:rPr>
                <w:b w:val="false"/>
                <w:bCs w:val="false"/>
                <w:sz w:val="19"/>
                <w:szCs w:val="19"/>
              </w:rPr>
              <w:t xml:space="preserve">3.4</w:t>
            </w:r>
          </w:p>
        </w:tc>
        <w:tc>
          <w:tcPr>
            <w:tcW w:type="dxa" w:w="4085"/>
            <w:tcMar>
              <w:top w:type="dxa" w:w="80"/>
              <w:left w:type="dxa" w:w="120"/>
              <w:bottom w:type="dxa" w:w="80"/>
              <w:right w:type="dxa" w:w="120"/>
            </w:tcMar>
          </w:tcPr>
          <w:p>
            <w:pPr>
              <w:spacing w:after="0" w:line="252"/>
            </w:pPr>
            <w:r>
              <w:rPr>
                <w:b w:val="false"/>
                <w:bCs w:val="false"/>
                <w:sz w:val="19"/>
                <w:szCs w:val="19"/>
              </w:rPr>
              <w:t xml:space="preserve">No se aplica en Grado Básico.</w:t>
            </w:r>
          </w:p>
        </w:tc>
        <w:tc>
          <w:tcPr>
            <w:tcW w:type="dxa" w:w="4085"/>
            <w:tcMar>
              <w:top w:type="dxa" w:w="80"/>
              <w:left w:type="dxa" w:w="120"/>
              <w:bottom w:type="dxa" w:w="80"/>
              <w:right w:type="dxa" w:w="120"/>
            </w:tcMar>
          </w:tcPr>
          <w:p>
            <w:pPr>
              <w:spacing w:after="0" w:line="252"/>
            </w:pPr>
            <w:r>
              <w:rPr>
                <w:b w:val="false"/>
                <w:bCs w:val="false"/>
                <w:sz w:val="19"/>
                <w:szCs w:val="19"/>
              </w:rPr>
              <w:t xml:space="preserve">La columna muestra un guion en lugar del aviso.</w:t>
            </w:r>
          </w:p>
        </w:tc>
      </w:tr>
      <w:tr>
        <w:tc>
          <w:tcPr>
            <w:tcW w:type="dxa" w:w="900"/>
            <w:shd w:fill="F2F4F7" w:val="clear"/>
            <w:tcMar>
              <w:top w:type="dxa" w:w="80"/>
              <w:left w:type="dxa" w:w="120"/>
              <w:bottom w:type="dxa" w:w="80"/>
              <w:right w:type="dxa" w:w="120"/>
            </w:tcMar>
          </w:tcPr>
          <w:p>
            <w:pPr>
              <w:spacing w:after="0" w:line="252"/>
            </w:pPr>
            <w:r>
              <w:rPr>
                <w:b w:val="false"/>
                <w:bCs w:val="false"/>
                <w:sz w:val="19"/>
                <w:szCs w:val="19"/>
              </w:rPr>
              <w:t xml:space="preserve">3.6</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Quien pierde la evaluación continua se califica con una prueba objetiva que cubra todos los RA, sin conservar calificaciones parciales.</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Botón EC en Alumnos + «Prueba objetiva del módulo completo» en Programación, creada con todos los criterios marcados.</w:t>
            </w:r>
          </w:p>
        </w:tc>
      </w:tr>
      <w:tr>
        <w:tc>
          <w:tcPr>
            <w:tcW w:type="dxa" w:w="900"/>
            <w:tcMar>
              <w:top w:type="dxa" w:w="80"/>
              <w:left w:type="dxa" w:w="120"/>
              <w:bottom w:type="dxa" w:w="80"/>
              <w:right w:type="dxa" w:w="120"/>
            </w:tcMar>
          </w:tcPr>
          <w:p>
            <w:pPr>
              <w:spacing w:after="0" w:line="252"/>
            </w:pPr>
            <w:r>
              <w:rPr>
                <w:b w:val="false"/>
                <w:bCs w:val="false"/>
                <w:sz w:val="19"/>
                <w:szCs w:val="19"/>
              </w:rPr>
              <w:t xml:space="preserve">4.3.a</w:t>
            </w:r>
          </w:p>
        </w:tc>
        <w:tc>
          <w:tcPr>
            <w:tcW w:type="dxa" w:w="4085"/>
            <w:tcMar>
              <w:top w:type="dxa" w:w="80"/>
              <w:left w:type="dxa" w:w="120"/>
              <w:bottom w:type="dxa" w:w="80"/>
              <w:right w:type="dxa" w:w="120"/>
            </w:tcMar>
          </w:tcPr>
          <w:p>
            <w:pPr>
              <w:spacing w:after="0" w:line="252"/>
            </w:pPr>
            <w:r>
              <w:rPr>
                <w:b w:val="false"/>
                <w:bCs w:val="false"/>
                <w:sz w:val="19"/>
                <w:szCs w:val="19"/>
              </w:rPr>
              <w:t xml:space="preserve">Se puede ponderar cada criterio de evaluación.</w:t>
            </w:r>
          </w:p>
        </w:tc>
        <w:tc>
          <w:tcPr>
            <w:tcW w:type="dxa" w:w="4085"/>
            <w:tcMar>
              <w:top w:type="dxa" w:w="80"/>
              <w:left w:type="dxa" w:w="120"/>
              <w:bottom w:type="dxa" w:w="80"/>
              <w:right w:type="dxa" w:w="120"/>
            </w:tcMar>
          </w:tcPr>
          <w:p>
            <w:pPr>
              <w:spacing w:after="0" w:line="252"/>
            </w:pPr>
            <w:r>
              <w:rPr>
                <w:b w:val="false"/>
                <w:bCs w:val="false"/>
                <w:sz w:val="19"/>
                <w:szCs w:val="19"/>
              </w:rPr>
              <w:t xml:space="preserve">Programación: pesos por RA y, dentro de cada RA, por criterio.</w:t>
            </w:r>
          </w:p>
        </w:tc>
      </w:tr>
      <w:tr>
        <w:tc>
          <w:tcPr>
            <w:tcW w:type="dxa" w:w="900"/>
            <w:shd w:fill="F2F4F7" w:val="clear"/>
            <w:tcMar>
              <w:top w:type="dxa" w:w="80"/>
              <w:left w:type="dxa" w:w="120"/>
              <w:bottom w:type="dxa" w:w="80"/>
              <w:right w:type="dxa" w:w="120"/>
            </w:tcMar>
          </w:tcPr>
          <w:p>
            <w:pPr>
              <w:spacing w:after="0" w:line="252"/>
            </w:pPr>
            <w:r>
              <w:rPr>
                <w:b w:val="false"/>
                <w:bCs w:val="false"/>
                <w:sz w:val="19"/>
                <w:szCs w:val="19"/>
              </w:rPr>
              <w:t xml:space="preserve">4.3.f</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Un RA superado no se reevalúa a la baja.</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Cerrar evaluación fija los RA alcanzados; en 2ª convocatoria cada criterio conserva la mejor de sus notas.</w:t>
            </w:r>
          </w:p>
        </w:tc>
      </w:tr>
      <w:tr>
        <w:tc>
          <w:tcPr>
            <w:tcW w:type="dxa" w:w="900"/>
            <w:tcMar>
              <w:top w:type="dxa" w:w="80"/>
              <w:left w:type="dxa" w:w="120"/>
              <w:bottom w:type="dxa" w:w="80"/>
              <w:right w:type="dxa" w:w="120"/>
            </w:tcMar>
          </w:tcPr>
          <w:p>
            <w:pPr>
              <w:spacing w:after="0" w:line="252"/>
            </w:pPr>
            <w:r>
              <w:rPr>
                <w:b w:val="false"/>
                <w:bCs w:val="false"/>
                <w:sz w:val="19"/>
                <w:szCs w:val="19"/>
              </w:rPr>
              <w:t xml:space="preserve">7.1</w:t>
            </w:r>
          </w:p>
        </w:tc>
        <w:tc>
          <w:tcPr>
            <w:tcW w:type="dxa" w:w="4085"/>
            <w:tcMar>
              <w:top w:type="dxa" w:w="80"/>
              <w:left w:type="dxa" w:w="120"/>
              <w:bottom w:type="dxa" w:w="80"/>
              <w:right w:type="dxa" w:w="120"/>
            </w:tcMar>
          </w:tcPr>
          <w:p>
            <w:pPr>
              <w:spacing w:after="0" w:line="252"/>
            </w:pPr>
            <w:r>
              <w:rPr>
                <w:b w:val="false"/>
                <w:bCs w:val="false"/>
                <w:sz w:val="19"/>
                <w:szCs w:val="19"/>
              </w:rPr>
              <w:t xml:space="preserve">La matrícula anulada no se evalúa en ninguna convocatoria.</w:t>
            </w:r>
          </w:p>
        </w:tc>
        <w:tc>
          <w:tcPr>
            <w:tcW w:type="dxa" w:w="4085"/>
            <w:tcMar>
              <w:top w:type="dxa" w:w="80"/>
              <w:left w:type="dxa" w:w="120"/>
              <w:bottom w:type="dxa" w:w="80"/>
              <w:right w:type="dxa" w:w="120"/>
            </w:tcMar>
          </w:tcPr>
          <w:p>
            <w:pPr>
              <w:spacing w:after="0" w:line="252"/>
            </w:pPr>
            <w:r>
              <w:rPr>
                <w:b w:val="false"/>
                <w:bCs w:val="false"/>
                <w:sz w:val="19"/>
                <w:szCs w:val="19"/>
              </w:rPr>
              <w:t xml:space="preserve">Estado «Baja»: fila visible, sin calificación final, sin acta y sin veredicto.</w:t>
            </w:r>
          </w:p>
        </w:tc>
      </w:tr>
      <w:tr>
        <w:tc>
          <w:tcPr>
            <w:tcW w:type="dxa" w:w="900"/>
            <w:shd w:fill="F2F4F7" w:val="clear"/>
            <w:tcMar>
              <w:top w:type="dxa" w:w="80"/>
              <w:left w:type="dxa" w:w="120"/>
              <w:bottom w:type="dxa" w:w="80"/>
              <w:right w:type="dxa" w:w="120"/>
            </w:tcMar>
          </w:tcPr>
          <w:p>
            <w:pPr>
              <w:spacing w:after="0" w:line="252"/>
            </w:pPr>
            <w:r>
              <w:rPr>
                <w:b w:val="false"/>
                <w:bCs w:val="false"/>
                <w:sz w:val="19"/>
                <w:szCs w:val="19"/>
              </w:rPr>
              <w:t xml:space="preserve">8.2</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Cuatro convocatorias en Grado D, dos en Grado E.</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Columna «Convoc.» con el tope aplicado según el grado del ciclo.</w:t>
            </w:r>
          </w:p>
        </w:tc>
      </w:tr>
      <w:tr>
        <w:tc>
          <w:tcPr>
            <w:tcW w:type="dxa" w:w="900"/>
            <w:tcMar>
              <w:top w:type="dxa" w:w="80"/>
              <w:left w:type="dxa" w:w="120"/>
              <w:bottom w:type="dxa" w:w="80"/>
              <w:right w:type="dxa" w:w="120"/>
            </w:tcMar>
          </w:tcPr>
          <w:p>
            <w:pPr>
              <w:spacing w:after="0" w:line="252"/>
            </w:pPr>
            <w:r>
              <w:rPr>
                <w:b w:val="false"/>
                <w:bCs w:val="false"/>
                <w:sz w:val="19"/>
                <w:szCs w:val="19"/>
              </w:rPr>
              <w:t xml:space="preserve">9</w:t>
            </w:r>
          </w:p>
        </w:tc>
        <w:tc>
          <w:tcPr>
            <w:tcW w:type="dxa" w:w="4085"/>
            <w:tcMar>
              <w:top w:type="dxa" w:w="80"/>
              <w:left w:type="dxa" w:w="120"/>
              <w:bottom w:type="dxa" w:w="80"/>
              <w:right w:type="dxa" w:w="120"/>
            </w:tcMar>
          </w:tcPr>
          <w:p>
            <w:pPr>
              <w:spacing w:after="0" w:line="252"/>
            </w:pPr>
            <w:r>
              <w:rPr>
                <w:b w:val="false"/>
                <w:bCs w:val="false"/>
                <w:sz w:val="19"/>
                <w:szCs w:val="19"/>
              </w:rPr>
              <w:t xml:space="preserve">Convocatoria extraordinaria.</w:t>
            </w:r>
          </w:p>
        </w:tc>
        <w:tc>
          <w:tcPr>
            <w:tcW w:type="dxa" w:w="4085"/>
            <w:tcMar>
              <w:top w:type="dxa" w:w="80"/>
              <w:left w:type="dxa" w:w="120"/>
              <w:bottom w:type="dxa" w:w="80"/>
              <w:right w:type="dxa" w:w="120"/>
            </w:tcMar>
          </w:tcPr>
          <w:p>
            <w:pPr>
              <w:spacing w:after="0" w:line="252"/>
            </w:pPr>
            <w:r>
              <w:rPr>
                <w:b w:val="false"/>
                <w:bCs w:val="false"/>
                <w:sz w:val="19"/>
                <w:szCs w:val="19"/>
              </w:rPr>
              <w:t xml:space="preserve">Contemplada en el recuento de convocatorias.</w:t>
            </w:r>
          </w:p>
        </w:tc>
      </w:tr>
      <w:tr>
        <w:tc>
          <w:tcPr>
            <w:tcW w:type="dxa" w:w="900"/>
            <w:shd w:fill="F2F4F7" w:val="clear"/>
            <w:tcMar>
              <w:top w:type="dxa" w:w="80"/>
              <w:left w:type="dxa" w:w="120"/>
              <w:bottom w:type="dxa" w:w="80"/>
              <w:right w:type="dxa" w:w="120"/>
            </w:tcMar>
          </w:tcPr>
          <w:p>
            <w:pPr>
              <w:spacing w:after="0" w:line="252"/>
            </w:pPr>
            <w:r>
              <w:rPr>
                <w:b w:val="false"/>
                <w:bCs w:val="false"/>
                <w:sz w:val="19"/>
                <w:szCs w:val="19"/>
              </w:rPr>
              <w:t xml:space="preserve">11</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Renuncia a convocatoria.</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Estado «Renuncia». En acta figura como RC.</w:t>
            </w:r>
          </w:p>
        </w:tc>
      </w:tr>
      <w:tr>
        <w:tc>
          <w:tcPr>
            <w:tcW w:type="dxa" w:w="900"/>
            <w:tcMar>
              <w:top w:type="dxa" w:w="80"/>
              <w:left w:type="dxa" w:w="120"/>
              <w:bottom w:type="dxa" w:w="80"/>
              <w:right w:type="dxa" w:w="120"/>
            </w:tcMar>
          </w:tcPr>
          <w:p>
            <w:pPr>
              <w:spacing w:after="0" w:line="252"/>
            </w:pPr>
            <w:r>
              <w:rPr>
                <w:b w:val="false"/>
                <w:bCs w:val="false"/>
                <w:sz w:val="19"/>
                <w:szCs w:val="19"/>
              </w:rPr>
              <w:t xml:space="preserve">12</w:t>
            </w:r>
          </w:p>
        </w:tc>
        <w:tc>
          <w:tcPr>
            <w:tcW w:type="dxa" w:w="4085"/>
            <w:tcMar>
              <w:top w:type="dxa" w:w="80"/>
              <w:left w:type="dxa" w:w="120"/>
              <w:bottom w:type="dxa" w:w="80"/>
              <w:right w:type="dxa" w:w="120"/>
            </w:tcMar>
          </w:tcPr>
          <w:p>
            <w:pPr>
              <w:spacing w:after="0" w:line="252"/>
            </w:pPr>
            <w:r>
              <w:rPr>
                <w:b w:val="false"/>
                <w:bCs w:val="false"/>
                <w:sz w:val="19"/>
                <w:szCs w:val="19"/>
              </w:rPr>
              <w:t xml:space="preserve">Estados: superado, no superado y superado parcial.</w:t>
            </w:r>
          </w:p>
        </w:tc>
        <w:tc>
          <w:tcPr>
            <w:tcW w:type="dxa" w:w="4085"/>
            <w:tcMar>
              <w:top w:type="dxa" w:w="80"/>
              <w:left w:type="dxa" w:w="120"/>
              <w:bottom w:type="dxa" w:w="80"/>
              <w:right w:type="dxa" w:w="120"/>
            </w:tcMar>
          </w:tcPr>
          <w:p>
            <w:pPr>
              <w:spacing w:after="0" w:line="252"/>
            </w:pPr>
            <w:r>
              <w:rPr>
                <w:b w:val="false"/>
                <w:bCs w:val="false"/>
                <w:sz w:val="19"/>
                <w:szCs w:val="19"/>
              </w:rPr>
              <w:t xml:space="preserve">Veredicto del módulo en Evaluaciones y en el boletín.</w:t>
            </w:r>
          </w:p>
        </w:tc>
      </w:tr>
      <w:tr>
        <w:tc>
          <w:tcPr>
            <w:tcW w:type="dxa" w:w="900"/>
            <w:shd w:fill="F2F4F7" w:val="clear"/>
            <w:tcMar>
              <w:top w:type="dxa" w:w="80"/>
              <w:left w:type="dxa" w:w="120"/>
              <w:bottom w:type="dxa" w:w="80"/>
              <w:right w:type="dxa" w:w="120"/>
            </w:tcMar>
          </w:tcPr>
          <w:p>
            <w:pPr>
              <w:spacing w:after="0" w:line="252"/>
            </w:pPr>
            <w:r>
              <w:rPr>
                <w:b w:val="false"/>
                <w:bCs w:val="false"/>
                <w:sz w:val="19"/>
                <w:szCs w:val="19"/>
              </w:rPr>
              <w:t xml:space="preserve">18.4</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El superado parcial cuenta como superado a efectos de promoción.</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El estado SP no arrastra el tope de 4 ni bloquea la promoción.</w:t>
            </w:r>
          </w:p>
        </w:tc>
      </w:tr>
      <w:tr>
        <w:tc>
          <w:tcPr>
            <w:tcW w:type="dxa" w:w="900"/>
            <w:tcMar>
              <w:top w:type="dxa" w:w="80"/>
              <w:left w:type="dxa" w:w="120"/>
              <w:bottom w:type="dxa" w:w="80"/>
              <w:right w:type="dxa" w:w="120"/>
            </w:tcMar>
          </w:tcPr>
          <w:p>
            <w:pPr>
              <w:spacing w:after="0" w:line="252"/>
            </w:pPr>
            <w:r>
              <w:rPr>
                <w:b w:val="false"/>
                <w:bCs w:val="false"/>
                <w:sz w:val="19"/>
                <w:szCs w:val="19"/>
              </w:rPr>
              <w:t xml:space="preserve">18.5</w:t>
            </w:r>
          </w:p>
        </w:tc>
        <w:tc>
          <w:tcPr>
            <w:tcW w:type="dxa" w:w="4085"/>
            <w:tcMar>
              <w:top w:type="dxa" w:w="80"/>
              <w:left w:type="dxa" w:w="120"/>
              <w:bottom w:type="dxa" w:w="80"/>
              <w:right w:type="dxa" w:w="120"/>
            </w:tcMar>
          </w:tcPr>
          <w:p>
            <w:pPr>
              <w:spacing w:after="0" w:line="252"/>
            </w:pPr>
            <w:r>
              <w:rPr>
                <w:b w:val="false"/>
                <w:bCs w:val="false"/>
                <w:sz w:val="19"/>
                <w:szCs w:val="19"/>
              </w:rPr>
              <w:t xml:space="preserve">Continuidad con hasta tres módulos pendientes por debajo del 30 % de la carga horaria.</w:t>
            </w:r>
          </w:p>
        </w:tc>
        <w:tc>
          <w:tcPr>
            <w:tcW w:type="dxa" w:w="4085"/>
            <w:tcMar>
              <w:top w:type="dxa" w:w="80"/>
              <w:left w:type="dxa" w:w="120"/>
              <w:bottom w:type="dxa" w:w="80"/>
              <w:right w:type="dxa" w:w="120"/>
            </w:tcMar>
          </w:tcPr>
          <w:p>
            <w:pPr>
              <w:spacing w:after="0" w:line="252"/>
            </w:pPr>
            <w:r>
              <w:rPr>
                <w:b w:val="false"/>
                <w:bCs w:val="false"/>
                <w:sz w:val="19"/>
                <w:szCs w:val="19"/>
              </w:rPr>
              <w:t xml:space="preserve">Calculado en el motor, con el motivo cuando no se cumple. Documento (anexo VIII) pendiente.</w:t>
            </w:r>
          </w:p>
        </w:tc>
      </w:tr>
      <w:tr>
        <w:tc>
          <w:tcPr>
            <w:tcW w:type="dxa" w:w="900"/>
            <w:shd w:fill="F2F4F7" w:val="clear"/>
            <w:tcMar>
              <w:top w:type="dxa" w:w="80"/>
              <w:left w:type="dxa" w:w="120"/>
              <w:bottom w:type="dxa" w:w="80"/>
              <w:right w:type="dxa" w:w="120"/>
            </w:tcMar>
          </w:tcPr>
          <w:p>
            <w:pPr>
              <w:spacing w:after="0" w:line="252"/>
            </w:pPr>
            <w:r>
              <w:rPr>
                <w:b w:val="false"/>
                <w:bCs w:val="false"/>
                <w:sz w:val="19"/>
                <w:szCs w:val="19"/>
              </w:rPr>
              <w:t xml:space="preserve">19</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Alumnado con módulos pendientes de otro curso.</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Marca «pend.» junto a las convocatorias.</w:t>
            </w:r>
          </w:p>
        </w:tc>
      </w:tr>
      <w:tr>
        <w:tc>
          <w:tcPr>
            <w:tcW w:type="dxa" w:w="900"/>
            <w:tcMar>
              <w:top w:type="dxa" w:w="80"/>
              <w:left w:type="dxa" w:w="120"/>
              <w:bottom w:type="dxa" w:w="80"/>
              <w:right w:type="dxa" w:w="120"/>
            </w:tcMar>
          </w:tcPr>
          <w:p>
            <w:pPr>
              <w:spacing w:after="0" w:line="252"/>
            </w:pPr>
            <w:r>
              <w:rPr>
                <w:b w:val="false"/>
                <w:bCs w:val="false"/>
                <w:sz w:val="19"/>
                <w:szCs w:val="19"/>
              </w:rPr>
              <w:t xml:space="preserve">21.5</w:t>
            </w:r>
          </w:p>
        </w:tc>
        <w:tc>
          <w:tcPr>
            <w:tcW w:type="dxa" w:w="4085"/>
            <w:tcMar>
              <w:top w:type="dxa" w:w="80"/>
              <w:left w:type="dxa" w:w="120"/>
              <w:bottom w:type="dxa" w:w="80"/>
              <w:right w:type="dxa" w:w="120"/>
            </w:tcMar>
          </w:tcPr>
          <w:p>
            <w:pPr>
              <w:spacing w:after="0" w:line="252"/>
            </w:pPr>
            <w:r>
              <w:rPr>
                <w:b w:val="false"/>
                <w:bCs w:val="false"/>
                <w:sz w:val="19"/>
                <w:szCs w:val="19"/>
              </w:rPr>
              <w:t xml:space="preserve">La 2ª convocatoria se evalúa con instrumentos diferentes.</w:t>
            </w:r>
          </w:p>
        </w:tc>
        <w:tc>
          <w:tcPr>
            <w:tcW w:type="dxa" w:w="4085"/>
            <w:tcMar>
              <w:top w:type="dxa" w:w="80"/>
              <w:left w:type="dxa" w:w="120"/>
              <w:bottom w:type="dxa" w:w="80"/>
              <w:right w:type="dxa" w:w="120"/>
            </w:tcMar>
          </w:tcPr>
          <w:p>
            <w:pPr>
              <w:spacing w:after="0" w:line="252"/>
            </w:pPr>
            <w:r>
              <w:rPr>
                <w:b w:val="false"/>
                <w:bCs w:val="false"/>
                <w:sz w:val="19"/>
                <w:szCs w:val="19"/>
              </w:rPr>
              <w:t xml:space="preserve">«🔁 Recuperación · 2ª convocatoria» en Programación, con sus propios criterios marcados.</w:t>
            </w:r>
          </w:p>
        </w:tc>
      </w:tr>
      <w:tr>
        <w:tc>
          <w:tcPr>
            <w:tcW w:type="dxa" w:w="900"/>
            <w:shd w:fill="F2F4F7" w:val="clear"/>
            <w:tcMar>
              <w:top w:type="dxa" w:w="80"/>
              <w:left w:type="dxa" w:w="120"/>
              <w:bottom w:type="dxa" w:w="80"/>
              <w:right w:type="dxa" w:w="120"/>
            </w:tcMar>
          </w:tcPr>
          <w:p>
            <w:pPr>
              <w:spacing w:after="0" w:line="252"/>
            </w:pPr>
            <w:r>
              <w:rPr>
                <w:b w:val="false"/>
                <w:bCs w:val="false"/>
                <w:sz w:val="19"/>
                <w:szCs w:val="19"/>
              </w:rPr>
              <w:t xml:space="preserve">22</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Exención de la fase de formación en empresa.</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Estado «exenta» en la columna Empresa. Documento (anexo X-BIS) pendiente.</w:t>
            </w:r>
          </w:p>
        </w:tc>
      </w:tr>
      <w:tr>
        <w:tc>
          <w:tcPr>
            <w:tcW w:type="dxa" w:w="900"/>
            <w:tcMar>
              <w:top w:type="dxa" w:w="80"/>
              <w:left w:type="dxa" w:w="120"/>
              <w:bottom w:type="dxa" w:w="80"/>
              <w:right w:type="dxa" w:w="120"/>
            </w:tcMar>
          </w:tcPr>
          <w:p>
            <w:pPr>
              <w:spacing w:after="0" w:line="252"/>
            </w:pPr>
            <w:r>
              <w:rPr>
                <w:b w:val="false"/>
                <w:bCs w:val="false"/>
                <w:sz w:val="19"/>
                <w:szCs w:val="19"/>
              </w:rPr>
              <w:t xml:space="preserve">25.2 y 25.3</w:t>
            </w:r>
          </w:p>
        </w:tc>
        <w:tc>
          <w:tcPr>
            <w:tcW w:type="dxa" w:w="4085"/>
            <w:tcMar>
              <w:top w:type="dxa" w:w="80"/>
              <w:left w:type="dxa" w:w="120"/>
              <w:bottom w:type="dxa" w:w="80"/>
              <w:right w:type="dxa" w:w="120"/>
            </w:tcMar>
          </w:tcPr>
          <w:p>
            <w:pPr>
              <w:spacing w:after="0" w:line="252"/>
            </w:pPr>
            <w:r>
              <w:rPr>
                <w:b w:val="false"/>
                <w:bCs w:val="false"/>
                <w:sz w:val="19"/>
                <w:szCs w:val="19"/>
              </w:rPr>
              <w:t xml:space="preserve">Calificación cualitativa de los ámbitos y sus equivalencias numéricas.</w:t>
            </w:r>
          </w:p>
        </w:tc>
        <w:tc>
          <w:tcPr>
            <w:tcW w:type="dxa" w:w="4085"/>
            <w:tcMar>
              <w:top w:type="dxa" w:w="80"/>
              <w:left w:type="dxa" w:w="120"/>
              <w:bottom w:type="dxa" w:w="80"/>
              <w:right w:type="dxa" w:w="120"/>
            </w:tcMar>
          </w:tcPr>
          <w:p>
            <w:pPr>
              <w:spacing w:after="0" w:line="252"/>
            </w:pPr>
            <w:r>
              <w:rPr>
                <w:b w:val="false"/>
                <w:bCs w:val="false"/>
                <w:sz w:val="19"/>
                <w:szCs w:val="19"/>
              </w:rPr>
              <w:t xml:space="preserve">Implementado y probado en el motor. No se usa porque los ámbitos quedan fuera del catálogo.</w:t>
            </w:r>
          </w:p>
        </w:tc>
      </w:tr>
      <w:tr>
        <w:tc>
          <w:tcPr>
            <w:tcW w:type="dxa" w:w="900"/>
            <w:shd w:fill="F2F4F7" w:val="clear"/>
            <w:tcMar>
              <w:top w:type="dxa" w:w="80"/>
              <w:left w:type="dxa" w:w="120"/>
              <w:bottom w:type="dxa" w:w="80"/>
              <w:right w:type="dxa" w:w="120"/>
            </w:tcMar>
          </w:tcPr>
          <w:p>
            <w:pPr>
              <w:spacing w:after="0" w:line="252"/>
            </w:pPr>
            <w:r>
              <w:rPr>
                <w:b w:val="false"/>
                <w:bCs w:val="false"/>
                <w:sz w:val="19"/>
                <w:szCs w:val="19"/>
              </w:rPr>
              <w:t xml:space="preserve">25.4</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Calificación numérica de 1 a 10, sin decimales.</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Acta: entero, con redondeo al alza desde el 0,5.</w:t>
            </w:r>
          </w:p>
        </w:tc>
      </w:tr>
      <w:tr>
        <w:tc>
          <w:tcPr>
            <w:tcW w:type="dxa" w:w="900"/>
            <w:tcMar>
              <w:top w:type="dxa" w:w="80"/>
              <w:left w:type="dxa" w:w="120"/>
              <w:bottom w:type="dxa" w:w="80"/>
              <w:right w:type="dxa" w:w="120"/>
            </w:tcMar>
          </w:tcPr>
          <w:p>
            <w:pPr>
              <w:spacing w:after="0" w:line="252"/>
            </w:pPr>
            <w:r>
              <w:rPr>
                <w:b w:val="false"/>
                <w:bCs w:val="false"/>
                <w:sz w:val="19"/>
                <w:szCs w:val="19"/>
              </w:rPr>
              <w:t xml:space="preserve">25.5</w:t>
            </w:r>
          </w:p>
        </w:tc>
        <w:tc>
          <w:tcPr>
            <w:tcW w:type="dxa" w:w="4085"/>
            <w:tcMar>
              <w:top w:type="dxa" w:w="80"/>
              <w:left w:type="dxa" w:w="120"/>
              <w:bottom w:type="dxa" w:w="80"/>
              <w:right w:type="dxa" w:w="120"/>
            </w:tcMar>
          </w:tcPr>
          <w:p>
            <w:pPr>
              <w:spacing w:after="0" w:line="252"/>
            </w:pPr>
            <w:r>
              <w:rPr>
                <w:b w:val="false"/>
                <w:bCs w:val="false"/>
                <w:sz w:val="19"/>
                <w:szCs w:val="19"/>
              </w:rPr>
              <w:t xml:space="preserve">Máximo 4 si no se superan todos los RA.</w:t>
            </w:r>
          </w:p>
        </w:tc>
        <w:tc>
          <w:tcPr>
            <w:tcW w:type="dxa" w:w="4085"/>
            <w:tcMar>
              <w:top w:type="dxa" w:w="80"/>
              <w:left w:type="dxa" w:w="120"/>
              <w:bottom w:type="dxa" w:w="80"/>
              <w:right w:type="dxa" w:w="120"/>
            </w:tcMar>
          </w:tcPr>
          <w:p>
            <w:pPr>
              <w:spacing w:after="0" w:line="252"/>
            </w:pPr>
            <w:r>
              <w:rPr>
                <w:b w:val="false"/>
                <w:bCs w:val="false"/>
                <w:sz w:val="19"/>
                <w:szCs w:val="19"/>
              </w:rPr>
              <w:t xml:space="preserve">Tope aplicado automáticamente al veredicto «no superado».</w:t>
            </w:r>
          </w:p>
        </w:tc>
      </w:tr>
      <w:tr>
        <w:tc>
          <w:tcPr>
            <w:tcW w:type="dxa" w:w="900"/>
            <w:shd w:fill="F2F4F7" w:val="clear"/>
            <w:tcMar>
              <w:top w:type="dxa" w:w="80"/>
              <w:left w:type="dxa" w:w="120"/>
              <w:bottom w:type="dxa" w:w="80"/>
              <w:right w:type="dxa" w:w="120"/>
            </w:tcMar>
          </w:tcPr>
          <w:p>
            <w:pPr>
              <w:spacing w:after="0" w:line="252"/>
            </w:pPr>
            <w:r>
              <w:rPr>
                <w:b w:val="false"/>
                <w:bCs w:val="false"/>
                <w:sz w:val="19"/>
                <w:szCs w:val="19"/>
              </w:rPr>
              <w:t xml:space="preserve">25.6</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El superado parcial conserva su calificación al completar la fase.</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La nota de SP no se recalcula al pasar a superado.</w:t>
            </w:r>
          </w:p>
        </w:tc>
      </w:tr>
      <w:tr>
        <w:tc>
          <w:tcPr>
            <w:tcW w:type="dxa" w:w="900"/>
            <w:tcMar>
              <w:top w:type="dxa" w:w="80"/>
              <w:left w:type="dxa" w:w="120"/>
              <w:bottom w:type="dxa" w:w="80"/>
              <w:right w:type="dxa" w:w="120"/>
            </w:tcMar>
          </w:tcPr>
          <w:p>
            <w:pPr>
              <w:spacing w:after="0" w:line="252"/>
            </w:pPr>
            <w:r>
              <w:rPr>
                <w:b w:val="false"/>
                <w:bCs w:val="false"/>
                <w:sz w:val="19"/>
                <w:szCs w:val="19"/>
              </w:rPr>
              <w:t xml:space="preserve">25.7</w:t>
            </w:r>
          </w:p>
        </w:tc>
        <w:tc>
          <w:tcPr>
            <w:tcW w:type="dxa" w:w="4085"/>
            <w:tcMar>
              <w:top w:type="dxa" w:w="80"/>
              <w:left w:type="dxa" w:w="120"/>
              <w:bottom w:type="dxa" w:w="80"/>
              <w:right w:type="dxa" w:w="120"/>
            </w:tcMar>
          </w:tcPr>
          <w:p>
            <w:pPr>
              <w:spacing w:after="0" w:line="252"/>
            </w:pPr>
            <w:r>
              <w:rPr>
                <w:b w:val="false"/>
                <w:bCs w:val="false"/>
                <w:sz w:val="19"/>
                <w:szCs w:val="19"/>
              </w:rPr>
              <w:t xml:space="preserve">Convalidaciones con calificación.</w:t>
            </w:r>
          </w:p>
        </w:tc>
        <w:tc>
          <w:tcPr>
            <w:tcW w:type="dxa" w:w="4085"/>
            <w:tcMar>
              <w:top w:type="dxa" w:w="80"/>
              <w:left w:type="dxa" w:w="120"/>
              <w:bottom w:type="dxa" w:w="80"/>
              <w:right w:type="dxa" w:w="120"/>
            </w:tcMar>
          </w:tcPr>
          <w:p>
            <w:pPr>
              <w:spacing w:after="0" w:line="252"/>
            </w:pPr>
            <w:r>
              <w:rPr>
                <w:b w:val="false"/>
                <w:bCs w:val="false"/>
                <w:sz w:val="19"/>
                <w:szCs w:val="19"/>
              </w:rPr>
              <w:t xml:space="preserve">Botón CONV en Alumnos. En acta, CONV.</w:t>
            </w:r>
          </w:p>
        </w:tc>
      </w:tr>
      <w:tr>
        <w:tc>
          <w:tcPr>
            <w:tcW w:type="dxa" w:w="900"/>
            <w:shd w:fill="F2F4F7" w:val="clear"/>
            <w:tcMar>
              <w:top w:type="dxa" w:w="80"/>
              <w:left w:type="dxa" w:w="120"/>
              <w:bottom w:type="dxa" w:w="80"/>
              <w:right w:type="dxa" w:w="120"/>
            </w:tcMar>
          </w:tcPr>
          <w:p>
            <w:pPr>
              <w:spacing w:after="0" w:line="252"/>
            </w:pPr>
            <w:r>
              <w:rPr>
                <w:b w:val="false"/>
                <w:bCs w:val="false"/>
                <w:sz w:val="19"/>
                <w:szCs w:val="19"/>
              </w:rPr>
              <w:t xml:space="preserve">25.8</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Renuncia a convocatoria en acta (antes 25.9).</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Sigla RC. La cita se corrigió tras la renumeración de la Orden 55/2026.</w:t>
            </w:r>
          </w:p>
        </w:tc>
      </w:tr>
      <w:tr>
        <w:tc>
          <w:tcPr>
            <w:tcW w:type="dxa" w:w="900"/>
            <w:tcMar>
              <w:top w:type="dxa" w:w="80"/>
              <w:left w:type="dxa" w:w="120"/>
              <w:bottom w:type="dxa" w:w="80"/>
              <w:right w:type="dxa" w:w="120"/>
            </w:tcMar>
          </w:tcPr>
          <w:p>
            <w:pPr>
              <w:spacing w:after="0" w:line="252"/>
            </w:pPr>
            <w:r>
              <w:rPr>
                <w:b w:val="false"/>
                <w:bCs w:val="false"/>
                <w:sz w:val="19"/>
                <w:szCs w:val="19"/>
              </w:rPr>
              <w:t xml:space="preserve">25.9 y 25.10</w:t>
            </w:r>
          </w:p>
        </w:tc>
        <w:tc>
          <w:tcPr>
            <w:tcW w:type="dxa" w:w="4085"/>
            <w:tcMar>
              <w:top w:type="dxa" w:w="80"/>
              <w:left w:type="dxa" w:w="120"/>
              <w:bottom w:type="dxa" w:w="80"/>
              <w:right w:type="dxa" w:w="120"/>
            </w:tcMar>
          </w:tcPr>
          <w:p>
            <w:pPr>
              <w:spacing w:after="0" w:line="252"/>
            </w:pPr>
            <w:r>
              <w:rPr>
                <w:b w:val="false"/>
                <w:bCs w:val="false"/>
                <w:sz w:val="19"/>
                <w:szCs w:val="19"/>
              </w:rPr>
              <w:t xml:space="preserve">Calificación final del ciclo: media aritmética con dos decimales.</w:t>
            </w:r>
          </w:p>
        </w:tc>
        <w:tc>
          <w:tcPr>
            <w:tcW w:type="dxa" w:w="4085"/>
            <w:tcMar>
              <w:top w:type="dxa" w:w="80"/>
              <w:left w:type="dxa" w:w="120"/>
              <w:bottom w:type="dxa" w:w="80"/>
              <w:right w:type="dxa" w:w="120"/>
            </w:tcMar>
          </w:tcPr>
          <w:p>
            <w:pPr>
              <w:spacing w:after="0" w:line="252"/>
            </w:pPr>
            <w:r>
              <w:rPr>
                <w:b w:val="false"/>
                <w:bCs w:val="false"/>
                <w:sz w:val="19"/>
                <w:szCs w:val="19"/>
              </w:rPr>
              <w:t xml:space="preserve">Función notaFinalCiclo en el motor, probada. Sin pantalla, por decisión.</w:t>
            </w:r>
          </w:p>
        </w:tc>
      </w:tr>
      <w:tr>
        <w:tc>
          <w:tcPr>
            <w:tcW w:type="dxa" w:w="900"/>
            <w:shd w:fill="F2F4F7" w:val="clear"/>
            <w:tcMar>
              <w:top w:type="dxa" w:w="80"/>
              <w:left w:type="dxa" w:w="120"/>
              <w:bottom w:type="dxa" w:w="80"/>
              <w:right w:type="dxa" w:w="120"/>
            </w:tcMar>
          </w:tcPr>
          <w:p>
            <w:pPr>
              <w:spacing w:after="0" w:line="252"/>
            </w:pPr>
            <w:r>
              <w:rPr>
                <w:b w:val="false"/>
                <w:bCs w:val="false"/>
                <w:sz w:val="19"/>
                <w:szCs w:val="19"/>
              </w:rPr>
              <w:t xml:space="preserve">25.11</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Los módulos convalidados sin calificación no computan.</w:t>
            </w:r>
          </w:p>
        </w:tc>
        <w:tc>
          <w:tcPr>
            <w:tcW w:type="dxa" w:w="4085"/>
            <w:shd w:fill="F2F4F7" w:val="clear"/>
            <w:tcMar>
              <w:top w:type="dxa" w:w="80"/>
              <w:left w:type="dxa" w:w="120"/>
              <w:bottom w:type="dxa" w:w="80"/>
              <w:right w:type="dxa" w:w="120"/>
            </w:tcMar>
          </w:tcPr>
          <w:p>
            <w:pPr>
              <w:spacing w:after="0" w:line="252"/>
            </w:pPr>
            <w:r>
              <w:rPr>
                <w:b w:val="false"/>
                <w:bCs w:val="false"/>
                <w:sz w:val="19"/>
                <w:szCs w:val="19"/>
              </w:rPr>
              <w:t xml:space="preserve">La convalidación sin nota se guarda como tal y queda excluida de la media.</w:t>
            </w:r>
          </w:p>
        </w:tc>
      </w:tr>
      <w:tr>
        <w:tc>
          <w:tcPr>
            <w:tcW w:type="dxa" w:w="900"/>
            <w:tcMar>
              <w:top w:type="dxa" w:w="80"/>
              <w:left w:type="dxa" w:w="120"/>
              <w:bottom w:type="dxa" w:w="80"/>
              <w:right w:type="dxa" w:w="120"/>
            </w:tcMar>
          </w:tcPr>
          <w:p>
            <w:pPr>
              <w:spacing w:after="0" w:line="252"/>
            </w:pPr>
            <w:r>
              <w:rPr>
                <w:b w:val="false"/>
                <w:bCs w:val="false"/>
                <w:sz w:val="19"/>
                <w:szCs w:val="19"/>
              </w:rPr>
              <w:t xml:space="preserve">25.12</w:t>
            </w:r>
          </w:p>
        </w:tc>
        <w:tc>
          <w:tcPr>
            <w:tcW w:type="dxa" w:w="4085"/>
            <w:tcMar>
              <w:top w:type="dxa" w:w="80"/>
              <w:left w:type="dxa" w:w="120"/>
              <w:bottom w:type="dxa" w:w="80"/>
              <w:right w:type="dxa" w:w="120"/>
            </w:tcMar>
          </w:tcPr>
          <w:p>
            <w:pPr>
              <w:spacing w:after="0" w:line="252"/>
            </w:pPr>
            <w:r>
              <w:rPr>
                <w:b w:val="false"/>
                <w:bCs w:val="false"/>
                <w:sz w:val="19"/>
                <w:szCs w:val="19"/>
              </w:rPr>
              <w:t xml:space="preserve">Matrícula de Honor: 9 o más, una por cada veinte alumnos o fracción.</w:t>
            </w:r>
          </w:p>
        </w:tc>
        <w:tc>
          <w:tcPr>
            <w:tcW w:type="dxa" w:w="4085"/>
            <w:tcMar>
              <w:top w:type="dxa" w:w="80"/>
              <w:left w:type="dxa" w:w="120"/>
              <w:bottom w:type="dxa" w:w="80"/>
              <w:right w:type="dxa" w:w="120"/>
            </w:tcMar>
          </w:tcPr>
          <w:p>
            <w:pPr>
              <w:spacing w:after="0" w:line="252"/>
            </w:pPr>
            <w:r>
              <w:rPr>
                <w:b w:val="false"/>
                <w:bCs w:val="false"/>
                <w:sz w:val="19"/>
                <w:szCs w:val="19"/>
              </w:rPr>
              <w:t xml:space="preserve">Funciones de cupo y candidatos en el motor, probadas.</w:t>
            </w:r>
          </w:p>
        </w:tc>
      </w:tr>
    </w:tbl>
    <w:p>
      <w:r>
        <w:br w:type="page"/>
      </w:r>
    </w:p>
    <w:p>
      <w:pPr>
        <w:pStyle w:val="Heading1"/>
        <w:spacing w:after="160" w:before="360"/>
      </w:pPr>
      <w:r>
        <w:t xml:space="preserve">8. Las fuentes normativas del catálogo</w:t>
      </w:r>
    </w:p>
    <w:p>
      <w:pPr>
        <w:spacing w:after="120" w:line="276"/>
      </w:pPr>
      <w:r>
        <w:t xml:space="preserve">Estas son las normas de las que sale cada dato de la aplicación. Cada módulo del catálogo guarda su doble cita: de qué norma salen sus horas y su curso, y de cuál sus resultados de aprendizaje y criterios de evaluación. Casi nunca son la misma, y el apartado 8.2 explica por qué.</w:t>
      </w:r>
    </w:p>
    <w:p>
      <w:pPr>
        <w:pStyle w:val="Heading2"/>
        <w:spacing w:after="120" w:before="280"/>
      </w:pPr>
      <w:r>
        <w:t xml:space="preserve">8.1 Las normas generales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3870"/>
      </w:tblGrid>
      <w:tr>
        <w:trPr>
          <w:tblHeader/>
        </w:trPr>
        <w:tc>
          <w:tcPr>
            <w:tcW w:type="dxa" w:w="2700"/>
            <w:shd w:fill="1F3864" w:val="clear"/>
            <w:tcMar>
              <w:top w:type="dxa" w:w="80"/>
              <w:left w:type="dxa" w:w="120"/>
              <w:bottom w:type="dxa" w:w="80"/>
              <w:right w:type="dxa" w:w="120"/>
            </w:tcMar>
          </w:tcPr>
          <w:p>
            <w:pPr>
              <w:spacing w:after="0" w:line="252"/>
            </w:pPr>
            <w:r>
              <w:rPr>
                <w:b/>
                <w:bCs/>
                <w:color w:val="FFFFFF"/>
                <w:sz w:val="19"/>
                <w:szCs w:val="19"/>
              </w:rPr>
              <w:t xml:space="preserve">Norma</w:t>
            </w:r>
          </w:p>
        </w:tc>
        <w:tc>
          <w:tcPr>
            <w:tcW w:type="dxa" w:w="2500"/>
            <w:shd w:fill="1F3864" w:val="clear"/>
            <w:tcMar>
              <w:top w:type="dxa" w:w="80"/>
              <w:left w:type="dxa" w:w="120"/>
              <w:bottom w:type="dxa" w:w="80"/>
              <w:right w:type="dxa" w:w="120"/>
            </w:tcMar>
          </w:tcPr>
          <w:p>
            <w:pPr>
              <w:spacing w:after="0" w:line="252"/>
            </w:pPr>
            <w:r>
              <w:rPr>
                <w:b/>
                <w:bCs/>
                <w:color w:val="FFFFFF"/>
                <w:sz w:val="19"/>
                <w:szCs w:val="19"/>
              </w:rPr>
              <w:t xml:space="preserve">Publicación</w:t>
            </w:r>
          </w:p>
        </w:tc>
        <w:tc>
          <w:tcPr>
            <w:tcW w:type="dxa" w:w="3870"/>
            <w:shd w:fill="1F3864" w:val="clear"/>
            <w:tcMar>
              <w:top w:type="dxa" w:w="80"/>
              <w:left w:type="dxa" w:w="120"/>
              <w:bottom w:type="dxa" w:w="80"/>
              <w:right w:type="dxa" w:w="120"/>
            </w:tcMar>
          </w:tcPr>
          <w:p>
            <w:pPr>
              <w:spacing w:after="0" w:line="252"/>
            </w:pPr>
            <w:r>
              <w:rPr>
                <w:b/>
                <w:bCs/>
                <w:color w:val="FFFFFF"/>
                <w:sz w:val="19"/>
                <w:szCs w:val="19"/>
              </w:rPr>
              <w:t xml:space="preserve">Qué aporta</w:t>
            </w:r>
          </w:p>
        </w:tc>
      </w:tr>
      <w:tr>
        <w:tc>
          <w:tcPr>
            <w:tcW w:type="dxa" w:w="2700"/>
            <w:tcMar>
              <w:top w:type="dxa" w:w="80"/>
              <w:left w:type="dxa" w:w="120"/>
              <w:bottom w:type="dxa" w:w="80"/>
              <w:right w:type="dxa" w:w="120"/>
            </w:tcMar>
          </w:tcPr>
          <w:p>
            <w:pPr>
              <w:spacing w:after="0" w:line="252"/>
            </w:pPr>
            <w:r>
              <w:rPr>
                <w:b w:val="false"/>
                <w:bCs w:val="false"/>
                <w:sz w:val="19"/>
                <w:szCs w:val="19"/>
              </w:rPr>
              <w:t xml:space="preserve">Decreto 78/2024, de 5 de noviembre</w:t>
            </w:r>
          </w:p>
        </w:tc>
        <w:tc>
          <w:tcPr>
            <w:tcW w:type="dxa" w:w="2500"/>
            <w:tcMar>
              <w:top w:type="dxa" w:w="80"/>
              <w:left w:type="dxa" w:w="120"/>
              <w:bottom w:type="dxa" w:w="80"/>
              <w:right w:type="dxa" w:w="120"/>
            </w:tcMar>
          </w:tcPr>
          <w:p>
            <w:pPr>
              <w:spacing w:after="0" w:line="252"/>
            </w:pPr>
            <w:r>
              <w:rPr>
                <w:b w:val="false"/>
                <w:bCs w:val="false"/>
                <w:sz w:val="19"/>
                <w:szCs w:val="19"/>
              </w:rPr>
              <w:t xml:space="preserve">DOCM núm. 218, 11/11/2024, p. 37673</w:t>
            </w:r>
          </w:p>
        </w:tc>
        <w:tc>
          <w:tcPr>
            <w:tcW w:type="dxa" w:w="3870"/>
            <w:tcMar>
              <w:top w:type="dxa" w:w="80"/>
              <w:left w:type="dxa" w:w="120"/>
              <w:bottom w:type="dxa" w:w="80"/>
              <w:right w:type="dxa" w:w="120"/>
            </w:tcMar>
          </w:tcPr>
          <w:p>
            <w:pPr>
              <w:spacing w:after="0" w:line="252"/>
            </w:pPr>
            <w:r>
              <w:rPr>
                <w:b w:val="false"/>
                <w:bCs w:val="false"/>
                <w:sz w:val="19"/>
                <w:szCs w:val="19"/>
              </w:rPr>
              <w:t xml:space="preserve">Currículos de los ciclos de Grado Básico.</w:t>
            </w:r>
          </w:p>
        </w:tc>
      </w:tr>
      <w:tr>
        <w:tc>
          <w:tcPr>
            <w:tcW w:type="dxa" w:w="2700"/>
            <w:shd w:fill="F2F4F7" w:val="clear"/>
            <w:tcMar>
              <w:top w:type="dxa" w:w="80"/>
              <w:left w:type="dxa" w:w="120"/>
              <w:bottom w:type="dxa" w:w="80"/>
              <w:right w:type="dxa" w:w="120"/>
            </w:tcMar>
          </w:tcPr>
          <w:p>
            <w:pPr>
              <w:spacing w:after="0" w:line="252"/>
            </w:pPr>
            <w:r>
              <w:rPr>
                <w:b w:val="false"/>
                <w:bCs w:val="false"/>
                <w:sz w:val="19"/>
                <w:szCs w:val="19"/>
              </w:rPr>
              <w:t xml:space="preserve">Decreto 79/2024, de 5 de noviembre</w:t>
            </w:r>
          </w:p>
        </w:tc>
        <w:tc>
          <w:tcPr>
            <w:tcW w:type="dxa" w:w="2500"/>
            <w:shd w:fill="F2F4F7" w:val="clear"/>
            <w:tcMar>
              <w:top w:type="dxa" w:w="80"/>
              <w:left w:type="dxa" w:w="120"/>
              <w:bottom w:type="dxa" w:w="80"/>
              <w:right w:type="dxa" w:w="120"/>
            </w:tcMar>
          </w:tcPr>
          <w:p>
            <w:pPr>
              <w:spacing w:after="0" w:line="252"/>
            </w:pPr>
            <w:r>
              <w:rPr>
                <w:b w:val="false"/>
                <w:bCs w:val="false"/>
                <w:sz w:val="19"/>
                <w:szCs w:val="19"/>
              </w:rPr>
              <w:t xml:space="preserve">DOCM núm. 218, 11/11/2024, p. 37694</w:t>
            </w:r>
          </w:p>
        </w:tc>
        <w:tc>
          <w:tcPr>
            <w:tcW w:type="dxa" w:w="3870"/>
            <w:shd w:fill="F2F4F7" w:val="clear"/>
            <w:tcMar>
              <w:top w:type="dxa" w:w="80"/>
              <w:left w:type="dxa" w:w="120"/>
              <w:bottom w:type="dxa" w:w="80"/>
              <w:right w:type="dxa" w:w="120"/>
            </w:tcMar>
          </w:tcPr>
          <w:p>
            <w:pPr>
              <w:spacing w:after="0" w:line="252"/>
            </w:pPr>
            <w:r>
              <w:rPr>
                <w:b w:val="false"/>
                <w:bCs w:val="false"/>
                <w:sz w:val="19"/>
                <w:szCs w:val="19"/>
              </w:rPr>
              <w:t xml:space="preserve">Currículos de los ciclos de Grado Medio.</w:t>
            </w:r>
          </w:p>
        </w:tc>
      </w:tr>
      <w:tr>
        <w:tc>
          <w:tcPr>
            <w:tcW w:type="dxa" w:w="2700"/>
            <w:tcMar>
              <w:top w:type="dxa" w:w="80"/>
              <w:left w:type="dxa" w:w="120"/>
              <w:bottom w:type="dxa" w:w="80"/>
              <w:right w:type="dxa" w:w="120"/>
            </w:tcMar>
          </w:tcPr>
          <w:p>
            <w:pPr>
              <w:spacing w:after="0" w:line="252"/>
            </w:pPr>
            <w:r>
              <w:rPr>
                <w:b w:val="false"/>
                <w:bCs w:val="false"/>
                <w:sz w:val="19"/>
                <w:szCs w:val="19"/>
              </w:rPr>
              <w:t xml:space="preserve">Decreto 80/2024, de 5 de noviembre</w:t>
            </w:r>
          </w:p>
        </w:tc>
        <w:tc>
          <w:tcPr>
            <w:tcW w:type="dxa" w:w="2500"/>
            <w:tcMar>
              <w:top w:type="dxa" w:w="80"/>
              <w:left w:type="dxa" w:w="120"/>
              <w:bottom w:type="dxa" w:w="80"/>
              <w:right w:type="dxa" w:w="120"/>
            </w:tcMar>
          </w:tcPr>
          <w:p>
            <w:pPr>
              <w:spacing w:after="0" w:line="252"/>
            </w:pPr>
            <w:r>
              <w:rPr>
                <w:b w:val="false"/>
                <w:bCs w:val="false"/>
                <w:sz w:val="19"/>
                <w:szCs w:val="19"/>
              </w:rPr>
              <w:t xml:space="preserve">DOCM núm. 218, 11/11/2024, p. 38018</w:t>
            </w:r>
          </w:p>
        </w:tc>
        <w:tc>
          <w:tcPr>
            <w:tcW w:type="dxa" w:w="3870"/>
            <w:tcMar>
              <w:top w:type="dxa" w:w="80"/>
              <w:left w:type="dxa" w:w="120"/>
              <w:bottom w:type="dxa" w:w="80"/>
              <w:right w:type="dxa" w:w="120"/>
            </w:tcMar>
          </w:tcPr>
          <w:p>
            <w:pPr>
              <w:spacing w:after="0" w:line="252"/>
            </w:pPr>
            <w:r>
              <w:rPr>
                <w:b w:val="false"/>
                <w:bCs w:val="false"/>
                <w:sz w:val="19"/>
                <w:szCs w:val="19"/>
              </w:rPr>
              <w:t xml:space="preserve">Currículos de los ciclos de Grado Superior.</w:t>
            </w:r>
          </w:p>
        </w:tc>
      </w:tr>
      <w:tr>
        <w:tc>
          <w:tcPr>
            <w:tcW w:type="dxa" w:w="2700"/>
            <w:shd w:fill="F2F4F7" w:val="clear"/>
            <w:tcMar>
              <w:top w:type="dxa" w:w="80"/>
              <w:left w:type="dxa" w:w="120"/>
              <w:bottom w:type="dxa" w:w="80"/>
              <w:right w:type="dxa" w:w="120"/>
            </w:tcMar>
          </w:tcPr>
          <w:p>
            <w:pPr>
              <w:spacing w:after="0" w:line="252"/>
            </w:pPr>
            <w:r>
              <w:rPr>
                <w:b w:val="false"/>
                <w:bCs w:val="false"/>
                <w:sz w:val="19"/>
                <w:szCs w:val="19"/>
              </w:rPr>
              <w:t xml:space="preserve">Corrección de errores del Decreto 80/2024</w:t>
            </w:r>
          </w:p>
        </w:tc>
        <w:tc>
          <w:tcPr>
            <w:tcW w:type="dxa" w:w="2500"/>
            <w:shd w:fill="F2F4F7" w:val="clear"/>
            <w:tcMar>
              <w:top w:type="dxa" w:w="80"/>
              <w:left w:type="dxa" w:w="120"/>
              <w:bottom w:type="dxa" w:w="80"/>
              <w:right w:type="dxa" w:w="120"/>
            </w:tcMar>
          </w:tcPr>
          <w:p>
            <w:pPr>
              <w:spacing w:after="0" w:line="252"/>
            </w:pPr>
            <w:r>
              <w:rPr>
                <w:b w:val="false"/>
                <w:bCs w:val="false"/>
                <w:sz w:val="19"/>
                <w:szCs w:val="19"/>
              </w:rPr>
              <w:t xml:space="preserve">DOCM núm. 31, 14/02/2025, p. 6099</w:t>
            </w:r>
          </w:p>
        </w:tc>
        <w:tc>
          <w:tcPr>
            <w:tcW w:type="dxa" w:w="3870"/>
            <w:shd w:fill="F2F4F7" w:val="clear"/>
            <w:tcMar>
              <w:top w:type="dxa" w:w="80"/>
              <w:left w:type="dxa" w:w="120"/>
              <w:bottom w:type="dxa" w:w="80"/>
              <w:right w:type="dxa" w:w="120"/>
            </w:tcMar>
          </w:tcPr>
          <w:p>
            <w:pPr>
              <w:spacing w:after="0" w:line="252"/>
            </w:pPr>
            <w:r>
              <w:rPr>
                <w:b w:val="false"/>
                <w:bCs w:val="false"/>
                <w:sz w:val="19"/>
                <w:szCs w:val="19"/>
              </w:rPr>
              <w:t xml:space="preserve">Corrige una remisión cruzada. No modifica ninguna hora.</w:t>
            </w:r>
          </w:p>
        </w:tc>
      </w:tr>
      <w:tr>
        <w:tc>
          <w:tcPr>
            <w:tcW w:type="dxa" w:w="2700"/>
            <w:tcMar>
              <w:top w:type="dxa" w:w="80"/>
              <w:left w:type="dxa" w:w="120"/>
              <w:bottom w:type="dxa" w:w="80"/>
              <w:right w:type="dxa" w:w="120"/>
            </w:tcMar>
          </w:tcPr>
          <w:p>
            <w:pPr>
              <w:spacing w:after="0" w:line="252"/>
            </w:pPr>
            <w:r>
              <w:rPr>
                <w:b w:val="false"/>
                <w:bCs w:val="false"/>
                <w:sz w:val="19"/>
                <w:szCs w:val="19"/>
              </w:rPr>
              <w:t xml:space="preserve">Decreto 79/2025, de 14 de octubre</w:t>
            </w:r>
          </w:p>
        </w:tc>
        <w:tc>
          <w:tcPr>
            <w:tcW w:type="dxa" w:w="2500"/>
            <w:tcMar>
              <w:top w:type="dxa" w:w="80"/>
              <w:left w:type="dxa" w:w="120"/>
              <w:bottom w:type="dxa" w:w="80"/>
              <w:right w:type="dxa" w:w="120"/>
            </w:tcMar>
          </w:tcPr>
          <w:p>
            <w:pPr>
              <w:spacing w:after="0" w:line="252"/>
            </w:pPr>
            <w:r>
              <w:rPr>
                <w:b w:val="false"/>
                <w:bCs w:val="false"/>
                <w:sz w:val="19"/>
                <w:szCs w:val="19"/>
              </w:rPr>
              <w:t xml:space="preserve">DOCM núm. 205, 23/10/2025, p. 33217</w:t>
            </w:r>
          </w:p>
        </w:tc>
        <w:tc>
          <w:tcPr>
            <w:tcW w:type="dxa" w:w="3870"/>
            <w:tcMar>
              <w:top w:type="dxa" w:w="80"/>
              <w:left w:type="dxa" w:w="120"/>
              <w:bottom w:type="dxa" w:w="80"/>
              <w:right w:type="dxa" w:w="120"/>
            </w:tcMar>
          </w:tcPr>
          <w:p>
            <w:pPr>
              <w:spacing w:after="0" w:line="252"/>
            </w:pPr>
            <w:r>
              <w:rPr>
                <w:b w:val="false"/>
                <w:bCs w:val="false"/>
                <w:sz w:val="19"/>
                <w:szCs w:val="19"/>
              </w:rPr>
              <w:t xml:space="preserve">Curso de especialización de Python: módulos 5098-5101, 430 h y los criterios del Anexo II.</w:t>
            </w:r>
          </w:p>
        </w:tc>
      </w:tr>
      <w:tr>
        <w:tc>
          <w:tcPr>
            <w:tcW w:type="dxa" w:w="2700"/>
            <w:shd w:fill="F2F4F7" w:val="clear"/>
            <w:tcMar>
              <w:top w:type="dxa" w:w="80"/>
              <w:left w:type="dxa" w:w="120"/>
              <w:bottom w:type="dxa" w:w="80"/>
              <w:right w:type="dxa" w:w="120"/>
            </w:tcMar>
          </w:tcPr>
          <w:p>
            <w:pPr>
              <w:spacing w:after="0" w:line="252"/>
            </w:pPr>
            <w:r>
              <w:rPr>
                <w:b w:val="false"/>
                <w:bCs w:val="false"/>
                <w:sz w:val="19"/>
                <w:szCs w:val="19"/>
              </w:rPr>
              <w:t xml:space="preserve">Orden 201/2024, de 28 de noviembre</w:t>
            </w:r>
          </w:p>
        </w:tc>
        <w:tc>
          <w:tcPr>
            <w:tcW w:type="dxa" w:w="2500"/>
            <w:shd w:fill="F2F4F7" w:val="clear"/>
            <w:tcMar>
              <w:top w:type="dxa" w:w="80"/>
              <w:left w:type="dxa" w:w="120"/>
              <w:bottom w:type="dxa" w:w="80"/>
              <w:right w:type="dxa" w:w="120"/>
            </w:tcMar>
          </w:tcPr>
          <w:p>
            <w:pPr>
              <w:spacing w:after="0" w:line="252"/>
            </w:pPr>
            <w:r>
              <w:rPr>
                <w:b w:val="false"/>
                <w:bCs w:val="false"/>
                <w:sz w:val="19"/>
                <w:szCs w:val="19"/>
              </w:rPr>
              <w:t xml:space="preserve">DOCM de 3/12/2024</w:t>
            </w:r>
          </w:p>
        </w:tc>
        <w:tc>
          <w:tcPr>
            <w:tcW w:type="dxa" w:w="3870"/>
            <w:shd w:fill="F2F4F7" w:val="clear"/>
            <w:tcMar>
              <w:top w:type="dxa" w:w="80"/>
              <w:left w:type="dxa" w:w="120"/>
              <w:bottom w:type="dxa" w:w="80"/>
              <w:right w:type="dxa" w:w="120"/>
            </w:tcMar>
          </w:tcPr>
          <w:p>
            <w:pPr>
              <w:spacing w:after="0" w:line="252"/>
            </w:pPr>
            <w:r>
              <w:rPr>
                <w:b w:val="false"/>
                <w:bCs w:val="false"/>
                <w:sz w:val="19"/>
                <w:szCs w:val="19"/>
              </w:rPr>
              <w:t xml:space="preserve">Evaluación, promoción y titulación en los Grados D y E.</w:t>
            </w:r>
          </w:p>
        </w:tc>
      </w:tr>
      <w:tr>
        <w:tc>
          <w:tcPr>
            <w:tcW w:type="dxa" w:w="2700"/>
            <w:tcMar>
              <w:top w:type="dxa" w:w="80"/>
              <w:left w:type="dxa" w:w="120"/>
              <w:bottom w:type="dxa" w:w="80"/>
              <w:right w:type="dxa" w:w="120"/>
            </w:tcMar>
          </w:tcPr>
          <w:p>
            <w:pPr>
              <w:spacing w:after="0" w:line="252"/>
            </w:pPr>
            <w:r>
              <w:rPr>
                <w:b w:val="false"/>
                <w:bCs w:val="false"/>
                <w:sz w:val="19"/>
                <w:szCs w:val="19"/>
              </w:rPr>
              <w:t xml:space="preserve">Orden 55/2026, de 17 de abril</w:t>
            </w:r>
          </w:p>
        </w:tc>
        <w:tc>
          <w:tcPr>
            <w:tcW w:type="dxa" w:w="2500"/>
            <w:tcMar>
              <w:top w:type="dxa" w:w="80"/>
              <w:left w:type="dxa" w:w="120"/>
              <w:bottom w:type="dxa" w:w="80"/>
              <w:right w:type="dxa" w:w="120"/>
            </w:tcMar>
          </w:tcPr>
          <w:p>
            <w:pPr>
              <w:spacing w:after="0" w:line="252"/>
            </w:pPr>
            <w:r>
              <w:rPr>
                <w:b w:val="false"/>
                <w:bCs w:val="false"/>
                <w:sz w:val="19"/>
                <w:szCs w:val="19"/>
              </w:rPr>
              <w:t xml:space="preserve">DOCM núm. 78, 27/04/2026, p. 14105</w:t>
            </w:r>
          </w:p>
        </w:tc>
        <w:tc>
          <w:tcPr>
            <w:tcW w:type="dxa" w:w="3870"/>
            <w:tcMar>
              <w:top w:type="dxa" w:w="80"/>
              <w:left w:type="dxa" w:w="120"/>
              <w:bottom w:type="dxa" w:w="80"/>
              <w:right w:type="dxa" w:w="120"/>
            </w:tcMar>
          </w:tcPr>
          <w:p>
            <w:pPr>
              <w:spacing w:after="0" w:line="252"/>
            </w:pPr>
            <w:r>
              <w:rPr>
                <w:b w:val="false"/>
                <w:bCs w:val="false"/>
                <w:sz w:val="19"/>
                <w:szCs w:val="19"/>
              </w:rPr>
              <w:t xml:space="preserve">Modifica la Orden 201/2024. Cambia el art. 3.6 y renumera el art. 25.</w:t>
            </w:r>
          </w:p>
        </w:tc>
      </w:tr>
      <w:tr>
        <w:tc>
          <w:tcPr>
            <w:tcW w:type="dxa" w:w="2700"/>
            <w:shd w:fill="F2F4F7" w:val="clear"/>
            <w:tcMar>
              <w:top w:type="dxa" w:w="80"/>
              <w:left w:type="dxa" w:w="120"/>
              <w:bottom w:type="dxa" w:w="80"/>
              <w:right w:type="dxa" w:w="120"/>
            </w:tcMar>
          </w:tcPr>
          <w:p>
            <w:pPr>
              <w:spacing w:after="0" w:line="252"/>
            </w:pPr>
            <w:r>
              <w:rPr>
                <w:b w:val="false"/>
                <w:bCs w:val="false"/>
                <w:sz w:val="19"/>
                <w:szCs w:val="19"/>
              </w:rPr>
              <w:t xml:space="preserve">Orden 204/2024, de 2 de diciembre</w:t>
            </w:r>
          </w:p>
        </w:tc>
        <w:tc>
          <w:tcPr>
            <w:tcW w:type="dxa" w:w="2500"/>
            <w:shd w:fill="F2F4F7" w:val="clear"/>
            <w:tcMar>
              <w:top w:type="dxa" w:w="80"/>
              <w:left w:type="dxa" w:w="120"/>
              <w:bottom w:type="dxa" w:w="80"/>
              <w:right w:type="dxa" w:w="120"/>
            </w:tcMar>
          </w:tcPr>
          <w:p>
            <w:pPr>
              <w:spacing w:after="0" w:line="252"/>
            </w:pPr>
            <w:r>
              <w:rPr>
                <w:b w:val="false"/>
                <w:bCs w:val="false"/>
                <w:sz w:val="19"/>
                <w:szCs w:val="19"/>
              </w:rPr>
              <w:t xml:space="preserve">DOCM de 5/12/2024</w:t>
            </w:r>
          </w:p>
        </w:tc>
        <w:tc>
          <w:tcPr>
            <w:tcW w:type="dxa" w:w="3870"/>
            <w:shd w:fill="F2F4F7" w:val="clear"/>
            <w:tcMar>
              <w:top w:type="dxa" w:w="80"/>
              <w:left w:type="dxa" w:w="120"/>
              <w:bottom w:type="dxa" w:w="80"/>
              <w:right w:type="dxa" w:w="120"/>
            </w:tcMar>
          </w:tcPr>
          <w:p>
            <w:pPr>
              <w:spacing w:after="0" w:line="252"/>
            </w:pPr>
            <w:r>
              <w:rPr>
                <w:b w:val="false"/>
                <w:bCs w:val="false"/>
                <w:sz w:val="19"/>
                <w:szCs w:val="19"/>
              </w:rPr>
              <w:t xml:space="preserve">Organización de la Formación Profesional dual.</w:t>
            </w:r>
          </w:p>
        </w:tc>
      </w:tr>
      <w:tr>
        <w:tc>
          <w:tcPr>
            <w:tcW w:type="dxa" w:w="2700"/>
            <w:tcMar>
              <w:top w:type="dxa" w:w="80"/>
              <w:left w:type="dxa" w:w="120"/>
              <w:bottom w:type="dxa" w:w="80"/>
              <w:right w:type="dxa" w:w="120"/>
            </w:tcMar>
          </w:tcPr>
          <w:p>
            <w:pPr>
              <w:spacing w:after="0" w:line="252"/>
            </w:pPr>
            <w:r>
              <w:rPr>
                <w:b w:val="false"/>
                <w:bCs w:val="false"/>
                <w:sz w:val="19"/>
                <w:szCs w:val="19"/>
              </w:rPr>
              <w:t xml:space="preserve">Real Decreto 659/2023</w:t>
            </w:r>
          </w:p>
        </w:tc>
        <w:tc>
          <w:tcPr>
            <w:tcW w:type="dxa" w:w="2500"/>
            <w:tcMar>
              <w:top w:type="dxa" w:w="80"/>
              <w:left w:type="dxa" w:w="120"/>
              <w:bottom w:type="dxa" w:w="80"/>
              <w:right w:type="dxa" w:w="120"/>
            </w:tcMar>
          </w:tcPr>
          <w:p>
            <w:pPr>
              <w:spacing w:after="0" w:line="252"/>
            </w:pPr>
            <w:r>
              <w:rPr>
                <w:b w:val="false"/>
                <w:bCs w:val="false"/>
                <w:sz w:val="19"/>
                <w:szCs w:val="19"/>
              </w:rPr>
              <w:t xml:space="preserve">BOE núm. 174, 22/07/2023</w:t>
            </w:r>
          </w:p>
        </w:tc>
        <w:tc>
          <w:tcPr>
            <w:tcW w:type="dxa" w:w="3870"/>
            <w:tcMar>
              <w:top w:type="dxa" w:w="80"/>
              <w:left w:type="dxa" w:w="120"/>
              <w:bottom w:type="dxa" w:w="80"/>
              <w:right w:type="dxa" w:w="120"/>
            </w:tcMar>
          </w:tcPr>
          <w:p>
            <w:pPr>
              <w:spacing w:after="0" w:line="252"/>
            </w:pPr>
            <w:r>
              <w:rPr>
                <w:b w:val="false"/>
                <w:bCs w:val="false"/>
                <w:sz w:val="19"/>
                <w:szCs w:val="19"/>
              </w:rPr>
              <w:t xml:space="preserve">Anexos V a X: RA y CE de los módulos transversales, a los que remiten los decretos de CLM.</w:t>
            </w:r>
          </w:p>
        </w:tc>
      </w:tr>
      <w:tr>
        <w:tc>
          <w:tcPr>
            <w:tcW w:type="dxa" w:w="2700"/>
            <w:shd w:fill="F2F4F7" w:val="clear"/>
            <w:tcMar>
              <w:top w:type="dxa" w:w="80"/>
              <w:left w:type="dxa" w:w="120"/>
              <w:bottom w:type="dxa" w:w="80"/>
              <w:right w:type="dxa" w:w="120"/>
            </w:tcMar>
          </w:tcPr>
          <w:p>
            <w:pPr>
              <w:spacing w:after="0" w:line="252"/>
            </w:pPr>
            <w:r>
              <w:rPr>
                <w:b w:val="false"/>
                <w:bCs w:val="false"/>
                <w:sz w:val="19"/>
                <w:szCs w:val="19"/>
              </w:rPr>
              <w:t xml:space="preserve">Reales Decretos 498/2024 y 499/2024</w:t>
            </w:r>
          </w:p>
        </w:tc>
        <w:tc>
          <w:tcPr>
            <w:tcW w:type="dxa" w:w="2500"/>
            <w:shd w:fill="F2F4F7" w:val="clear"/>
            <w:tcMar>
              <w:top w:type="dxa" w:w="80"/>
              <w:left w:type="dxa" w:w="120"/>
              <w:bottom w:type="dxa" w:w="80"/>
              <w:right w:type="dxa" w:w="120"/>
            </w:tcMar>
          </w:tcPr>
          <w:p>
            <w:pPr>
              <w:spacing w:after="0" w:line="252"/>
            </w:pPr>
            <w:r>
              <w:rPr>
                <w:b w:val="false"/>
                <w:bCs w:val="false"/>
                <w:sz w:val="19"/>
                <w:szCs w:val="19"/>
              </w:rPr>
              <w:t xml:space="preserve">BOE núm. 129, 28/05/2024</w:t>
            </w:r>
          </w:p>
        </w:tc>
        <w:tc>
          <w:tcPr>
            <w:tcW w:type="dxa" w:w="3870"/>
            <w:shd w:fill="F2F4F7" w:val="clear"/>
            <w:tcMar>
              <w:top w:type="dxa" w:w="80"/>
              <w:left w:type="dxa" w:w="120"/>
              <w:bottom w:type="dxa" w:w="80"/>
              <w:right w:type="dxa" w:w="120"/>
            </w:tcMar>
          </w:tcPr>
          <w:p>
            <w:pPr>
              <w:spacing w:after="0" w:line="252"/>
            </w:pPr>
            <w:r>
              <w:rPr>
                <w:b w:val="false"/>
                <w:bCs w:val="false"/>
                <w:sz w:val="19"/>
                <w:szCs w:val="19"/>
              </w:rPr>
              <w:t xml:space="preserve">RA y CE del proyecto intermodular de Grado Básico y Grado Medio.</w:t>
            </w:r>
          </w:p>
        </w:tc>
      </w:tr>
    </w:tbl>
    <w:p>
      <w:pPr>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9C9A8" w:sz="2"/>
              <w:left w:val="single" w:color="2E5496" w:sz="18"/>
              <w:bottom w:val="single" w:color="D9C9A8" w:sz="2"/>
              <w:right w:val="single" w:color="D9C9A8" w:sz="2"/>
            </w:tcBorders>
            <w:shd w:fill="FFF4E0" w:val="clear"/>
            <w:tcMar>
              <w:top w:type="dxa" w:w="140"/>
              <w:left w:type="dxa" w:w="180"/>
              <w:bottom w:type="dxa" w:w="140"/>
              <w:right w:type="dxa" w:w="180"/>
            </w:tcMar>
          </w:tcPr>
          <w:p>
            <w:pPr>
              <w:spacing w:after="60"/>
            </w:pPr>
            <w:r>
              <w:rPr>
                <w:b/>
                <w:bCs/>
                <w:color w:val="1F3864"/>
              </w:rPr>
              <w:t xml:space="preserve">Dos cosas que se dan por sabidas y son falsas</w:t>
            </w:r>
          </w:p>
          <w:p>
            <w:pPr>
              <w:spacing w:after="40" w:line="264"/>
            </w:pPr>
            <w:r>
              <w:rPr>
                <w:sz w:val="20"/>
                <w:szCs w:val="20"/>
              </w:rPr>
              <w:t xml:space="preserve">La corrección de errores del Decreto 80/2024 es del 14 de febrero de 2025, no de septiembre. El «2025-09» que aparece en la URL es la carpeta del gestor de contenidos de la Consejería, no la fecha de publicación. Y no modifica ninguna hora: solo arregla una remisión cruzada.</w:t>
            </w:r>
          </w:p>
          <w:p>
            <w:pPr>
              <w:spacing w:after="40" w:line="264"/>
            </w:pPr>
            <w:r>
              <w:rPr>
                <w:sz w:val="20"/>
                <w:szCs w:val="20"/>
              </w:rPr>
              <w:t xml:space="preserve">Las 400 horas de formación en empresa de Grado Básico salen de dentro de las 2.000 horas del ciclo, no se suman. El artículo 16.1 de la Orden 204/2024 obliga a respetar los anexos de los decretos, y el Anexo I del Decreto 78/2024 ya suma 2.000 exactas incluyéndolas.</w:t>
            </w:r>
          </w:p>
        </w:tc>
      </w:tr>
    </w:tbl>
    <w:p>
      <w:pPr>
        <w:spacing w:after="60"/>
      </w:pPr>
    </w:p>
    <w:p>
      <w:r>
        <w:br w:type="page"/>
      </w:r>
    </w:p>
    <w:p>
      <w:pPr>
        <w:pStyle w:val="Heading2"/>
        <w:spacing w:after="120" w:before="280"/>
      </w:pPr>
      <w:r>
        <w:t xml:space="preserve">8.2 De qué decreto salen los RA y los criterios de cada ciclo</w:t>
      </w:r>
    </w:p>
    <w:p>
      <w:pPr>
        <w:spacing w:after="120" w:line="276"/>
      </w:pPr>
      <w:r>
        <w:t xml:space="preserve">Los Decretos 78, 79 y 80 de 2024 reordenaron la Formación Profesional en Castilla-La Mancha y fijaron, en su Anexo I, las horas y el curso de cada módulo. Lo que en general no hicieron fue reescribir los currículos: los resultados de aprendizaje y los criterios de evaluación de cada módulo siguen siendo los del decreto que estableció el currículo de ese ciclo, algunos de ellos de hace más de quince años.</w:t>
      </w:r>
    </w:p>
    <w:p>
      <w:pPr>
        <w:spacing w:after="120" w:line="276"/>
      </w:pPr>
      <w:r>
        <w:rPr>
          <w:b/>
          <w:bCs/>
        </w:rPr>
        <w:t xml:space="preserve">De ahí la doble cita.</w:t>
      </w:r>
      <w:r>
        <w:t xml:space="preserve"> Cada módulo del catálogo lleva anotadas las dos normas: la de 2024 que le da sus horas y su curso, y la que le da su currículo. Se ve en la propia ficha del módulo dentro de la aplicación, no hay que buscarla en ningún papel aparte.</w:t>
      </w:r>
    </w:p>
    <w:p>
      <w:pPr>
        <w:spacing w:after="120" w:line="276"/>
      </w:pPr>
      <w:r>
        <w:rPr>
          <w:b/>
          <w:bCs/>
        </w:rPr>
        <w:t xml:space="preserve">Esta es la tabla completa, ciclo por ciclo, de las dos familias profesionales del catálogo: Administración y Gestión (4 ciclos, 51 módulos) e Informática y Comunicaciones (8 ciclos, 79 módulos).</w:t>
      </w:r>
    </w:p>
    <w:p>
      <w:pPr>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4070"/>
        <w:gridCol w:w="2100"/>
      </w:tblGrid>
      <w:tr>
        <w:trPr>
          <w:tblHeader/>
        </w:trPr>
        <w:tc>
          <w:tcPr>
            <w:tcW w:type="dxa" w:w="2900"/>
            <w:shd w:fill="1F3864" w:val="clear"/>
            <w:tcMar>
              <w:top w:type="dxa" w:w="80"/>
              <w:left w:type="dxa" w:w="120"/>
              <w:bottom w:type="dxa" w:w="80"/>
              <w:right w:type="dxa" w:w="120"/>
            </w:tcMar>
          </w:tcPr>
          <w:p>
            <w:pPr>
              <w:spacing w:after="0" w:line="252"/>
            </w:pPr>
            <w:r>
              <w:rPr>
                <w:b/>
                <w:bCs/>
                <w:color w:val="FFFFFF"/>
                <w:sz w:val="19"/>
                <w:szCs w:val="19"/>
              </w:rPr>
              <w:t xml:space="preserve">Ciclo</w:t>
            </w:r>
          </w:p>
        </w:tc>
        <w:tc>
          <w:tcPr>
            <w:tcW w:type="dxa" w:w="4070"/>
            <w:shd w:fill="1F3864" w:val="clear"/>
            <w:tcMar>
              <w:top w:type="dxa" w:w="80"/>
              <w:left w:type="dxa" w:w="120"/>
              <w:bottom w:type="dxa" w:w="80"/>
              <w:right w:type="dxa" w:w="120"/>
            </w:tcMar>
          </w:tcPr>
          <w:p>
            <w:pPr>
              <w:spacing w:after="0" w:line="252"/>
            </w:pPr>
            <w:r>
              <w:rPr>
                <w:b/>
                <w:bCs/>
                <w:color w:val="FFFFFF"/>
                <w:sz w:val="19"/>
                <w:szCs w:val="19"/>
              </w:rPr>
              <w:t xml:space="preserve">RA y criterios de evaluación</w:t>
            </w:r>
          </w:p>
        </w:tc>
        <w:tc>
          <w:tcPr>
            <w:tcW w:type="dxa" w:w="2100"/>
            <w:shd w:fill="1F3864" w:val="clear"/>
            <w:tcMar>
              <w:top w:type="dxa" w:w="80"/>
              <w:left w:type="dxa" w:w="120"/>
              <w:bottom w:type="dxa" w:w="80"/>
              <w:right w:type="dxa" w:w="120"/>
            </w:tcMar>
          </w:tcPr>
          <w:p>
            <w:pPr>
              <w:spacing w:after="0" w:line="252"/>
            </w:pPr>
            <w:r>
              <w:rPr>
                <w:b/>
                <w:bCs/>
                <w:color w:val="FFFFFF"/>
                <w:sz w:val="19"/>
                <w:szCs w:val="19"/>
              </w:rPr>
              <w:t xml:space="preserve">Horas y curso</w:t>
            </w:r>
          </w:p>
        </w:tc>
      </w:tr>
      <w:tr>
        <w:tc>
          <w:tcPr>
            <w:tcW w:type="dxa" w:w="2900"/>
            <w:shd w:fill="DCE4F0" w:val="clear"/>
            <w:tcMar>
              <w:top w:type="dxa" w:w="80"/>
              <w:left w:type="dxa" w:w="120"/>
              <w:bottom w:type="dxa" w:w="80"/>
              <w:right w:type="dxa" w:w="120"/>
            </w:tcMar>
          </w:tcPr>
          <w:p>
            <w:pPr>
              <w:spacing w:after="0" w:line="252"/>
            </w:pPr>
            <w:r>
              <w:rPr>
                <w:b/>
                <w:bCs/>
                <w:color w:val="1F3864"/>
                <w:sz w:val="19"/>
                <w:szCs w:val="19"/>
              </w:rPr>
              <w:t xml:space="preserve">ADMINISTRACIÓN Y GESTIÓN</w:t>
            </w:r>
          </w:p>
        </w:tc>
        <w:tc>
          <w:tcPr>
            <w:tcW w:type="dxa" w:w="4070"/>
            <w:shd w:fill="DCE4F0" w:val="clear"/>
            <w:tcMar>
              <w:top w:type="dxa" w:w="80"/>
              <w:left w:type="dxa" w:w="120"/>
              <w:bottom w:type="dxa" w:w="80"/>
              <w:right w:type="dxa" w:w="120"/>
            </w:tcMar>
          </w:tcPr>
          <w:p>
            <w:pPr>
              <w:spacing w:after="0" w:line="252"/>
            </w:pPr>
            <w:r>
              <w:rPr>
                <w:b/>
                <w:bCs/>
                <w:color w:val="1F3864"/>
                <w:sz w:val="19"/>
                <w:szCs w:val="19"/>
              </w:rPr>
              <w:t xml:space="preserve"/>
            </w:r>
          </w:p>
        </w:tc>
        <w:tc>
          <w:tcPr>
            <w:tcW w:type="dxa" w:w="2100"/>
            <w:shd w:fill="DCE4F0" w:val="clear"/>
            <w:tcMar>
              <w:top w:type="dxa" w:w="80"/>
              <w:left w:type="dxa" w:w="120"/>
              <w:bottom w:type="dxa" w:w="80"/>
              <w:right w:type="dxa" w:w="120"/>
            </w:tcMar>
          </w:tcPr>
          <w:p>
            <w:pPr>
              <w:spacing w:after="0" w:line="252"/>
            </w:pPr>
            <w:r>
              <w:rPr>
                <w:b/>
                <w:bCs/>
                <w:color w:val="1F3864"/>
                <w:sz w:val="19"/>
                <w:szCs w:val="19"/>
              </w:rPr>
              <w:t xml:space="preserve"/>
            </w:r>
          </w:p>
        </w:tc>
      </w:tr>
      <w:tr>
        <w:tc>
          <w:tcPr>
            <w:tcW w:type="dxa" w:w="2900"/>
            <w:shd w:fill="F2F4F7" w:val="clear"/>
            <w:tcMar>
              <w:top w:type="dxa" w:w="80"/>
              <w:left w:type="dxa" w:w="120"/>
              <w:bottom w:type="dxa" w:w="80"/>
              <w:right w:type="dxa" w:w="120"/>
            </w:tcMar>
          </w:tcPr>
          <w:p>
            <w:pPr>
              <w:spacing w:after="0" w:line="252"/>
            </w:pPr>
            <w:r>
              <w:rPr>
                <w:b w:val="false"/>
                <w:bCs w:val="false"/>
                <w:sz w:val="19"/>
                <w:szCs w:val="19"/>
              </w:rPr>
              <w:t xml:space="preserve">Servicios Administrativos · Grado Básico</w:t>
            </w:r>
          </w:p>
        </w:tc>
        <w:tc>
          <w:tcPr>
            <w:tcW w:type="dxa" w:w="4070"/>
            <w:shd w:fill="F2F4F7" w:val="clear"/>
            <w:tcMar>
              <w:top w:type="dxa" w:w="80"/>
              <w:left w:type="dxa" w:w="120"/>
              <w:bottom w:type="dxa" w:w="80"/>
              <w:right w:type="dxa" w:w="120"/>
            </w:tcMar>
          </w:tcPr>
          <w:p>
            <w:pPr>
              <w:spacing w:after="0" w:line="252"/>
            </w:pPr>
            <w:r>
              <w:rPr>
                <w:b w:val="false"/>
                <w:bCs w:val="false"/>
                <w:sz w:val="19"/>
                <w:szCs w:val="19"/>
              </w:rPr>
              <w:t xml:space="preserve">Decreto 83/2014, de 01/08/2014 (DOCM núm. 151, de 07/08/2014), Anexo II</w:t>
            </w:r>
          </w:p>
        </w:tc>
        <w:tc>
          <w:tcPr>
            <w:tcW w:type="dxa" w:w="2100"/>
            <w:shd w:fill="F2F4F7" w:val="clear"/>
            <w:tcMar>
              <w:top w:type="dxa" w:w="80"/>
              <w:left w:type="dxa" w:w="120"/>
              <w:bottom w:type="dxa" w:w="80"/>
              <w:right w:type="dxa" w:w="120"/>
            </w:tcMar>
          </w:tcPr>
          <w:p>
            <w:pPr>
              <w:spacing w:after="0" w:line="252"/>
            </w:pPr>
            <w:r>
              <w:rPr>
                <w:b w:val="false"/>
                <w:bCs w:val="false"/>
                <w:sz w:val="19"/>
                <w:szCs w:val="19"/>
              </w:rPr>
              <w:t xml:space="preserve">Decreto 78/2024, Anexo I</w:t>
            </w:r>
          </w:p>
        </w:tc>
      </w:tr>
      <w:tr>
        <w:tc>
          <w:tcPr>
            <w:tcW w:type="dxa" w:w="2900"/>
            <w:tcMar>
              <w:top w:type="dxa" w:w="80"/>
              <w:left w:type="dxa" w:w="120"/>
              <w:bottom w:type="dxa" w:w="80"/>
              <w:right w:type="dxa" w:w="120"/>
            </w:tcMar>
          </w:tcPr>
          <w:p>
            <w:pPr>
              <w:spacing w:after="0" w:line="252"/>
            </w:pPr>
            <w:r>
              <w:rPr>
                <w:b w:val="false"/>
                <w:bCs w:val="false"/>
                <w:sz w:val="19"/>
                <w:szCs w:val="19"/>
              </w:rPr>
              <w:t xml:space="preserve">Gestión Administrativa · Grado Medio</w:t>
            </w:r>
          </w:p>
        </w:tc>
        <w:tc>
          <w:tcPr>
            <w:tcW w:type="dxa" w:w="4070"/>
            <w:tcMar>
              <w:top w:type="dxa" w:w="80"/>
              <w:left w:type="dxa" w:w="120"/>
              <w:bottom w:type="dxa" w:w="80"/>
              <w:right w:type="dxa" w:w="120"/>
            </w:tcMar>
          </w:tcPr>
          <w:p>
            <w:pPr>
              <w:spacing w:after="0" w:line="252"/>
            </w:pPr>
            <w:r>
              <w:rPr>
                <w:b w:val="false"/>
                <w:bCs w:val="false"/>
                <w:sz w:val="19"/>
                <w:szCs w:val="19"/>
              </w:rPr>
              <w:t xml:space="preserve">Decreto 251/2011, de 12/08/2011 (DOCM núm. 164, de 22/08/2011), Anexo II</w:t>
            </w:r>
          </w:p>
        </w:tc>
        <w:tc>
          <w:tcPr>
            <w:tcW w:type="dxa" w:w="2100"/>
            <w:tcMar>
              <w:top w:type="dxa" w:w="80"/>
              <w:left w:type="dxa" w:w="120"/>
              <w:bottom w:type="dxa" w:w="80"/>
              <w:right w:type="dxa" w:w="120"/>
            </w:tcMar>
          </w:tcPr>
          <w:p>
            <w:pPr>
              <w:spacing w:after="0" w:line="252"/>
            </w:pPr>
            <w:r>
              <w:rPr>
                <w:b w:val="false"/>
                <w:bCs w:val="false"/>
                <w:sz w:val="19"/>
                <w:szCs w:val="19"/>
              </w:rPr>
              <w:t xml:space="preserve">Decreto 79/2024, Anexo I</w:t>
            </w:r>
          </w:p>
        </w:tc>
      </w:tr>
      <w:tr>
        <w:tc>
          <w:tcPr>
            <w:tcW w:type="dxa" w:w="2900"/>
            <w:shd w:fill="F2F4F7" w:val="clear"/>
            <w:tcMar>
              <w:top w:type="dxa" w:w="80"/>
              <w:left w:type="dxa" w:w="120"/>
              <w:bottom w:type="dxa" w:w="80"/>
              <w:right w:type="dxa" w:w="120"/>
            </w:tcMar>
          </w:tcPr>
          <w:p>
            <w:pPr>
              <w:spacing w:after="0" w:line="252"/>
            </w:pPr>
            <w:r>
              <w:rPr>
                <w:b w:val="false"/>
                <w:bCs w:val="false"/>
                <w:sz w:val="19"/>
                <w:szCs w:val="19"/>
              </w:rPr>
              <w:t xml:space="preserve">Administración y Finanzas · Grado Superior</w:t>
            </w:r>
          </w:p>
        </w:tc>
        <w:tc>
          <w:tcPr>
            <w:tcW w:type="dxa" w:w="4070"/>
            <w:shd w:fill="F2F4F7" w:val="clear"/>
            <w:tcMar>
              <w:top w:type="dxa" w:w="80"/>
              <w:left w:type="dxa" w:w="120"/>
              <w:bottom w:type="dxa" w:w="80"/>
              <w:right w:type="dxa" w:w="120"/>
            </w:tcMar>
          </w:tcPr>
          <w:p>
            <w:pPr>
              <w:spacing w:after="0" w:line="252"/>
            </w:pPr>
            <w:r>
              <w:rPr>
                <w:b w:val="false"/>
                <w:bCs w:val="false"/>
                <w:sz w:val="19"/>
                <w:szCs w:val="19"/>
              </w:rPr>
              <w:t xml:space="preserve">Decreto 43/2013, de 25/07/2013 (DOCM núm. 148, de 01/08/2013), Anexo II</w:t>
            </w:r>
          </w:p>
        </w:tc>
        <w:tc>
          <w:tcPr>
            <w:tcW w:type="dxa" w:w="2100"/>
            <w:shd w:fill="F2F4F7" w:val="clear"/>
            <w:tcMar>
              <w:top w:type="dxa" w:w="80"/>
              <w:left w:type="dxa" w:w="120"/>
              <w:bottom w:type="dxa" w:w="80"/>
              <w:right w:type="dxa" w:w="120"/>
            </w:tcMar>
          </w:tcPr>
          <w:p>
            <w:pPr>
              <w:spacing w:after="0" w:line="252"/>
            </w:pPr>
            <w:r>
              <w:rPr>
                <w:b w:val="false"/>
                <w:bCs w:val="false"/>
                <w:sz w:val="19"/>
                <w:szCs w:val="19"/>
              </w:rPr>
              <w:t xml:space="preserve">Decreto 80/2024, Anexo I</w:t>
            </w:r>
          </w:p>
        </w:tc>
      </w:tr>
      <w:tr>
        <w:tc>
          <w:tcPr>
            <w:tcW w:type="dxa" w:w="2900"/>
            <w:tcMar>
              <w:top w:type="dxa" w:w="80"/>
              <w:left w:type="dxa" w:w="120"/>
              <w:bottom w:type="dxa" w:w="80"/>
              <w:right w:type="dxa" w:w="120"/>
            </w:tcMar>
          </w:tcPr>
          <w:p>
            <w:pPr>
              <w:spacing w:after="0" w:line="252"/>
            </w:pPr>
            <w:r>
              <w:rPr>
                <w:b w:val="false"/>
                <w:bCs w:val="false"/>
                <w:sz w:val="19"/>
                <w:szCs w:val="19"/>
              </w:rPr>
              <w:t xml:space="preserve">Asistencia a la Dirección · Grado Superior</w:t>
            </w:r>
          </w:p>
        </w:tc>
        <w:tc>
          <w:tcPr>
            <w:tcW w:type="dxa" w:w="4070"/>
            <w:tcMar>
              <w:top w:type="dxa" w:w="80"/>
              <w:left w:type="dxa" w:w="120"/>
              <w:bottom w:type="dxa" w:w="80"/>
              <w:right w:type="dxa" w:w="120"/>
            </w:tcMar>
          </w:tcPr>
          <w:p>
            <w:pPr>
              <w:spacing w:after="0" w:line="252"/>
            </w:pPr>
            <w:r>
              <w:rPr>
                <w:b w:val="false"/>
                <w:bCs w:val="false"/>
                <w:sz w:val="19"/>
                <w:szCs w:val="19"/>
              </w:rPr>
              <w:t xml:space="preserve">Decreto 41/2013, de 25/07/2013 (DOCM núm. 148, de 01/08/2013), Anexo II</w:t>
            </w:r>
          </w:p>
        </w:tc>
        <w:tc>
          <w:tcPr>
            <w:tcW w:type="dxa" w:w="2100"/>
            <w:tcMar>
              <w:top w:type="dxa" w:w="80"/>
              <w:left w:type="dxa" w:w="120"/>
              <w:bottom w:type="dxa" w:w="80"/>
              <w:right w:type="dxa" w:w="120"/>
            </w:tcMar>
          </w:tcPr>
          <w:p>
            <w:pPr>
              <w:spacing w:after="0" w:line="252"/>
            </w:pPr>
            <w:r>
              <w:rPr>
                <w:b w:val="false"/>
                <w:bCs w:val="false"/>
                <w:sz w:val="19"/>
                <w:szCs w:val="19"/>
              </w:rPr>
              <w:t xml:space="preserve">Decreto 80/2024, Anexo I</w:t>
            </w:r>
          </w:p>
        </w:tc>
      </w:tr>
      <w:tr>
        <w:tc>
          <w:tcPr>
            <w:tcW w:type="dxa" w:w="2900"/>
            <w:shd w:fill="DCE4F0" w:val="clear"/>
            <w:tcMar>
              <w:top w:type="dxa" w:w="80"/>
              <w:left w:type="dxa" w:w="120"/>
              <w:bottom w:type="dxa" w:w="80"/>
              <w:right w:type="dxa" w:w="120"/>
            </w:tcMar>
          </w:tcPr>
          <w:p>
            <w:pPr>
              <w:spacing w:after="0" w:line="252"/>
            </w:pPr>
            <w:r>
              <w:rPr>
                <w:b/>
                <w:bCs/>
                <w:color w:val="1F3864"/>
                <w:sz w:val="19"/>
                <w:szCs w:val="19"/>
              </w:rPr>
              <w:t xml:space="preserve">INFORMÁTICA Y COMUNICACIONES</w:t>
            </w:r>
          </w:p>
        </w:tc>
        <w:tc>
          <w:tcPr>
            <w:tcW w:type="dxa" w:w="4070"/>
            <w:shd w:fill="DCE4F0" w:val="clear"/>
            <w:tcMar>
              <w:top w:type="dxa" w:w="80"/>
              <w:left w:type="dxa" w:w="120"/>
              <w:bottom w:type="dxa" w:w="80"/>
              <w:right w:type="dxa" w:w="120"/>
            </w:tcMar>
          </w:tcPr>
          <w:p>
            <w:pPr>
              <w:spacing w:after="0" w:line="252"/>
            </w:pPr>
            <w:r>
              <w:rPr>
                <w:b/>
                <w:bCs/>
                <w:color w:val="1F3864"/>
                <w:sz w:val="19"/>
                <w:szCs w:val="19"/>
              </w:rPr>
              <w:t xml:space="preserve"/>
            </w:r>
          </w:p>
        </w:tc>
        <w:tc>
          <w:tcPr>
            <w:tcW w:type="dxa" w:w="2100"/>
            <w:shd w:fill="DCE4F0" w:val="clear"/>
            <w:tcMar>
              <w:top w:type="dxa" w:w="80"/>
              <w:left w:type="dxa" w:w="120"/>
              <w:bottom w:type="dxa" w:w="80"/>
              <w:right w:type="dxa" w:w="120"/>
            </w:tcMar>
          </w:tcPr>
          <w:p>
            <w:pPr>
              <w:spacing w:after="0" w:line="252"/>
            </w:pPr>
            <w:r>
              <w:rPr>
                <w:b/>
                <w:bCs/>
                <w:color w:val="1F3864"/>
                <w:sz w:val="19"/>
                <w:szCs w:val="19"/>
              </w:rPr>
              <w:t xml:space="preserve"/>
            </w:r>
          </w:p>
        </w:tc>
      </w:tr>
      <w:tr>
        <w:tc>
          <w:tcPr>
            <w:tcW w:type="dxa" w:w="2900"/>
            <w:tcMar>
              <w:top w:type="dxa" w:w="80"/>
              <w:left w:type="dxa" w:w="120"/>
              <w:bottom w:type="dxa" w:w="80"/>
              <w:right w:type="dxa" w:w="120"/>
            </w:tcMar>
          </w:tcPr>
          <w:p>
            <w:pPr>
              <w:spacing w:after="0" w:line="252"/>
            </w:pPr>
            <w:r>
              <w:rPr>
                <w:b w:val="false"/>
                <w:bCs w:val="false"/>
                <w:sz w:val="19"/>
                <w:szCs w:val="19"/>
              </w:rPr>
              <w:t xml:space="preserve">Informática de Oficina · Grado Básico</w:t>
            </w:r>
          </w:p>
        </w:tc>
        <w:tc>
          <w:tcPr>
            <w:tcW w:type="dxa" w:w="4070"/>
            <w:tcMar>
              <w:top w:type="dxa" w:w="80"/>
              <w:left w:type="dxa" w:w="120"/>
              <w:bottom w:type="dxa" w:w="80"/>
              <w:right w:type="dxa" w:w="120"/>
            </w:tcMar>
          </w:tcPr>
          <w:p>
            <w:pPr>
              <w:spacing w:after="0" w:line="252"/>
            </w:pPr>
            <w:r>
              <w:rPr>
                <w:b w:val="false"/>
                <w:bCs w:val="false"/>
                <w:sz w:val="19"/>
                <w:szCs w:val="19"/>
              </w:rPr>
              <w:t xml:space="preserve">Decreto 80/2014, de 01/08/2014 (DOCM núm. 151, de 07/08/2014), Anexo II</w:t>
            </w:r>
          </w:p>
        </w:tc>
        <w:tc>
          <w:tcPr>
            <w:tcW w:type="dxa" w:w="2100"/>
            <w:tcMar>
              <w:top w:type="dxa" w:w="80"/>
              <w:left w:type="dxa" w:w="120"/>
              <w:bottom w:type="dxa" w:w="80"/>
              <w:right w:type="dxa" w:w="120"/>
            </w:tcMar>
          </w:tcPr>
          <w:p>
            <w:pPr>
              <w:spacing w:after="0" w:line="252"/>
            </w:pPr>
            <w:r>
              <w:rPr>
                <w:b w:val="false"/>
                <w:bCs w:val="false"/>
                <w:sz w:val="19"/>
                <w:szCs w:val="19"/>
              </w:rPr>
              <w:t xml:space="preserve">Decreto 78/2024, Anexo I</w:t>
            </w:r>
          </w:p>
        </w:tc>
      </w:tr>
      <w:tr>
        <w:tc>
          <w:tcPr>
            <w:tcW w:type="dxa" w:w="2900"/>
            <w:shd w:fill="F2F4F7" w:val="clear"/>
            <w:tcMar>
              <w:top w:type="dxa" w:w="80"/>
              <w:left w:type="dxa" w:w="120"/>
              <w:bottom w:type="dxa" w:w="80"/>
              <w:right w:type="dxa" w:w="120"/>
            </w:tcMar>
          </w:tcPr>
          <w:p>
            <w:pPr>
              <w:spacing w:after="0" w:line="252"/>
            </w:pPr>
            <w:r>
              <w:rPr>
                <w:b w:val="false"/>
                <w:bCs w:val="false"/>
                <w:sz w:val="19"/>
                <w:szCs w:val="19"/>
              </w:rPr>
              <w:t xml:space="preserve">Sistemas Microinformáticos y Redes · Grado Medio</w:t>
            </w:r>
          </w:p>
        </w:tc>
        <w:tc>
          <w:tcPr>
            <w:tcW w:type="dxa" w:w="4070"/>
            <w:shd w:fill="F2F4F7" w:val="clear"/>
            <w:tcMar>
              <w:top w:type="dxa" w:w="80"/>
              <w:left w:type="dxa" w:w="120"/>
              <w:bottom w:type="dxa" w:w="80"/>
              <w:right w:type="dxa" w:w="120"/>
            </w:tcMar>
          </w:tcPr>
          <w:p>
            <w:pPr>
              <w:spacing w:after="0" w:line="252"/>
            </w:pPr>
            <w:r>
              <w:rPr>
                <w:b w:val="false"/>
                <w:bCs w:val="false"/>
                <w:sz w:val="19"/>
                <w:szCs w:val="19"/>
              </w:rPr>
              <w:t xml:space="preserve">Decreto 107/2009, de 04/08/2009 (DOCM núm. 153, de 07/08/2009), Anexo II</w:t>
            </w:r>
          </w:p>
        </w:tc>
        <w:tc>
          <w:tcPr>
            <w:tcW w:type="dxa" w:w="2100"/>
            <w:shd w:fill="F2F4F7" w:val="clear"/>
            <w:tcMar>
              <w:top w:type="dxa" w:w="80"/>
              <w:left w:type="dxa" w:w="120"/>
              <w:bottom w:type="dxa" w:w="80"/>
              <w:right w:type="dxa" w:w="120"/>
            </w:tcMar>
          </w:tcPr>
          <w:p>
            <w:pPr>
              <w:spacing w:after="0" w:line="252"/>
            </w:pPr>
            <w:r>
              <w:rPr>
                <w:b w:val="false"/>
                <w:bCs w:val="false"/>
                <w:sz w:val="19"/>
                <w:szCs w:val="19"/>
              </w:rPr>
              <w:t xml:space="preserve">Decreto 79/2024, Anexo I</w:t>
            </w:r>
          </w:p>
        </w:tc>
      </w:tr>
      <w:tr>
        <w:tc>
          <w:tcPr>
            <w:tcW w:type="dxa" w:w="2900"/>
            <w:tcMar>
              <w:top w:type="dxa" w:w="80"/>
              <w:left w:type="dxa" w:w="120"/>
              <w:bottom w:type="dxa" w:w="80"/>
              <w:right w:type="dxa" w:w="120"/>
            </w:tcMar>
          </w:tcPr>
          <w:p>
            <w:pPr>
              <w:spacing w:after="0" w:line="252"/>
            </w:pPr>
            <w:r>
              <w:rPr>
                <w:b w:val="false"/>
                <w:bCs w:val="false"/>
                <w:sz w:val="19"/>
                <w:szCs w:val="19"/>
              </w:rPr>
              <w:t xml:space="preserve">Administración de Sistemas Informáticos en Red · Grado Superior</w:t>
            </w:r>
          </w:p>
        </w:tc>
        <w:tc>
          <w:tcPr>
            <w:tcW w:type="dxa" w:w="4070"/>
            <w:tcMar>
              <w:top w:type="dxa" w:w="80"/>
              <w:left w:type="dxa" w:w="120"/>
              <w:bottom w:type="dxa" w:w="80"/>
              <w:right w:type="dxa" w:w="120"/>
            </w:tcMar>
          </w:tcPr>
          <w:p>
            <w:pPr>
              <w:spacing w:after="0" w:line="252"/>
            </w:pPr>
            <w:r>
              <w:rPr>
                <w:b w:val="false"/>
                <w:bCs w:val="false"/>
                <w:sz w:val="19"/>
                <w:szCs w:val="19"/>
              </w:rPr>
              <w:t xml:space="preserve">Decreto 200/2010, de 03/08/2010 (DOCM núm. 151, de 06/08/2010), Anexo II</w:t>
            </w:r>
          </w:p>
        </w:tc>
        <w:tc>
          <w:tcPr>
            <w:tcW w:type="dxa" w:w="2100"/>
            <w:tcMar>
              <w:top w:type="dxa" w:w="80"/>
              <w:left w:type="dxa" w:w="120"/>
              <w:bottom w:type="dxa" w:w="80"/>
              <w:right w:type="dxa" w:w="120"/>
            </w:tcMar>
          </w:tcPr>
          <w:p>
            <w:pPr>
              <w:spacing w:after="0" w:line="252"/>
            </w:pPr>
            <w:r>
              <w:rPr>
                <w:b w:val="false"/>
                <w:bCs w:val="false"/>
                <w:sz w:val="19"/>
                <w:szCs w:val="19"/>
              </w:rPr>
              <w:t xml:space="preserve">Decreto 80/2024, Anexo I</w:t>
            </w:r>
          </w:p>
        </w:tc>
      </w:tr>
      <w:tr>
        <w:tc>
          <w:tcPr>
            <w:tcW w:type="dxa" w:w="2900"/>
            <w:shd w:fill="F2F4F7" w:val="clear"/>
            <w:tcMar>
              <w:top w:type="dxa" w:w="80"/>
              <w:left w:type="dxa" w:w="120"/>
              <w:bottom w:type="dxa" w:w="80"/>
              <w:right w:type="dxa" w:w="120"/>
            </w:tcMar>
          </w:tcPr>
          <w:p>
            <w:pPr>
              <w:spacing w:after="0" w:line="252"/>
            </w:pPr>
            <w:r>
              <w:rPr>
                <w:b w:val="false"/>
                <w:bCs w:val="false"/>
                <w:sz w:val="19"/>
                <w:szCs w:val="19"/>
              </w:rPr>
              <w:t xml:space="preserve">Desarrollo de Aplicaciones Multiplataforma · Grado Superior</w:t>
            </w:r>
          </w:p>
        </w:tc>
        <w:tc>
          <w:tcPr>
            <w:tcW w:type="dxa" w:w="4070"/>
            <w:shd w:fill="F2F4F7" w:val="clear"/>
            <w:tcMar>
              <w:top w:type="dxa" w:w="80"/>
              <w:left w:type="dxa" w:w="120"/>
              <w:bottom w:type="dxa" w:w="80"/>
              <w:right w:type="dxa" w:w="120"/>
            </w:tcMar>
          </w:tcPr>
          <w:p>
            <w:pPr>
              <w:spacing w:after="0" w:line="252"/>
            </w:pPr>
            <w:r>
              <w:rPr>
                <w:b w:val="false"/>
                <w:bCs w:val="false"/>
                <w:sz w:val="19"/>
                <w:szCs w:val="19"/>
              </w:rPr>
              <w:t xml:space="preserve">Decreto 252/2011, de 12/08/2011 (DOCM núm. 164, de 22/08/2011), Anexo II</w:t>
            </w:r>
          </w:p>
        </w:tc>
        <w:tc>
          <w:tcPr>
            <w:tcW w:type="dxa" w:w="2100"/>
            <w:shd w:fill="F2F4F7" w:val="clear"/>
            <w:tcMar>
              <w:top w:type="dxa" w:w="80"/>
              <w:left w:type="dxa" w:w="120"/>
              <w:bottom w:type="dxa" w:w="80"/>
              <w:right w:type="dxa" w:w="120"/>
            </w:tcMar>
          </w:tcPr>
          <w:p>
            <w:pPr>
              <w:spacing w:after="0" w:line="252"/>
            </w:pPr>
            <w:r>
              <w:rPr>
                <w:b w:val="false"/>
                <w:bCs w:val="false"/>
                <w:sz w:val="19"/>
                <w:szCs w:val="19"/>
              </w:rPr>
              <w:t xml:space="preserve">Decreto 80/2024, Anexo I</w:t>
            </w:r>
          </w:p>
        </w:tc>
      </w:tr>
      <w:tr>
        <w:tc>
          <w:tcPr>
            <w:tcW w:type="dxa" w:w="2900"/>
            <w:tcMar>
              <w:top w:type="dxa" w:w="80"/>
              <w:left w:type="dxa" w:w="120"/>
              <w:bottom w:type="dxa" w:w="80"/>
              <w:right w:type="dxa" w:w="120"/>
            </w:tcMar>
          </w:tcPr>
          <w:p>
            <w:pPr>
              <w:spacing w:after="0" w:line="252"/>
            </w:pPr>
            <w:r>
              <w:rPr>
                <w:b w:val="false"/>
                <w:bCs w:val="false"/>
                <w:sz w:val="19"/>
                <w:szCs w:val="19"/>
              </w:rPr>
              <w:t xml:space="preserve">Desarrollo de Aplicaciones Web · Grado Superior</w:t>
            </w:r>
          </w:p>
        </w:tc>
        <w:tc>
          <w:tcPr>
            <w:tcW w:type="dxa" w:w="4070"/>
            <w:tcMar>
              <w:top w:type="dxa" w:w="80"/>
              <w:left w:type="dxa" w:w="120"/>
              <w:bottom w:type="dxa" w:w="80"/>
              <w:right w:type="dxa" w:w="120"/>
            </w:tcMar>
          </w:tcPr>
          <w:p>
            <w:pPr>
              <w:spacing w:after="0" w:line="252"/>
            </w:pPr>
            <w:r>
              <w:rPr>
                <w:b w:val="false"/>
                <w:bCs w:val="false"/>
                <w:sz w:val="19"/>
                <w:szCs w:val="19"/>
              </w:rPr>
              <w:t xml:space="preserve">Decreto 230/2011, de 28/07/2011 (DOCM núm. 155, de 09/08/2011), Anexo II</w:t>
            </w:r>
          </w:p>
        </w:tc>
        <w:tc>
          <w:tcPr>
            <w:tcW w:type="dxa" w:w="2100"/>
            <w:tcMar>
              <w:top w:type="dxa" w:w="80"/>
              <w:left w:type="dxa" w:w="120"/>
              <w:bottom w:type="dxa" w:w="80"/>
              <w:right w:type="dxa" w:w="120"/>
            </w:tcMar>
          </w:tcPr>
          <w:p>
            <w:pPr>
              <w:spacing w:after="0" w:line="252"/>
            </w:pPr>
            <w:r>
              <w:rPr>
                <w:b w:val="false"/>
                <w:bCs w:val="false"/>
                <w:sz w:val="19"/>
                <w:szCs w:val="19"/>
              </w:rPr>
              <w:t xml:space="preserve">Decreto 80/2024, Anexo I</w:t>
            </w:r>
          </w:p>
        </w:tc>
      </w:tr>
      <w:tr>
        <w:tc>
          <w:tcPr>
            <w:tcW w:type="dxa" w:w="2900"/>
            <w:shd w:fill="F2F4F7" w:val="clear"/>
            <w:tcMar>
              <w:top w:type="dxa" w:w="80"/>
              <w:left w:type="dxa" w:w="120"/>
              <w:bottom w:type="dxa" w:w="80"/>
              <w:right w:type="dxa" w:w="120"/>
            </w:tcMar>
          </w:tcPr>
          <w:p>
            <w:pPr>
              <w:spacing w:after="0" w:line="252"/>
            </w:pPr>
            <w:r>
              <w:rPr>
                <w:b w:val="false"/>
                <w:bCs w:val="false"/>
                <w:sz w:val="19"/>
                <w:szCs w:val="19"/>
              </w:rPr>
              <w:t xml:space="preserve">CE Ciberseguridad en Entornos de las TI</w:t>
            </w:r>
          </w:p>
        </w:tc>
        <w:tc>
          <w:tcPr>
            <w:tcW w:type="dxa" w:w="4070"/>
            <w:shd w:fill="F2F4F7" w:val="clear"/>
            <w:tcMar>
              <w:top w:type="dxa" w:w="80"/>
              <w:left w:type="dxa" w:w="120"/>
              <w:bottom w:type="dxa" w:w="80"/>
              <w:right w:type="dxa" w:w="120"/>
            </w:tcMar>
          </w:tcPr>
          <w:p>
            <w:pPr>
              <w:spacing w:after="0" w:line="252"/>
            </w:pPr>
            <w:r>
              <w:rPr>
                <w:b w:val="false"/>
                <w:bCs w:val="false"/>
                <w:sz w:val="19"/>
                <w:szCs w:val="19"/>
              </w:rPr>
              <w:t xml:space="preserve">Decreto 77/2022, de 12/07/2022 (DOCM núm. 136, de 18/07/2022), Anexo II</w:t>
            </w:r>
          </w:p>
        </w:tc>
        <w:tc>
          <w:tcPr>
            <w:tcW w:type="dxa" w:w="2100"/>
            <w:shd w:fill="F2F4F7" w:val="clear"/>
            <w:tcMar>
              <w:top w:type="dxa" w:w="80"/>
              <w:left w:type="dxa" w:w="120"/>
              <w:bottom w:type="dxa" w:w="80"/>
              <w:right w:type="dxa" w:w="120"/>
            </w:tcMar>
          </w:tcPr>
          <w:p>
            <w:pPr>
              <w:spacing w:after="0" w:line="252"/>
            </w:pPr>
            <w:r>
              <w:rPr>
                <w:b w:val="false"/>
                <w:bCs w:val="false"/>
                <w:sz w:val="19"/>
                <w:szCs w:val="19"/>
              </w:rPr>
              <w:t xml:space="preserve">El mismo decreto, Anexo I</w:t>
            </w:r>
          </w:p>
        </w:tc>
      </w:tr>
      <w:tr>
        <w:tc>
          <w:tcPr>
            <w:tcW w:type="dxa" w:w="2900"/>
            <w:tcMar>
              <w:top w:type="dxa" w:w="80"/>
              <w:left w:type="dxa" w:w="120"/>
              <w:bottom w:type="dxa" w:w="80"/>
              <w:right w:type="dxa" w:w="120"/>
            </w:tcMar>
          </w:tcPr>
          <w:p>
            <w:pPr>
              <w:spacing w:after="0" w:line="252"/>
            </w:pPr>
            <w:r>
              <w:rPr>
                <w:b w:val="false"/>
                <w:bCs w:val="false"/>
                <w:sz w:val="19"/>
                <w:szCs w:val="19"/>
              </w:rPr>
              <w:t xml:space="preserve">CE Inteligencia Artificial y Big Data</w:t>
            </w:r>
          </w:p>
        </w:tc>
        <w:tc>
          <w:tcPr>
            <w:tcW w:type="dxa" w:w="4070"/>
            <w:tcMar>
              <w:top w:type="dxa" w:w="80"/>
              <w:left w:type="dxa" w:w="120"/>
              <w:bottom w:type="dxa" w:w="80"/>
              <w:right w:type="dxa" w:w="120"/>
            </w:tcMar>
          </w:tcPr>
          <w:p>
            <w:pPr>
              <w:spacing w:after="0" w:line="252"/>
            </w:pPr>
            <w:r>
              <w:rPr>
                <w:b w:val="false"/>
                <w:bCs w:val="false"/>
                <w:sz w:val="19"/>
                <w:szCs w:val="19"/>
              </w:rPr>
              <w:t xml:space="preserve">Decreto 69/2022, de 12/07/2022 (DOCM núm. 136, de 18/07/2022), Anexo II</w:t>
            </w:r>
          </w:p>
        </w:tc>
        <w:tc>
          <w:tcPr>
            <w:tcW w:type="dxa" w:w="2100"/>
            <w:tcMar>
              <w:top w:type="dxa" w:w="80"/>
              <w:left w:type="dxa" w:w="120"/>
              <w:bottom w:type="dxa" w:w="80"/>
              <w:right w:type="dxa" w:w="120"/>
            </w:tcMar>
          </w:tcPr>
          <w:p>
            <w:pPr>
              <w:spacing w:after="0" w:line="252"/>
            </w:pPr>
            <w:r>
              <w:rPr>
                <w:b w:val="false"/>
                <w:bCs w:val="false"/>
                <w:sz w:val="19"/>
                <w:szCs w:val="19"/>
              </w:rPr>
              <w:t xml:space="preserve">El mismo decreto, Anexo I</w:t>
            </w:r>
          </w:p>
        </w:tc>
      </w:tr>
      <w:tr>
        <w:tc>
          <w:tcPr>
            <w:tcW w:type="dxa" w:w="2900"/>
            <w:shd w:fill="F2F4F7" w:val="clear"/>
            <w:tcMar>
              <w:top w:type="dxa" w:w="80"/>
              <w:left w:type="dxa" w:w="120"/>
              <w:bottom w:type="dxa" w:w="80"/>
              <w:right w:type="dxa" w:w="120"/>
            </w:tcMar>
          </w:tcPr>
          <w:p>
            <w:pPr>
              <w:spacing w:after="0" w:line="252"/>
            </w:pPr>
            <w:r>
              <w:rPr>
                <w:b w:val="false"/>
                <w:bCs w:val="false"/>
                <w:sz w:val="19"/>
                <w:szCs w:val="19"/>
              </w:rPr>
              <w:t xml:space="preserve">CE Desarrollo de Aplicaciones en Python</w:t>
            </w:r>
          </w:p>
        </w:tc>
        <w:tc>
          <w:tcPr>
            <w:tcW w:type="dxa" w:w="4070"/>
            <w:shd w:fill="F2F4F7" w:val="clear"/>
            <w:tcMar>
              <w:top w:type="dxa" w:w="80"/>
              <w:left w:type="dxa" w:w="120"/>
              <w:bottom w:type="dxa" w:w="80"/>
              <w:right w:type="dxa" w:w="120"/>
            </w:tcMar>
          </w:tcPr>
          <w:p>
            <w:pPr>
              <w:spacing w:after="0" w:line="252"/>
            </w:pPr>
            <w:r>
              <w:rPr>
                <w:b w:val="false"/>
                <w:bCs w:val="false"/>
                <w:sz w:val="19"/>
                <w:szCs w:val="19"/>
              </w:rPr>
              <w:t xml:space="preserve">Decreto 79/2025, de 14/10/2025 (DOCM núm. 205, de 23/10/2025), Anexo II</w:t>
            </w:r>
          </w:p>
        </w:tc>
        <w:tc>
          <w:tcPr>
            <w:tcW w:type="dxa" w:w="2100"/>
            <w:shd w:fill="F2F4F7" w:val="clear"/>
            <w:tcMar>
              <w:top w:type="dxa" w:w="80"/>
              <w:left w:type="dxa" w:w="120"/>
              <w:bottom w:type="dxa" w:w="80"/>
              <w:right w:type="dxa" w:w="120"/>
            </w:tcMar>
          </w:tcPr>
          <w:p>
            <w:pPr>
              <w:spacing w:after="0" w:line="252"/>
            </w:pPr>
            <w:r>
              <w:rPr>
                <w:b w:val="false"/>
                <w:bCs w:val="false"/>
                <w:sz w:val="19"/>
                <w:szCs w:val="19"/>
              </w:rPr>
              <w:t xml:space="preserve">El mismo decreto, Anexo I</w:t>
            </w:r>
          </w:p>
        </w:tc>
      </w:tr>
    </w:tbl>
    <w:p>
      <w:pPr>
        <w:spacing w:after="60"/>
      </w:pPr>
    </w:p>
    <w:p>
      <w:pPr>
        <w:spacing w:after="120" w:line="276"/>
      </w:pPr>
      <w:r>
        <w:t xml:space="preserve">Los tres cursos de especialización son la excepción: su decreto es reciente y trae en el mismo texto las horas y el currículo, así que su cita es única. El de Python complementa además al Real Decreto 566/2024, de 18 de junio.</w:t>
      </w:r>
    </w:p>
    <w:p>
      <w:pPr>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9C9A8" w:sz="2"/>
              <w:left w:val="single" w:color="2E5496" w:sz="18"/>
              <w:bottom w:val="single" w:color="D9C9A8" w:sz="2"/>
              <w:right w:val="single" w:color="D9C9A8" w:sz="2"/>
            </w:tcBorders>
            <w:shd w:fill="FFF4E0" w:val="clear"/>
            <w:tcMar>
              <w:top w:type="dxa" w:w="140"/>
              <w:left w:type="dxa" w:w="180"/>
              <w:bottom w:type="dxa" w:w="140"/>
              <w:right w:type="dxa" w:w="180"/>
            </w:tcMar>
          </w:tcPr>
          <w:p>
            <w:pPr>
              <w:spacing w:after="60"/>
            </w:pPr>
            <w:r>
              <w:rPr>
                <w:b/>
                <w:bCs/>
                <w:color w:val="1F3864"/>
              </w:rPr>
              <w:t xml:space="preserve">Por qué esto importa en una inspección</w:t>
            </w:r>
          </w:p>
          <w:p>
            <w:pPr>
              <w:spacing w:after="40" w:line="264"/>
            </w:pPr>
            <w:r>
              <w:rPr>
                <w:sz w:val="20"/>
                <w:szCs w:val="20"/>
              </w:rPr>
              <w:t xml:space="preserve">Es la comprobación más incómoda que se puede recibir: abrir un módulo de Gestión Administrativa o de Sistemas Microinformáticos y Redes y contrastar sus criterios de evaluación con el texto del decreto. Si el cuaderno los ha tomado del Real Decreto estatal, del catálogo de otra comunidad o de un resumen, no van a coincidir.</w:t>
            </w:r>
          </w:p>
          <w:p>
            <w:pPr>
              <w:spacing w:after="40" w:line="264"/>
            </w:pPr>
            <w:r>
              <w:rPr>
                <w:sz w:val="20"/>
                <w:szCs w:val="20"/>
              </w:rPr>
              <w:t xml:space="preserve">En EvalFP coinciden porque están copiados del texto del decreto de Castilla-La Mancha que aparece en la columna central de esta tabla, y porque el cotejo se puede repetir delante de quien lo pida (capítulo 11). Las dos familias están cubiertas por igual: 51 módulos de Administración y Gestión y 79 de Informática y Comunicaciones, 5.964 criterios en total.</w:t>
            </w:r>
          </w:p>
        </w:tc>
      </w:tr>
    </w:tbl>
    <w:p>
      <w:r>
        <w:br w:type="page"/>
      </w:r>
    </w:p>
    <w:p>
      <w:pPr>
        <w:pStyle w:val="Heading2"/>
        <w:spacing w:after="120" w:before="280"/>
      </w:pPr>
      <w:r>
        <w:t xml:space="preserve">8.3 De dónde salen los módulos transversales</w:t>
      </w:r>
    </w:p>
    <w:p>
      <w:pPr>
        <w:spacing w:after="120" w:line="276"/>
      </w:pPr>
      <w:r>
        <w:t xml:space="preserve">Los módulos transversales —Itinerario Personal para la Empleabilidad, Digitalización, Sostenibilidad, Inglés Profesional y Proyecto Intermodular— son la única parte del catálogo cuyo currículo no está en un decreto de Castilla-La Mancha, y no por descuido: los decretos de 2024 remiten expresamente a los Reales Decretos que lo desarrollan.</w:t>
      </w:r>
    </w:p>
    <w:p>
      <w:pPr>
        <w:spacing w:after="120" w:line="276"/>
      </w:pPr>
      <w:r>
        <w:t xml:space="preserve">Cuando la norma autonómica remite a la estatal, la fuente correcta es la estatal. Esa remisión queda anotada en cada módulo, para que se vea que no es una decisión del cuaderno sino de la norma.</w:t>
      </w:r>
    </w:p>
    <w:p>
      <w:pPr>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200"/>
        <w:gridCol w:w="700"/>
        <w:gridCol w:w="4170"/>
      </w:tblGrid>
      <w:tr>
        <w:trPr>
          <w:tblHeader/>
        </w:trPr>
        <w:tc>
          <w:tcPr>
            <w:tcW w:type="dxa" w:w="4200"/>
            <w:shd w:fill="1F3864" w:val="clear"/>
            <w:tcMar>
              <w:top w:type="dxa" w:w="80"/>
              <w:left w:type="dxa" w:w="120"/>
              <w:bottom w:type="dxa" w:w="80"/>
              <w:right w:type="dxa" w:w="120"/>
            </w:tcMar>
          </w:tcPr>
          <w:p>
            <w:pPr>
              <w:spacing w:after="0" w:line="252"/>
            </w:pPr>
            <w:r>
              <w:rPr>
                <w:b/>
                <w:bCs/>
                <w:color w:val="FFFFFF"/>
                <w:sz w:val="19"/>
                <w:szCs w:val="19"/>
              </w:rPr>
              <w:t xml:space="preserve">Módulo</w:t>
            </w:r>
          </w:p>
        </w:tc>
        <w:tc>
          <w:tcPr>
            <w:tcW w:type="dxa" w:w="700"/>
            <w:shd w:fill="1F3864" w:val="clear"/>
            <w:tcMar>
              <w:top w:type="dxa" w:w="80"/>
              <w:left w:type="dxa" w:w="120"/>
              <w:bottom w:type="dxa" w:w="80"/>
              <w:right w:type="dxa" w:w="120"/>
            </w:tcMar>
          </w:tcPr>
          <w:p>
            <w:pPr>
              <w:spacing w:after="0" w:line="252"/>
            </w:pPr>
            <w:r>
              <w:rPr>
                <w:b/>
                <w:bCs/>
                <w:color w:val="FFFFFF"/>
                <w:sz w:val="19"/>
                <w:szCs w:val="19"/>
              </w:rPr>
              <w:t xml:space="preserve">Cód.</w:t>
            </w:r>
          </w:p>
        </w:tc>
        <w:tc>
          <w:tcPr>
            <w:tcW w:type="dxa" w:w="4170"/>
            <w:shd w:fill="1F3864" w:val="clear"/>
            <w:tcMar>
              <w:top w:type="dxa" w:w="80"/>
              <w:left w:type="dxa" w:w="120"/>
              <w:bottom w:type="dxa" w:w="80"/>
              <w:right w:type="dxa" w:w="120"/>
            </w:tcMar>
          </w:tcPr>
          <w:p>
            <w:pPr>
              <w:spacing w:after="0" w:line="252"/>
            </w:pPr>
            <w:r>
              <w:rPr>
                <w:b/>
                <w:bCs/>
                <w:color w:val="FFFFFF"/>
                <w:sz w:val="19"/>
                <w:szCs w:val="19"/>
              </w:rPr>
              <w:t xml:space="preserve">De dónde salen sus RA y criterios</w:t>
            </w:r>
          </w:p>
        </w:tc>
      </w:tr>
      <w:tr>
        <w:tc>
          <w:tcPr>
            <w:tcW w:type="dxa" w:w="4200"/>
            <w:tcMar>
              <w:top w:type="dxa" w:w="80"/>
              <w:left w:type="dxa" w:w="120"/>
              <w:bottom w:type="dxa" w:w="80"/>
              <w:right w:type="dxa" w:w="120"/>
            </w:tcMar>
          </w:tcPr>
          <w:p>
            <w:pPr>
              <w:spacing w:after="0" w:line="252"/>
            </w:pPr>
            <w:r>
              <w:rPr>
                <w:b w:val="false"/>
                <w:bCs w:val="false"/>
                <w:sz w:val="19"/>
                <w:szCs w:val="19"/>
              </w:rPr>
              <w:t xml:space="preserve">Itinerario personal para la empleabilidad I</w:t>
            </w:r>
          </w:p>
        </w:tc>
        <w:tc>
          <w:tcPr>
            <w:tcW w:type="dxa" w:w="700"/>
            <w:tcMar>
              <w:top w:type="dxa" w:w="80"/>
              <w:left w:type="dxa" w:w="120"/>
              <w:bottom w:type="dxa" w:w="80"/>
              <w:right w:type="dxa" w:w="120"/>
            </w:tcMar>
          </w:tcPr>
          <w:p>
            <w:pPr>
              <w:spacing w:after="0" w:line="252"/>
            </w:pPr>
            <w:r>
              <w:rPr>
                <w:b w:val="false"/>
                <w:bCs w:val="false"/>
                <w:sz w:val="19"/>
                <w:szCs w:val="19"/>
              </w:rPr>
              <w:t xml:space="preserve">1709</w:t>
            </w:r>
          </w:p>
        </w:tc>
        <w:tc>
          <w:tcPr>
            <w:tcW w:type="dxa" w:w="4170"/>
            <w:tcMar>
              <w:top w:type="dxa" w:w="80"/>
              <w:left w:type="dxa" w:w="120"/>
              <w:bottom w:type="dxa" w:w="80"/>
              <w:right w:type="dxa" w:w="120"/>
            </w:tcMar>
          </w:tcPr>
          <w:p>
            <w:pPr>
              <w:spacing w:after="0" w:line="252"/>
            </w:pPr>
            <w:r>
              <w:rPr>
                <w:b w:val="false"/>
                <w:bCs w:val="false"/>
                <w:sz w:val="19"/>
                <w:szCs w:val="19"/>
              </w:rPr>
              <w:t xml:space="preserve">Anexo V del Real Decreto 659/2023</w:t>
            </w:r>
          </w:p>
        </w:tc>
      </w:tr>
      <w:tr>
        <w:tc>
          <w:tcPr>
            <w:tcW w:type="dxa" w:w="4200"/>
            <w:shd w:fill="F2F4F7" w:val="clear"/>
            <w:tcMar>
              <w:top w:type="dxa" w:w="80"/>
              <w:left w:type="dxa" w:w="120"/>
              <w:bottom w:type="dxa" w:w="80"/>
              <w:right w:type="dxa" w:w="120"/>
            </w:tcMar>
          </w:tcPr>
          <w:p>
            <w:pPr>
              <w:spacing w:after="0" w:line="252"/>
            </w:pPr>
            <w:r>
              <w:rPr>
                <w:b w:val="false"/>
                <w:bCs w:val="false"/>
                <w:sz w:val="19"/>
                <w:szCs w:val="19"/>
              </w:rPr>
              <w:t xml:space="preserve">Itinerario personal para la empleabilidad II</w:t>
            </w:r>
          </w:p>
        </w:tc>
        <w:tc>
          <w:tcPr>
            <w:tcW w:type="dxa" w:w="700"/>
            <w:shd w:fill="F2F4F7" w:val="clear"/>
            <w:tcMar>
              <w:top w:type="dxa" w:w="80"/>
              <w:left w:type="dxa" w:w="120"/>
              <w:bottom w:type="dxa" w:w="80"/>
              <w:right w:type="dxa" w:w="120"/>
            </w:tcMar>
          </w:tcPr>
          <w:p>
            <w:pPr>
              <w:spacing w:after="0" w:line="252"/>
            </w:pPr>
            <w:r>
              <w:rPr>
                <w:b w:val="false"/>
                <w:bCs w:val="false"/>
                <w:sz w:val="19"/>
                <w:szCs w:val="19"/>
              </w:rPr>
              <w:t xml:space="preserve">1710</w:t>
            </w:r>
          </w:p>
        </w:tc>
        <w:tc>
          <w:tcPr>
            <w:tcW w:type="dxa" w:w="4170"/>
            <w:shd w:fill="F2F4F7" w:val="clear"/>
            <w:tcMar>
              <w:top w:type="dxa" w:w="80"/>
              <w:left w:type="dxa" w:w="120"/>
              <w:bottom w:type="dxa" w:w="80"/>
              <w:right w:type="dxa" w:w="120"/>
            </w:tcMar>
          </w:tcPr>
          <w:p>
            <w:pPr>
              <w:spacing w:after="0" w:line="252"/>
            </w:pPr>
            <w:r>
              <w:rPr>
                <w:b w:val="false"/>
                <w:bCs w:val="false"/>
                <w:sz w:val="19"/>
                <w:szCs w:val="19"/>
              </w:rPr>
              <w:t xml:space="preserve">Anexo V del Real Decreto 659/2023</w:t>
            </w:r>
          </w:p>
        </w:tc>
      </w:tr>
      <w:tr>
        <w:tc>
          <w:tcPr>
            <w:tcW w:type="dxa" w:w="4200"/>
            <w:tcMar>
              <w:top w:type="dxa" w:w="80"/>
              <w:left w:type="dxa" w:w="120"/>
              <w:bottom w:type="dxa" w:w="80"/>
              <w:right w:type="dxa" w:w="120"/>
            </w:tcMar>
          </w:tcPr>
          <w:p>
            <w:pPr>
              <w:spacing w:after="0" w:line="252"/>
            </w:pPr>
            <w:r>
              <w:rPr>
                <w:b w:val="false"/>
                <w:bCs w:val="false"/>
                <w:sz w:val="19"/>
                <w:szCs w:val="19"/>
              </w:rPr>
              <w:t xml:space="preserve">Digitalización aplicada a los sectores productivos · Grado Medio</w:t>
            </w:r>
          </w:p>
        </w:tc>
        <w:tc>
          <w:tcPr>
            <w:tcW w:type="dxa" w:w="700"/>
            <w:tcMar>
              <w:top w:type="dxa" w:w="80"/>
              <w:left w:type="dxa" w:w="120"/>
              <w:bottom w:type="dxa" w:w="80"/>
              <w:right w:type="dxa" w:w="120"/>
            </w:tcMar>
          </w:tcPr>
          <w:p>
            <w:pPr>
              <w:spacing w:after="0" w:line="252"/>
            </w:pPr>
            <w:r>
              <w:rPr>
                <w:b w:val="false"/>
                <w:bCs w:val="false"/>
                <w:sz w:val="19"/>
                <w:szCs w:val="19"/>
              </w:rPr>
              <w:t xml:space="preserve">1664</w:t>
            </w:r>
          </w:p>
        </w:tc>
        <w:tc>
          <w:tcPr>
            <w:tcW w:type="dxa" w:w="4170"/>
            <w:tcMar>
              <w:top w:type="dxa" w:w="80"/>
              <w:left w:type="dxa" w:w="120"/>
              <w:bottom w:type="dxa" w:w="80"/>
              <w:right w:type="dxa" w:w="120"/>
            </w:tcMar>
          </w:tcPr>
          <w:p>
            <w:pPr>
              <w:spacing w:after="0" w:line="252"/>
            </w:pPr>
            <w:r>
              <w:rPr>
                <w:b w:val="false"/>
                <w:bCs w:val="false"/>
                <w:sz w:val="19"/>
                <w:szCs w:val="19"/>
              </w:rPr>
              <w:t xml:space="preserve">Anexo VI del Real Decreto 659/2023</w:t>
            </w:r>
          </w:p>
        </w:tc>
      </w:tr>
      <w:tr>
        <w:tc>
          <w:tcPr>
            <w:tcW w:type="dxa" w:w="4200"/>
            <w:shd w:fill="F2F4F7" w:val="clear"/>
            <w:tcMar>
              <w:top w:type="dxa" w:w="80"/>
              <w:left w:type="dxa" w:w="120"/>
              <w:bottom w:type="dxa" w:w="80"/>
              <w:right w:type="dxa" w:w="120"/>
            </w:tcMar>
          </w:tcPr>
          <w:p>
            <w:pPr>
              <w:spacing w:after="0" w:line="252"/>
            </w:pPr>
            <w:r>
              <w:rPr>
                <w:b w:val="false"/>
                <w:bCs w:val="false"/>
                <w:sz w:val="19"/>
                <w:szCs w:val="19"/>
              </w:rPr>
              <w:t xml:space="preserve">Digitalización aplicada a los sectores productivos · Grado Superior</w:t>
            </w:r>
          </w:p>
        </w:tc>
        <w:tc>
          <w:tcPr>
            <w:tcW w:type="dxa" w:w="700"/>
            <w:shd w:fill="F2F4F7" w:val="clear"/>
            <w:tcMar>
              <w:top w:type="dxa" w:w="80"/>
              <w:left w:type="dxa" w:w="120"/>
              <w:bottom w:type="dxa" w:w="80"/>
              <w:right w:type="dxa" w:w="120"/>
            </w:tcMar>
          </w:tcPr>
          <w:p>
            <w:pPr>
              <w:spacing w:after="0" w:line="252"/>
            </w:pPr>
            <w:r>
              <w:rPr>
                <w:b w:val="false"/>
                <w:bCs w:val="false"/>
                <w:sz w:val="19"/>
                <w:szCs w:val="19"/>
              </w:rPr>
              <w:t xml:space="preserve">1665</w:t>
            </w:r>
          </w:p>
        </w:tc>
        <w:tc>
          <w:tcPr>
            <w:tcW w:type="dxa" w:w="4170"/>
            <w:shd w:fill="F2F4F7" w:val="clear"/>
            <w:tcMar>
              <w:top w:type="dxa" w:w="80"/>
              <w:left w:type="dxa" w:w="120"/>
              <w:bottom w:type="dxa" w:w="80"/>
              <w:right w:type="dxa" w:w="120"/>
            </w:tcMar>
          </w:tcPr>
          <w:p>
            <w:pPr>
              <w:spacing w:after="0" w:line="252"/>
            </w:pPr>
            <w:r>
              <w:rPr>
                <w:b w:val="false"/>
                <w:bCs w:val="false"/>
                <w:sz w:val="19"/>
                <w:szCs w:val="19"/>
              </w:rPr>
              <w:t xml:space="preserve">Anexo VII del Real Decreto 659/2023</w:t>
            </w:r>
          </w:p>
        </w:tc>
      </w:tr>
      <w:tr>
        <w:tc>
          <w:tcPr>
            <w:tcW w:type="dxa" w:w="4200"/>
            <w:tcMar>
              <w:top w:type="dxa" w:w="80"/>
              <w:left w:type="dxa" w:w="120"/>
              <w:bottom w:type="dxa" w:w="80"/>
              <w:right w:type="dxa" w:w="120"/>
            </w:tcMar>
          </w:tcPr>
          <w:p>
            <w:pPr>
              <w:spacing w:after="0" w:line="252"/>
            </w:pPr>
            <w:r>
              <w:rPr>
                <w:b w:val="false"/>
                <w:bCs w:val="false"/>
                <w:sz w:val="19"/>
                <w:szCs w:val="19"/>
              </w:rPr>
              <w:t xml:space="preserve">Sostenibilidad aplicada al sistema productivo</w:t>
            </w:r>
          </w:p>
        </w:tc>
        <w:tc>
          <w:tcPr>
            <w:tcW w:type="dxa" w:w="700"/>
            <w:tcMar>
              <w:top w:type="dxa" w:w="80"/>
              <w:left w:type="dxa" w:w="120"/>
              <w:bottom w:type="dxa" w:w="80"/>
              <w:right w:type="dxa" w:w="120"/>
            </w:tcMar>
          </w:tcPr>
          <w:p>
            <w:pPr>
              <w:spacing w:after="0" w:line="252"/>
            </w:pPr>
            <w:r>
              <w:rPr>
                <w:b w:val="false"/>
                <w:bCs w:val="false"/>
                <w:sz w:val="19"/>
                <w:szCs w:val="19"/>
              </w:rPr>
              <w:t xml:space="preserve">1708</w:t>
            </w:r>
          </w:p>
        </w:tc>
        <w:tc>
          <w:tcPr>
            <w:tcW w:type="dxa" w:w="4170"/>
            <w:tcMar>
              <w:top w:type="dxa" w:w="80"/>
              <w:left w:type="dxa" w:w="120"/>
              <w:bottom w:type="dxa" w:w="80"/>
              <w:right w:type="dxa" w:w="120"/>
            </w:tcMar>
          </w:tcPr>
          <w:p>
            <w:pPr>
              <w:spacing w:after="0" w:line="252"/>
            </w:pPr>
            <w:r>
              <w:rPr>
                <w:b w:val="false"/>
                <w:bCs w:val="false"/>
                <w:sz w:val="19"/>
                <w:szCs w:val="19"/>
              </w:rPr>
              <w:t xml:space="preserve">Anexo VIII del Real Decreto 659/2023</w:t>
            </w:r>
          </w:p>
        </w:tc>
      </w:tr>
      <w:tr>
        <w:tc>
          <w:tcPr>
            <w:tcW w:type="dxa" w:w="4200"/>
            <w:shd w:fill="F2F4F7" w:val="clear"/>
            <w:tcMar>
              <w:top w:type="dxa" w:w="80"/>
              <w:left w:type="dxa" w:w="120"/>
              <w:bottom w:type="dxa" w:w="80"/>
              <w:right w:type="dxa" w:w="120"/>
            </w:tcMar>
          </w:tcPr>
          <w:p>
            <w:pPr>
              <w:spacing w:after="0" w:line="252"/>
            </w:pPr>
            <w:r>
              <w:rPr>
                <w:b w:val="false"/>
                <w:bCs w:val="false"/>
                <w:sz w:val="19"/>
                <w:szCs w:val="19"/>
              </w:rPr>
              <w:t xml:space="preserve">Inglés profesional · Grado Medio</w:t>
            </w:r>
          </w:p>
        </w:tc>
        <w:tc>
          <w:tcPr>
            <w:tcW w:type="dxa" w:w="700"/>
            <w:shd w:fill="F2F4F7" w:val="clear"/>
            <w:tcMar>
              <w:top w:type="dxa" w:w="80"/>
              <w:left w:type="dxa" w:w="120"/>
              <w:bottom w:type="dxa" w:w="80"/>
              <w:right w:type="dxa" w:w="120"/>
            </w:tcMar>
          </w:tcPr>
          <w:p>
            <w:pPr>
              <w:spacing w:after="0" w:line="252"/>
            </w:pPr>
            <w:r>
              <w:rPr>
                <w:b w:val="false"/>
                <w:bCs w:val="false"/>
                <w:sz w:val="19"/>
                <w:szCs w:val="19"/>
              </w:rPr>
              <w:t xml:space="preserve">0156</w:t>
            </w:r>
          </w:p>
        </w:tc>
        <w:tc>
          <w:tcPr>
            <w:tcW w:type="dxa" w:w="4170"/>
            <w:shd w:fill="F2F4F7" w:val="clear"/>
            <w:tcMar>
              <w:top w:type="dxa" w:w="80"/>
              <w:left w:type="dxa" w:w="120"/>
              <w:bottom w:type="dxa" w:w="80"/>
              <w:right w:type="dxa" w:w="120"/>
            </w:tcMar>
          </w:tcPr>
          <w:p>
            <w:pPr>
              <w:spacing w:after="0" w:line="252"/>
            </w:pPr>
            <w:r>
              <w:rPr>
                <w:b w:val="false"/>
                <w:bCs w:val="false"/>
                <w:sz w:val="19"/>
                <w:szCs w:val="19"/>
              </w:rPr>
              <w:t xml:space="preserve">Anexo IX del Real Decreto 659/2023</w:t>
            </w:r>
          </w:p>
        </w:tc>
      </w:tr>
      <w:tr>
        <w:tc>
          <w:tcPr>
            <w:tcW w:type="dxa" w:w="4200"/>
            <w:tcMar>
              <w:top w:type="dxa" w:w="80"/>
              <w:left w:type="dxa" w:w="120"/>
              <w:bottom w:type="dxa" w:w="80"/>
              <w:right w:type="dxa" w:w="120"/>
            </w:tcMar>
          </w:tcPr>
          <w:p>
            <w:pPr>
              <w:spacing w:after="0" w:line="252"/>
            </w:pPr>
            <w:r>
              <w:rPr>
                <w:b w:val="false"/>
                <w:bCs w:val="false"/>
                <w:sz w:val="19"/>
                <w:szCs w:val="19"/>
              </w:rPr>
              <w:t xml:space="preserve">Inglés profesional · Grado Superior</w:t>
            </w:r>
          </w:p>
        </w:tc>
        <w:tc>
          <w:tcPr>
            <w:tcW w:type="dxa" w:w="700"/>
            <w:tcMar>
              <w:top w:type="dxa" w:w="80"/>
              <w:left w:type="dxa" w:w="120"/>
              <w:bottom w:type="dxa" w:w="80"/>
              <w:right w:type="dxa" w:w="120"/>
            </w:tcMar>
          </w:tcPr>
          <w:p>
            <w:pPr>
              <w:spacing w:after="0" w:line="252"/>
            </w:pPr>
            <w:r>
              <w:rPr>
                <w:b w:val="false"/>
                <w:bCs w:val="false"/>
                <w:sz w:val="19"/>
                <w:szCs w:val="19"/>
              </w:rPr>
              <w:t xml:space="preserve">0179</w:t>
            </w:r>
          </w:p>
        </w:tc>
        <w:tc>
          <w:tcPr>
            <w:tcW w:type="dxa" w:w="4170"/>
            <w:tcMar>
              <w:top w:type="dxa" w:w="80"/>
              <w:left w:type="dxa" w:w="120"/>
              <w:bottom w:type="dxa" w:w="80"/>
              <w:right w:type="dxa" w:w="120"/>
            </w:tcMar>
          </w:tcPr>
          <w:p>
            <w:pPr>
              <w:spacing w:after="0" w:line="252"/>
            </w:pPr>
            <w:r>
              <w:rPr>
                <w:b w:val="false"/>
                <w:bCs w:val="false"/>
                <w:sz w:val="19"/>
                <w:szCs w:val="19"/>
              </w:rPr>
              <w:t xml:space="preserve">Anexo X del Real Decreto 659/2023</w:t>
            </w:r>
          </w:p>
        </w:tc>
      </w:tr>
      <w:tr>
        <w:tc>
          <w:tcPr>
            <w:tcW w:type="dxa" w:w="4200"/>
            <w:shd w:fill="F2F4F7" w:val="clear"/>
            <w:tcMar>
              <w:top w:type="dxa" w:w="80"/>
              <w:left w:type="dxa" w:w="120"/>
              <w:bottom w:type="dxa" w:w="80"/>
              <w:right w:type="dxa" w:w="120"/>
            </w:tcMar>
          </w:tcPr>
          <w:p>
            <w:pPr>
              <w:spacing w:after="0" w:line="252"/>
            </w:pPr>
            <w:r>
              <w:rPr>
                <w:b w:val="false"/>
                <w:bCs w:val="false"/>
                <w:sz w:val="19"/>
                <w:szCs w:val="19"/>
              </w:rPr>
              <w:t xml:space="preserve">Itinerario personal para la empleabilidad · Grado Básico</w:t>
            </w:r>
          </w:p>
        </w:tc>
        <w:tc>
          <w:tcPr>
            <w:tcW w:type="dxa" w:w="700"/>
            <w:shd w:fill="F2F4F7" w:val="clear"/>
            <w:tcMar>
              <w:top w:type="dxa" w:w="80"/>
              <w:left w:type="dxa" w:w="120"/>
              <w:bottom w:type="dxa" w:w="80"/>
              <w:right w:type="dxa" w:w="120"/>
            </w:tcMar>
          </w:tcPr>
          <w:p>
            <w:pPr>
              <w:spacing w:after="0" w:line="252"/>
            </w:pPr>
            <w:r>
              <w:rPr>
                <w:b w:val="false"/>
                <w:bCs w:val="false"/>
                <w:sz w:val="19"/>
                <w:szCs w:val="19"/>
              </w:rPr>
              <w:t xml:space="preserve">3159</w:t>
            </w:r>
          </w:p>
        </w:tc>
        <w:tc>
          <w:tcPr>
            <w:tcW w:type="dxa" w:w="4170"/>
            <w:shd w:fill="F2F4F7" w:val="clear"/>
            <w:tcMar>
              <w:top w:type="dxa" w:w="80"/>
              <w:left w:type="dxa" w:w="120"/>
              <w:bottom w:type="dxa" w:w="80"/>
              <w:right w:type="dxa" w:w="120"/>
            </w:tcMar>
          </w:tcPr>
          <w:p>
            <w:pPr>
              <w:spacing w:after="0" w:line="252"/>
            </w:pPr>
            <w:r>
              <w:rPr>
                <w:b w:val="false"/>
                <w:bCs w:val="false"/>
                <w:sz w:val="19"/>
                <w:szCs w:val="19"/>
              </w:rPr>
              <w:t xml:space="preserve">Anexo II del Decreto 78/2024: el único transversal con texto propio de CLM</w:t>
            </w:r>
          </w:p>
        </w:tc>
      </w:tr>
      <w:tr>
        <w:tc>
          <w:tcPr>
            <w:tcW w:type="dxa" w:w="4200"/>
            <w:tcMar>
              <w:top w:type="dxa" w:w="80"/>
              <w:left w:type="dxa" w:w="120"/>
              <w:bottom w:type="dxa" w:w="80"/>
              <w:right w:type="dxa" w:w="120"/>
            </w:tcMar>
          </w:tcPr>
          <w:p>
            <w:pPr>
              <w:spacing w:after="0" w:line="252"/>
            </w:pPr>
            <w:r>
              <w:rPr>
                <w:b w:val="false"/>
                <w:bCs w:val="false"/>
                <w:sz w:val="19"/>
                <w:szCs w:val="19"/>
              </w:rPr>
              <w:t xml:space="preserve">Proyecto intermodular de aprendizaje colaborativo · Grado Básico</w:t>
            </w:r>
          </w:p>
        </w:tc>
        <w:tc>
          <w:tcPr>
            <w:tcW w:type="dxa" w:w="700"/>
            <w:tcMar>
              <w:top w:type="dxa" w:w="80"/>
              <w:left w:type="dxa" w:w="120"/>
              <w:bottom w:type="dxa" w:w="80"/>
              <w:right w:type="dxa" w:w="120"/>
            </w:tcMar>
          </w:tcPr>
          <w:p>
            <w:pPr>
              <w:spacing w:after="0" w:line="252"/>
            </w:pPr>
            <w:r>
              <w:rPr>
                <w:b w:val="false"/>
                <w:bCs w:val="false"/>
                <w:sz w:val="19"/>
                <w:szCs w:val="19"/>
              </w:rPr>
              <w:t xml:space="preserve">3160</w:t>
            </w:r>
          </w:p>
        </w:tc>
        <w:tc>
          <w:tcPr>
            <w:tcW w:type="dxa" w:w="4170"/>
            <w:tcMar>
              <w:top w:type="dxa" w:w="80"/>
              <w:left w:type="dxa" w:w="120"/>
              <w:bottom w:type="dxa" w:w="80"/>
              <w:right w:type="dxa" w:w="120"/>
            </w:tcMar>
          </w:tcPr>
          <w:p>
            <w:pPr>
              <w:spacing w:after="0" w:line="252"/>
            </w:pPr>
            <w:r>
              <w:rPr>
                <w:b w:val="false"/>
                <w:bCs w:val="false"/>
                <w:sz w:val="19"/>
                <w:szCs w:val="19"/>
              </w:rPr>
              <w:t xml:space="preserve">Anexo I del Real Decreto 498/2024</w:t>
            </w:r>
          </w:p>
        </w:tc>
      </w:tr>
      <w:tr>
        <w:tc>
          <w:tcPr>
            <w:tcW w:type="dxa" w:w="4200"/>
            <w:shd w:fill="F2F4F7" w:val="clear"/>
            <w:tcMar>
              <w:top w:type="dxa" w:w="80"/>
              <w:left w:type="dxa" w:w="120"/>
              <w:bottom w:type="dxa" w:w="80"/>
              <w:right w:type="dxa" w:w="120"/>
            </w:tcMar>
          </w:tcPr>
          <w:p>
            <w:pPr>
              <w:spacing w:after="0" w:line="252"/>
            </w:pPr>
            <w:r>
              <w:rPr>
                <w:b w:val="false"/>
                <w:bCs w:val="false"/>
                <w:sz w:val="19"/>
                <w:szCs w:val="19"/>
              </w:rPr>
              <w:t xml:space="preserve">Proyecto intermodular · Grado Medio</w:t>
            </w:r>
          </w:p>
        </w:tc>
        <w:tc>
          <w:tcPr>
            <w:tcW w:type="dxa" w:w="700"/>
            <w:shd w:fill="F2F4F7" w:val="clear"/>
            <w:tcMar>
              <w:top w:type="dxa" w:w="80"/>
              <w:left w:type="dxa" w:w="120"/>
              <w:bottom w:type="dxa" w:w="80"/>
              <w:right w:type="dxa" w:w="120"/>
            </w:tcMar>
          </w:tcPr>
          <w:p>
            <w:pPr>
              <w:spacing w:after="0" w:line="252"/>
            </w:pPr>
            <w:r>
              <w:rPr>
                <w:b w:val="false"/>
                <w:bCs w:val="false"/>
                <w:sz w:val="19"/>
                <w:szCs w:val="19"/>
              </w:rPr>
              <w:t xml:space="preserve">1713</w:t>
            </w:r>
          </w:p>
        </w:tc>
        <w:tc>
          <w:tcPr>
            <w:tcW w:type="dxa" w:w="4170"/>
            <w:shd w:fill="F2F4F7" w:val="clear"/>
            <w:tcMar>
              <w:top w:type="dxa" w:w="80"/>
              <w:left w:type="dxa" w:w="120"/>
              <w:bottom w:type="dxa" w:w="80"/>
              <w:right w:type="dxa" w:w="120"/>
            </w:tcMar>
          </w:tcPr>
          <w:p>
            <w:pPr>
              <w:spacing w:after="0" w:line="252"/>
            </w:pPr>
            <w:r>
              <w:rPr>
                <w:b w:val="false"/>
                <w:bCs w:val="false"/>
                <w:sz w:val="19"/>
                <w:szCs w:val="19"/>
              </w:rPr>
              <w:t xml:space="preserve">Anexo II del Real Decreto 499/2024</w:t>
            </w:r>
          </w:p>
        </w:tc>
      </w:tr>
    </w:tbl>
    <w:p>
      <w:pPr>
        <w:spacing w:after="60"/>
      </w:pPr>
    </w:p>
    <w:p>
      <w:pPr>
        <w:spacing w:after="120" w:line="276"/>
      </w:pPr>
      <w:r>
        <w:t xml:space="preserve">Son 39 módulos repartidos entre los nueve ciclos que los llevan. Merece la pena fijarse en la fila del 3159: el Itinerario Personal para la Empleabilidad de Grado Básico es el único transversal que Castilla-La Mancha redacta por su cuenta, y por tanto el único que se coteja contra el DOCM y no contra el BOE. Tomarlo del Real Decreto sería un error, y es de los que no se ven a simple vista.</w:t>
      </w:r>
    </w:p>
    <w:p>
      <w:pPr>
        <w:spacing w:after="60"/>
      </w:pPr>
    </w:p>
    <w:p>
      <w:pPr>
        <w:pStyle w:val="Heading2"/>
        <w:spacing w:after="120" w:before="280"/>
      </w:pPr>
      <w:r>
        <w:t xml:space="preserve">8.4 Una inconsistencia del propio DOCM</w:t>
      </w:r>
    </w:p>
    <w:p>
      <w:pPr>
        <w:spacing w:after="120" w:line="276"/>
      </w:pPr>
      <w:r>
        <w:t xml:space="preserve">La tabla del ciclo de Sistemas Microinformáticos y Redes del Decreto 79/2024 declara 2.000 horas, pero sus módulos suman 2.001. Está comprobado con dos extractores independientes.</w:t>
      </w:r>
    </w:p>
    <w:p>
      <w:pPr>
        <w:spacing w:after="120" w:line="276"/>
      </w:pPr>
      <w:r>
        <w:t xml:space="preserve">El catálogo de EvalFP coincide con el decreto módulo a módulo, y no se ha tocado: la inconsistencia está en la norma, no en el cuaderno. Queda documentada aquí y en el informe de discrepancias por si alguien la detecta y pregunta.</w:t>
      </w:r>
    </w:p>
    <w:p>
      <w:pPr>
        <w:pStyle w:val="Heading2"/>
        <w:spacing w:after="120" w:before="280"/>
      </w:pPr>
      <w:r>
        <w:t xml:space="preserve">8.5 Lo que queda fuera del catálogo, a propósito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00"/>
        <w:gridCol w:w="5770"/>
      </w:tblGrid>
      <w:tr>
        <w:trPr>
          <w:tblHeader/>
        </w:trPr>
        <w:tc>
          <w:tcPr>
            <w:tcW w:type="dxa" w:w="3300"/>
            <w:shd w:fill="1F3864" w:val="clear"/>
            <w:tcMar>
              <w:top w:type="dxa" w:w="80"/>
              <w:left w:type="dxa" w:w="120"/>
              <w:bottom w:type="dxa" w:w="80"/>
              <w:right w:type="dxa" w:w="120"/>
            </w:tcMar>
          </w:tcPr>
          <w:p>
            <w:pPr>
              <w:spacing w:after="0" w:line="252"/>
            </w:pPr>
            <w:r>
              <w:rPr>
                <w:b/>
                <w:bCs/>
                <w:color w:val="FFFFFF"/>
                <w:sz w:val="19"/>
                <w:szCs w:val="19"/>
              </w:rPr>
              <w:t xml:space="preserve">Qué</w:t>
            </w:r>
          </w:p>
        </w:tc>
        <w:tc>
          <w:tcPr>
            <w:tcW w:type="dxa" w:w="5770"/>
            <w:shd w:fill="1F3864" w:val="clear"/>
            <w:tcMar>
              <w:top w:type="dxa" w:w="80"/>
              <w:left w:type="dxa" w:w="120"/>
              <w:bottom w:type="dxa" w:w="80"/>
              <w:right w:type="dxa" w:w="120"/>
            </w:tcMar>
          </w:tcPr>
          <w:p>
            <w:pPr>
              <w:spacing w:after="0" w:line="252"/>
            </w:pPr>
            <w:r>
              <w:rPr>
                <w:b/>
                <w:bCs/>
                <w:color w:val="FFFFFF"/>
                <w:sz w:val="19"/>
                <w:szCs w:val="19"/>
              </w:rPr>
              <w:t xml:space="preserve">Por qué</w:t>
            </w:r>
          </w:p>
        </w:tc>
      </w:tr>
      <w:tr>
        <w:tc>
          <w:tcPr>
            <w:tcW w:type="dxa" w:w="3300"/>
            <w:tcMar>
              <w:top w:type="dxa" w:w="80"/>
              <w:left w:type="dxa" w:w="120"/>
              <w:bottom w:type="dxa" w:w="80"/>
              <w:right w:type="dxa" w:w="120"/>
            </w:tcMar>
          </w:tcPr>
          <w:p>
            <w:pPr>
              <w:spacing w:after="0" w:line="252"/>
            </w:pPr>
            <w:r>
              <w:rPr>
                <w:b w:val="false"/>
                <w:bCs w:val="false"/>
                <w:sz w:val="19"/>
                <w:szCs w:val="19"/>
              </w:rPr>
              <w:t xml:space="preserve">Proyecto intermodular de Grado Superior (0379 ASIR, 0492 DAM, 0616 DAW, 0657 AF, 0664 AD)</w:t>
            </w:r>
          </w:p>
        </w:tc>
        <w:tc>
          <w:tcPr>
            <w:tcW w:type="dxa" w:w="5770"/>
            <w:tcMar>
              <w:top w:type="dxa" w:w="80"/>
              <w:left w:type="dxa" w:w="120"/>
              <w:bottom w:type="dxa" w:w="80"/>
              <w:right w:type="dxa" w:w="120"/>
            </w:tcMar>
          </w:tcPr>
          <w:p>
            <w:pPr>
              <w:spacing w:after="0" w:line="252"/>
            </w:pPr>
            <w:r>
              <w:rPr>
                <w:b w:val="false"/>
                <w:bCs w:val="false"/>
                <w:sz w:val="19"/>
                <w:szCs w:val="19"/>
              </w:rPr>
              <w:t xml:space="preserve">El Decreto 80/2024 les asigna 55 h en su Anexo I pero no desarrolla sus RA ni sus criterios, y —a diferencia del 79/2024 y del 78/2024— tampoco remite a ningún Real Decreto. Es una laguna de la norma. Darlos de alta obligaría a redactar currículo por cuenta propia, que es justo lo que una inspección detectaría.</w:t>
            </w:r>
          </w:p>
        </w:tc>
      </w:tr>
      <w:tr>
        <w:tc>
          <w:tcPr>
            <w:tcW w:type="dxa" w:w="3300"/>
            <w:shd w:fill="F2F4F7" w:val="clear"/>
            <w:tcMar>
              <w:top w:type="dxa" w:w="80"/>
              <w:left w:type="dxa" w:w="120"/>
              <w:bottom w:type="dxa" w:w="80"/>
              <w:right w:type="dxa" w:w="120"/>
            </w:tcMar>
          </w:tcPr>
          <w:p>
            <w:pPr>
              <w:spacing w:after="0" w:line="252"/>
            </w:pPr>
            <w:r>
              <w:rPr>
                <w:b w:val="false"/>
                <w:bCs w:val="false"/>
                <w:sz w:val="19"/>
                <w:szCs w:val="19"/>
              </w:rPr>
              <w:t xml:space="preserve">Ámbitos 3161 a 3164 de Grado Básico y Segunda lengua extranjera 0180</w:t>
            </w:r>
          </w:p>
        </w:tc>
        <w:tc>
          <w:tcPr>
            <w:tcW w:type="dxa" w:w="5770"/>
            <w:shd w:fill="F2F4F7" w:val="clear"/>
            <w:tcMar>
              <w:top w:type="dxa" w:w="80"/>
              <w:left w:type="dxa" w:w="120"/>
              <w:bottom w:type="dxa" w:w="80"/>
              <w:right w:type="dxa" w:w="120"/>
            </w:tcMar>
          </w:tcPr>
          <w:p>
            <w:pPr>
              <w:spacing w:after="0" w:line="252"/>
            </w:pPr>
            <w:r>
              <w:rPr>
                <w:b w:val="false"/>
                <w:bCs w:val="false"/>
                <w:sz w:val="19"/>
                <w:szCs w:val="19"/>
              </w:rPr>
              <w:t xml:space="preserve">El artículo 9 del Decreto 78/2024 los llama «ámbitos no profesionales» y los atribuye a otro profesorado.</w:t>
            </w:r>
          </w:p>
        </w:tc>
      </w:tr>
    </w:tbl>
    <w:p>
      <w:r>
        <w:br w:type="page"/>
      </w:r>
    </w:p>
    <w:p>
      <w:pPr>
        <w:pStyle w:val="Heading1"/>
        <w:spacing w:after="160" w:before="360"/>
      </w:pPr>
      <w:r>
        <w:t xml:space="preserve">9. Ajustes</w:t>
      </w:r>
    </w:p>
    <w:p>
      <w:pPr>
        <w:spacing w:after="120" w:line="276"/>
      </w:pPr>
      <w:r>
        <w:t xml:space="preserve">Seis bloques:</w:t>
      </w:r>
    </w:p>
    <w:p>
      <w:pPr>
        <w:pStyle w:val="ListParagraph"/>
        <w:numPr>
          <w:ilvl w:val="0"/>
          <w:numId w:val="2"/>
        </w:numPr>
        <w:spacing w:after="80" w:line="276"/>
      </w:pPr>
      <w:r>
        <w:rPr>
          <w:b/>
          <w:bCs/>
        </w:rPr>
        <w:t xml:space="preserve">Claves de API. </w:t>
      </w:r>
      <w:r>
        <w:t xml:space="preserve">Las de Claude y OpenAI. Se guardan en el llavero del sistema y nunca se muestran: verás «✓ configurada».</w:t>
      </w:r>
    </w:p>
    <w:p>
      <w:pPr>
        <w:pStyle w:val="ListParagraph"/>
        <w:numPr>
          <w:ilvl w:val="0"/>
          <w:numId w:val="2"/>
        </w:numPr>
        <w:spacing w:after="80" w:line="276"/>
      </w:pPr>
      <w:r>
        <w:rPr>
          <w:b/>
          <w:bCs/>
        </w:rPr>
        <w:t xml:space="preserve">Preferencias. </w:t>
      </w:r>
      <w:r>
        <w:t xml:space="preserve">Comportamiento general de la aplicación.</w:t>
      </w:r>
    </w:p>
    <w:p>
      <w:pPr>
        <w:pStyle w:val="ListParagraph"/>
        <w:numPr>
          <w:ilvl w:val="0"/>
          <w:numId w:val="2"/>
        </w:numPr>
        <w:spacing w:after="80" w:line="276"/>
      </w:pPr>
      <w:r>
        <w:rPr>
          <w:b/>
          <w:bCs/>
        </w:rPr>
        <w:t xml:space="preserve">🎨 Apariencia. </w:t>
      </w:r>
      <w:r>
        <w:t xml:space="preserve">Tema claro u oscuro.</w:t>
      </w:r>
    </w:p>
    <w:p>
      <w:pPr>
        <w:pStyle w:val="ListParagraph"/>
        <w:numPr>
          <w:ilvl w:val="0"/>
          <w:numId w:val="2"/>
        </w:numPr>
        <w:spacing w:after="80" w:line="276"/>
      </w:pPr>
      <w:r>
        <w:rPr>
          <w:b/>
          <w:bCs/>
        </w:rPr>
        <w:t xml:space="preserve">🛟 Copias de seguridad. </w:t>
      </w:r>
      <w:r>
        <w:t xml:space="preserve">Cuántas hay, de cuándo es la última, abrir la carpeta y crear una a demanda.</w:t>
      </w:r>
    </w:p>
    <w:p>
      <w:pPr>
        <w:pStyle w:val="ListParagraph"/>
        <w:numPr>
          <w:ilvl w:val="0"/>
          <w:numId w:val="2"/>
        </w:numPr>
        <w:spacing w:after="80" w:line="276"/>
      </w:pPr>
      <w:r>
        <w:rPr>
          <w:b/>
          <w:bCs/>
        </w:rPr>
        <w:t xml:space="preserve">🗄 Módulos archivados. </w:t>
      </w:r>
      <w:r>
        <w:t xml:space="preserve">Los módulos borrados, con su botón ↩ Recuperar. Aquí es donde se deshace un borrado.</w:t>
      </w:r>
    </w:p>
    <w:p>
      <w:pPr>
        <w:pStyle w:val="ListParagraph"/>
        <w:numPr>
          <w:ilvl w:val="0"/>
          <w:numId w:val="2"/>
        </w:numPr>
        <w:spacing w:after="80" w:line="276"/>
      </w:pPr>
      <w:r>
        <w:rPr>
          <w:b/>
          <w:bCs/>
        </w:rPr>
        <w:t xml:space="preserve">🐍 Fase de empresa · CE de Python. </w:t>
      </w:r>
      <w:r>
        <w:t xml:space="preserve">Las horas de formación en empresa del curso de especialización: 0, o entre 86 y 150.</w:t>
      </w:r>
    </w:p>
    <w:p>
      <w:pPr>
        <w:pStyle w:val="Heading1"/>
        <w:spacing w:after="160" w:before="360"/>
      </w:pPr>
      <w:r>
        <w:t xml:space="preserve">10. Si algo va mal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6170"/>
      </w:tblGrid>
      <w:tr>
        <w:trPr>
          <w:tblHeader/>
        </w:trPr>
        <w:tc>
          <w:tcPr>
            <w:tcW w:type="dxa" w:w="2900"/>
            <w:shd w:fill="1F3864" w:val="clear"/>
            <w:tcMar>
              <w:top w:type="dxa" w:w="80"/>
              <w:left w:type="dxa" w:w="120"/>
              <w:bottom w:type="dxa" w:w="80"/>
              <w:right w:type="dxa" w:w="120"/>
            </w:tcMar>
          </w:tcPr>
          <w:p>
            <w:pPr>
              <w:spacing w:after="0" w:line="252"/>
            </w:pPr>
            <w:r>
              <w:rPr>
                <w:b/>
                <w:bCs/>
                <w:color w:val="FFFFFF"/>
                <w:sz w:val="19"/>
                <w:szCs w:val="19"/>
              </w:rPr>
              <w:t xml:space="preserve">Síntoma</w:t>
            </w:r>
          </w:p>
        </w:tc>
        <w:tc>
          <w:tcPr>
            <w:tcW w:type="dxa" w:w="6170"/>
            <w:shd w:fill="1F3864" w:val="clear"/>
            <w:tcMar>
              <w:top w:type="dxa" w:w="80"/>
              <w:left w:type="dxa" w:w="120"/>
              <w:bottom w:type="dxa" w:w="80"/>
              <w:right w:type="dxa" w:w="120"/>
            </w:tcMar>
          </w:tcPr>
          <w:p>
            <w:pPr>
              <w:spacing w:after="0" w:line="252"/>
            </w:pPr>
            <w:r>
              <w:rPr>
                <w:b/>
                <w:bCs/>
                <w:color w:val="FFFFFF"/>
                <w:sz w:val="19"/>
                <w:szCs w:val="19"/>
              </w:rPr>
              <w:t xml:space="preserve">Qué hacer</w:t>
            </w:r>
          </w:p>
        </w:tc>
      </w:tr>
      <w:tr>
        <w:tc>
          <w:tcPr>
            <w:tcW w:type="dxa" w:w="2900"/>
            <w:tcMar>
              <w:top w:type="dxa" w:w="80"/>
              <w:left w:type="dxa" w:w="120"/>
              <w:bottom w:type="dxa" w:w="80"/>
              <w:right w:type="dxa" w:w="120"/>
            </w:tcMar>
          </w:tcPr>
          <w:p>
            <w:pPr>
              <w:spacing w:after="0" w:line="252"/>
            </w:pPr>
            <w:r>
              <w:rPr>
                <w:b w:val="false"/>
                <w:bCs w:val="false"/>
                <w:sz w:val="19"/>
                <w:szCs w:val="19"/>
              </w:rPr>
              <w:t xml:space="preserve">Una actividad no cuenta para ningún RA</w:t>
            </w:r>
          </w:p>
        </w:tc>
        <w:tc>
          <w:tcPr>
            <w:tcW w:type="dxa" w:w="6170"/>
            <w:tcMar>
              <w:top w:type="dxa" w:w="80"/>
              <w:left w:type="dxa" w:w="120"/>
              <w:bottom w:type="dxa" w:w="80"/>
              <w:right w:type="dxa" w:w="120"/>
            </w:tcMar>
          </w:tcPr>
          <w:p>
            <w:pPr>
              <w:spacing w:after="0" w:line="252"/>
            </w:pPr>
            <w:r>
              <w:rPr>
                <w:b w:val="false"/>
                <w:bCs w:val="false"/>
                <w:sz w:val="19"/>
                <w:szCs w:val="19"/>
              </w:rPr>
              <w:t xml:space="preserve">Tiene la casilla de criterios vacía. Ábrela y marca qué criterios evalúa, o usa «Rellenar criterios desde las UT».</w:t>
            </w:r>
          </w:p>
        </w:tc>
      </w:tr>
      <w:tr>
        <w:tc>
          <w:tcPr>
            <w:tcW w:type="dxa" w:w="2900"/>
            <w:shd w:fill="F2F4F7" w:val="clear"/>
            <w:tcMar>
              <w:top w:type="dxa" w:w="80"/>
              <w:left w:type="dxa" w:w="120"/>
              <w:bottom w:type="dxa" w:w="80"/>
              <w:right w:type="dxa" w:w="120"/>
            </w:tcMar>
          </w:tcPr>
          <w:p>
            <w:pPr>
              <w:spacing w:after="0" w:line="252"/>
            </w:pPr>
            <w:r>
              <w:rPr>
                <w:b w:val="false"/>
                <w:bCs w:val="false"/>
                <w:sz w:val="19"/>
                <w:szCs w:val="19"/>
              </w:rPr>
              <w:t xml:space="preserve">La nota del boletín no coincide con la que esperabas</w:t>
            </w:r>
          </w:p>
        </w:tc>
        <w:tc>
          <w:tcPr>
            <w:tcW w:type="dxa" w:w="6170"/>
            <w:shd w:fill="F2F4F7" w:val="clear"/>
            <w:tcMar>
              <w:top w:type="dxa" w:w="80"/>
              <w:left w:type="dxa" w:w="120"/>
              <w:bottom w:type="dxa" w:w="80"/>
              <w:right w:type="dxa" w:w="120"/>
            </w:tcMar>
          </w:tcPr>
          <w:p>
            <w:pPr>
              <w:spacing w:after="0" w:line="252"/>
            </w:pPr>
            <w:r>
              <w:rPr>
                <w:b w:val="false"/>
                <w:bCs w:val="false"/>
                <w:sz w:val="19"/>
                <w:szCs w:val="19"/>
              </w:rPr>
              <w:t xml:space="preserve">Comprueba si algún RA está por debajo de 5: en ese caso el tope es 4 (art. 25.5). Y recuerda que «Media act.» no es la calificación del módulo.</w:t>
            </w:r>
          </w:p>
        </w:tc>
      </w:tr>
      <w:tr>
        <w:tc>
          <w:tcPr>
            <w:tcW w:type="dxa" w:w="2900"/>
            <w:tcMar>
              <w:top w:type="dxa" w:w="80"/>
              <w:left w:type="dxa" w:w="120"/>
              <w:bottom w:type="dxa" w:w="80"/>
              <w:right w:type="dxa" w:w="120"/>
            </w:tcMar>
          </w:tcPr>
          <w:p>
            <w:pPr>
              <w:spacing w:after="0" w:line="252"/>
            </w:pPr>
            <w:r>
              <w:rPr>
                <w:b w:val="false"/>
                <w:bCs w:val="false"/>
                <w:sz w:val="19"/>
                <w:szCs w:val="19"/>
              </w:rPr>
              <w:t xml:space="preserve">Un RA no sube aunque hayas subido notas</w:t>
            </w:r>
          </w:p>
        </w:tc>
        <w:tc>
          <w:tcPr>
            <w:tcW w:type="dxa" w:w="6170"/>
            <w:tcMar>
              <w:top w:type="dxa" w:w="80"/>
              <w:left w:type="dxa" w:w="120"/>
              <w:bottom w:type="dxa" w:w="80"/>
              <w:right w:type="dxa" w:w="120"/>
            </w:tcMar>
          </w:tcPr>
          <w:p>
            <w:pPr>
              <w:spacing w:after="0" w:line="252"/>
            </w:pPr>
            <w:r>
              <w:rPr>
                <w:b w:val="false"/>
                <w:bCs w:val="false"/>
                <w:sz w:val="19"/>
                <w:szCs w:val="19"/>
              </w:rPr>
              <w:t xml:space="preserve">Puede estar fijado por un cierre de evaluación. El candado 🔒 de la tabla de Evaluaciones lo reabre.</w:t>
            </w:r>
          </w:p>
        </w:tc>
      </w:tr>
      <w:tr>
        <w:tc>
          <w:tcPr>
            <w:tcW w:type="dxa" w:w="2900"/>
            <w:shd w:fill="F2F4F7" w:val="clear"/>
            <w:tcMar>
              <w:top w:type="dxa" w:w="80"/>
              <w:left w:type="dxa" w:w="120"/>
              <w:bottom w:type="dxa" w:w="80"/>
              <w:right w:type="dxa" w:w="120"/>
            </w:tcMar>
          </w:tcPr>
          <w:p>
            <w:pPr>
              <w:spacing w:after="0" w:line="252"/>
            </w:pPr>
            <w:r>
              <w:rPr>
                <w:b w:val="false"/>
                <w:bCs w:val="false"/>
                <w:sz w:val="19"/>
                <w:szCs w:val="19"/>
              </w:rPr>
              <w:t xml:space="preserve">Borraste un módulo sin querer</w:t>
            </w:r>
          </w:p>
        </w:tc>
        <w:tc>
          <w:tcPr>
            <w:tcW w:type="dxa" w:w="6170"/>
            <w:shd w:fill="F2F4F7" w:val="clear"/>
            <w:tcMar>
              <w:top w:type="dxa" w:w="80"/>
              <w:left w:type="dxa" w:w="120"/>
              <w:bottom w:type="dxa" w:w="80"/>
              <w:right w:type="dxa" w:w="120"/>
            </w:tcMar>
          </w:tcPr>
          <w:p>
            <w:pPr>
              <w:spacing w:after="0" w:line="252"/>
            </w:pPr>
            <w:r>
              <w:rPr>
                <w:b w:val="false"/>
                <w:bCs w:val="false"/>
                <w:sz w:val="19"/>
                <w:szCs w:val="19"/>
              </w:rPr>
              <w:t xml:space="preserve">Ajustes → Módulos archivados → ↩ Recuperar. El borrado definitivo es otra confirmación distinta.</w:t>
            </w:r>
          </w:p>
        </w:tc>
      </w:tr>
      <w:tr>
        <w:tc>
          <w:tcPr>
            <w:tcW w:type="dxa" w:w="2900"/>
            <w:tcMar>
              <w:top w:type="dxa" w:w="80"/>
              <w:left w:type="dxa" w:w="120"/>
              <w:bottom w:type="dxa" w:w="80"/>
              <w:right w:type="dxa" w:w="120"/>
            </w:tcMar>
          </w:tcPr>
          <w:p>
            <w:pPr>
              <w:spacing w:after="0" w:line="252"/>
            </w:pPr>
            <w:r>
              <w:rPr>
                <w:b w:val="false"/>
                <w:bCs w:val="false"/>
                <w:sz w:val="19"/>
                <w:szCs w:val="19"/>
              </w:rPr>
              <w:t xml:space="preserve">El asistente responde en modo demo</w:t>
            </w:r>
          </w:p>
        </w:tc>
        <w:tc>
          <w:tcPr>
            <w:tcW w:type="dxa" w:w="6170"/>
            <w:tcMar>
              <w:top w:type="dxa" w:w="80"/>
              <w:left w:type="dxa" w:w="120"/>
              <w:bottom w:type="dxa" w:w="80"/>
              <w:right w:type="dxa" w:w="120"/>
            </w:tcMar>
          </w:tcPr>
          <w:p>
            <w:pPr>
              <w:spacing w:after="0" w:line="252"/>
            </w:pPr>
            <w:r>
              <w:rPr>
                <w:b w:val="false"/>
                <w:bCs w:val="false"/>
                <w:sz w:val="19"/>
                <w:szCs w:val="19"/>
              </w:rPr>
              <w:t xml:space="preserve">No hay clave configurada, o el llavero del sistema no está disponible. Ajustes lo indica.</w:t>
            </w:r>
          </w:p>
        </w:tc>
      </w:tr>
      <w:tr>
        <w:tc>
          <w:tcPr>
            <w:tcW w:type="dxa" w:w="2900"/>
            <w:shd w:fill="F2F4F7" w:val="clear"/>
            <w:tcMar>
              <w:top w:type="dxa" w:w="80"/>
              <w:left w:type="dxa" w:w="120"/>
              <w:bottom w:type="dxa" w:w="80"/>
              <w:right w:type="dxa" w:w="120"/>
            </w:tcMar>
          </w:tcPr>
          <w:p>
            <w:pPr>
              <w:spacing w:after="0" w:line="252"/>
            </w:pPr>
            <w:r>
              <w:rPr>
                <w:b w:val="false"/>
                <w:bCs w:val="false"/>
                <w:sz w:val="19"/>
                <w:szCs w:val="19"/>
              </w:rPr>
              <w:t xml:space="preserve">Quieres volver al estado de ayer</w:t>
            </w:r>
          </w:p>
        </w:tc>
        <w:tc>
          <w:tcPr>
            <w:tcW w:type="dxa" w:w="6170"/>
            <w:shd w:fill="F2F4F7" w:val="clear"/>
            <w:tcMar>
              <w:top w:type="dxa" w:w="80"/>
              <w:left w:type="dxa" w:w="120"/>
              <w:bottom w:type="dxa" w:w="80"/>
              <w:right w:type="dxa" w:w="120"/>
            </w:tcMar>
          </w:tcPr>
          <w:p>
            <w:pPr>
              <w:spacing w:after="0" w:line="252"/>
            </w:pPr>
            <w:r>
              <w:rPr>
                <w:b w:val="false"/>
                <w:bCs w:val="false"/>
                <w:sz w:val="19"/>
                <w:szCs w:val="19"/>
              </w:rPr>
              <w:t xml:space="preserve">Cierra la aplicación, sustituye evalfp.db por la copia de la subcarpeta backups quitándole la fecha del nombre, y vuelve a abrir.</w:t>
            </w:r>
          </w:p>
        </w:tc>
      </w:tr>
    </w:tbl>
    <w:p>
      <w:r>
        <w:br w:type="page"/>
      </w:r>
    </w:p>
    <w:p>
      <w:pPr>
        <w:pStyle w:val="Heading1"/>
        <w:spacing w:after="160" w:before="360"/>
      </w:pPr>
      <w:r>
        <w:t xml:space="preserve">11. Cómo demostrar que el cuaderno es correcto</w:t>
      </w:r>
    </w:p>
    <w:p>
      <w:pPr>
        <w:spacing w:after="120" w:line="276"/>
      </w:pPr>
      <w:r>
        <w:t xml:space="preserve">Si alguna vez hay que acreditar que los criterios de evaluación del cuaderno son los del DOCM, no hace falta creer en la palabra de nadie: se comprueba en un segundo, desde la carpeta del proyecto.</w:t>
      </w:r>
    </w:p>
    <w:p>
      <w:pPr>
        <w:shd w:fill="F2F4F7" w:val="clear"/>
        <w:spacing w:after="160" w:before="120"/>
        <w:ind w:left="240"/>
      </w:pPr>
      <w:r>
        <w:rPr>
          <w:rFonts w:ascii="Consolas" w:cs="Consolas" w:eastAsia="Consolas" w:hAnsi="Consolas"/>
          <w:sz w:val="18"/>
          <w:szCs w:val="18"/>
        </w:rPr>
        <w:t xml:space="preserve">python3 scripts/normativa/cotejar_ce.py</w:t>
      </w:r>
    </w:p>
    <w:p>
      <w:pPr>
        <w:spacing w:after="120" w:line="276"/>
      </w:pPr>
      <w:r>
        <w:t xml:space="preserve">El script compara los 5.964 criterios del catálogo con el texto de su decreto, normalizando tipografía y guiones de partición para que una diferencia de maquetación del PDF no cuente, pero una palabra distinta sí. Devuelve código 0 si todo casa. El resultado a fecha de esta versión es 5.964 de 5.964: el 100 %.</w:t>
      </w:r>
    </w:p>
    <w:p>
      <w:pPr>
        <w:spacing w:after="120" w:line="276"/>
      </w:pPr>
      <w:r>
        <w:t xml:space="preserve">Conviene pasarlo cada vez que se toque un módulo o se publique una modificación de currículo.</w:t>
      </w:r>
    </w:p>
    <w:p>
      <w:pPr>
        <w:spacing w:after="120" w:line="276"/>
      </w:pPr>
      <w:r>
        <w:t xml:space="preserve">Junto a él, la documentación que acompaña al proyecto:</w:t>
      </w:r>
    </w:p>
    <w:p>
      <w:pPr>
        <w:pStyle w:val="ListParagraph"/>
        <w:numPr>
          <w:ilvl w:val="0"/>
          <w:numId w:val="2"/>
        </w:numPr>
        <w:spacing w:after="80" w:line="276"/>
      </w:pPr>
      <w:r>
        <w:rPr>
          <w:rFonts w:ascii="Consolas" w:cs="Consolas" w:eastAsia="Consolas" w:hAnsi="Consolas"/>
          <w:sz w:val="19"/>
          <w:szCs w:val="19"/>
        </w:rPr>
        <w:t xml:space="preserve">INFORME_DISCREPANCIAS_2026-27.md</w:t>
      </w:r>
      <w:r>
        <w:t xml:space="preserve"> — dieciséis secciones con cada decisión tomada, su cita normativa y su verificación. Es el expediente completo de la revisión.</w:t>
      </w:r>
    </w:p>
    <w:p>
      <w:pPr>
        <w:pStyle w:val="ListParagraph"/>
        <w:numPr>
          <w:ilvl w:val="0"/>
          <w:numId w:val="2"/>
        </w:numPr>
        <w:spacing w:after="80" w:line="276"/>
      </w:pPr>
      <w:r>
        <w:rPr>
          <w:rFonts w:ascii="Consolas" w:cs="Consolas" w:eastAsia="Consolas" w:hAnsi="Consolas"/>
          <w:sz w:val="19"/>
          <w:szCs w:val="19"/>
        </w:rPr>
        <w:t xml:space="preserve">CHANGELOG.md</w:t>
      </w:r>
      <w:r>
        <w:t xml:space="preserve"> — qué cambió en cada versión y por qué.</w:t>
      </w:r>
    </w:p>
    <w:p>
      <w:pPr>
        <w:pStyle w:val="ListParagraph"/>
        <w:numPr>
          <w:ilvl w:val="0"/>
          <w:numId w:val="2"/>
        </w:numPr>
        <w:spacing w:after="80" w:line="276"/>
      </w:pPr>
      <w:r>
        <w:rPr>
          <w:rFonts w:ascii="Consolas" w:cs="Consolas" w:eastAsia="Consolas" w:hAnsi="Consolas"/>
          <w:sz w:val="19"/>
          <w:szCs w:val="19"/>
        </w:rPr>
        <w:t xml:space="preserve">PENDIENTE.md</w:t>
      </w:r>
      <w:r>
        <w:t xml:space="preserve"> — lo que queda abierto, incluido lo que se decidió no hacer y la razón.</w:t>
      </w:r>
    </w:p>
    <w:p>
      <w:pPr>
        <w:spacing w:after="120" w:line="276"/>
      </w:pPr>
      <w:r>
        <w:t xml:space="preserve">Y las pruebas automáticas: 175 pruebas unitarias, de las cuales 24 cubren específicamente los cambios de la Orden 55/2026, más pruebas de extremo a extremo. Se ejecutan solas en cada cambio del código.</w:t>
      </w:r>
    </w:p>
    <w:p>
      <w:pPr>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9C9A8" w:sz="2"/>
              <w:left w:val="single" w:color="2E5496" w:sz="18"/>
              <w:bottom w:val="single" w:color="D9C9A8" w:sz="2"/>
              <w:right w:val="single" w:color="D9C9A8" w:sz="2"/>
            </w:tcBorders>
            <w:shd w:fill="FFF4E0" w:val="clear"/>
            <w:tcMar>
              <w:top w:type="dxa" w:w="140"/>
              <w:left w:type="dxa" w:w="180"/>
              <w:bottom w:type="dxa" w:w="140"/>
              <w:right w:type="dxa" w:w="180"/>
            </w:tcMar>
          </w:tcPr>
          <w:p>
            <w:pPr>
              <w:spacing w:after="60"/>
            </w:pPr>
            <w:r>
              <w:rPr>
                <w:b/>
                <w:bCs/>
                <w:color w:val="1F3864"/>
              </w:rPr>
              <w:t xml:space="preserve">Lo que este manual no puede acreditar</w:t>
            </w:r>
          </w:p>
          <w:p>
            <w:pPr>
              <w:spacing w:after="40" w:line="264"/>
            </w:pPr>
            <w:r>
              <w:rPr>
                <w:sz w:val="20"/>
                <w:szCs w:val="20"/>
              </w:rPr>
              <w:t xml:space="preserve">Que el cuaderno calcula conforme a la norma es comprobable y está comprobado. Que la programación de tu módulo esté bien montada, no: eso depende de que las ponderaciones sean las de tu programación didáctica y de que cada actividad declare los criterios que de verdad evalúa.</w:t>
            </w:r>
          </w:p>
          <w:p>
            <w:pPr>
              <w:spacing w:after="40" w:line="264"/>
            </w:pPr>
            <w:r>
              <w:rPr>
                <w:sz w:val="20"/>
                <w:szCs w:val="20"/>
              </w:rPr>
              <w:t xml:space="preserve">La comprobación mínima antes de cada evaluación son dos cosas: que no quede ningún criterio con el punto hueco en la ficha de su RA, y que ninguna actividad tenga la casilla de criterios en ámbar.</w:t>
            </w:r>
          </w:p>
        </w:tc>
      </w:tr>
    </w:tbl>
    <w:p>
      <w:pPr>
        <w:spacing w:after="60"/>
      </w:pPr>
    </w:p>
    <w:p>
      <w:pPr>
        <w:spacing w:after="60"/>
      </w:pPr>
    </w:p>
    <w:p>
      <w:pPr>
        <w:spacing w:after="120" w:line="276"/>
        <w:jc w:val="center"/>
      </w:pPr>
      <w:r>
        <w:rPr>
          <w:i/>
          <w:iCs/>
        </w:rPr>
        <w:t xml:space="preserve">EvalFP se distribuye bajo licencia GPLv3 o posterior.</w:t>
      </w:r>
    </w:p>
    <w:sectPr>
      <w:footerReference w:type="default" r:id="rId7"/>
      <w:footerReference w:type="first" r:id="rId8"/>
      <w:pgSz w:w="11906" w:h="16838" w:orient="portrait"/>
      <w:pgMar w:top="1200" w:right="1180" w:bottom="1200" w:left="11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EvalFP 3.16.0 · Manual del profesorado · </w:t>
    </w:r>
    <w:r>
      <w:rPr>
        <w:color w:val="888888"/>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4"/>
      <w:szCs w:val="34"/>
    </w:rPr>
  </w:style>
  <w:style w:type="paragraph" w:styleId="Heading2">
    <w:name w:val="Heading 2"/>
    <w:basedOn w:val="Normal"/>
    <w:next w:val="Normal"/>
    <w:qFormat/>
    <w:pPr>
      <w:spacing w:after="120" w:before="280"/>
    </w:pPr>
    <w:rPr>
      <w:rFonts w:ascii="Calibri" w:cs="Calibri" w:eastAsia="Calibri" w:hAnsi="Calibri"/>
      <w:b/>
      <w:bCs/>
      <w:color w:val="2E5496"/>
      <w:sz w:val="27"/>
      <w:szCs w:val="27"/>
    </w:rPr>
  </w:style>
  <w:style w:type="paragraph" w:styleId="Heading3">
    <w:name w:val="Heading 3"/>
    <w:basedOn w:val="Normal"/>
    <w:next w:val="Normal"/>
    <w:qFormat/>
    <w:pPr>
      <w:spacing w:after="100" w:before="220"/>
    </w:pPr>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profesorado · EvalFP 3.16.0</dc:title>
  <dc:creator>EvalFP</dc:creator>
  <dc:description>Manual de uso paso a paso con justificación normativa</dc:description>
  <cp:lastModifiedBy>Un-named</cp:lastModifiedBy>
  <cp:revision>1</cp:revision>
  <dcterms:created xsi:type="dcterms:W3CDTF">2026-08-10T10:42:08.248Z</dcterms:created>
  <dcterms:modified xsi:type="dcterms:W3CDTF">2026-08-10T10:42:08.248Z</dcterms:modified>
</cp:coreProperties>
</file>

<file path=docProps/custom.xml><?xml version="1.0" encoding="utf-8"?>
<Properties xmlns="http://schemas.openxmlformats.org/officeDocument/2006/custom-properties" xmlns:vt="http://schemas.openxmlformats.org/officeDocument/2006/docPropsVTypes"/>
</file>