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January-February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Fruiting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(State of California Natural Resource Agency 2018; State of California Natural Resources Agency 2018)</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BodyText"/>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beneficial to parties due to the mutualistic nature of the benefits the interacting individuals may receive both within and between species, even when costs are accounted for</w:t>
      </w:r>
      <w:r>
        <w:t xml:space="preserve"> </w:t>
      </w:r>
      <w:r>
        <w:t xml:space="preserve">(Barker et al. 2017;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receive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There are two instances of positive interactions that perpetuate seed dispersal: pollination and frugivory. This connection of two mutualistic events through a single taxonomic group is known as double mutualism, and is a rare event but present in birds</w:t>
      </w:r>
      <w:r>
        <w:t xml:space="preserve"> </w:t>
      </w:r>
      <w:r>
        <w:t xml:space="preserve">(Kelly et al. 2004; Ladley and Kelly 1996)</w:t>
      </w:r>
      <w:r>
        <w:t xml:space="preserve">. Double mutualism is most common in harsh ecosystems with relatively low biodiversity, such as arid deserts</w:t>
      </w:r>
      <w:r>
        <w:t xml:space="preserve"> </w:t>
      </w:r>
      <w:r>
        <w:t xml:space="preserve">(Garcia, Espadaler, and Olesen 2012; Gomes, Quirino, and Araujo 2014)</w:t>
      </w:r>
      <w:r>
        <w:t xml:space="preserve">. We suggest that double mutualism of cacti by pollinating/frugivorous birds may be a key factor in cactus reproduction, and eventual successful facilitation. Mechanistically, 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Foragers (like pollinators) will sacrifice energy while foraging until a patch’s resource availability is equal to the average resource availability of the entire habitat, or until the energy expended foraging outweighs the energy gained. This resource density value is known as the Giving-up Density (GUD), and is based on the Marginal value theorem (MVT) which is a model that predicts foraging behavior when resources exist in patches</w:t>
      </w:r>
      <w:r>
        <w:t xml:space="preserve"> </w:t>
      </w:r>
      <w:r>
        <w:t xml:space="preserve">(Charnov 1976)</w:t>
      </w:r>
      <w:r>
        <w:t xml:space="preserve">. This principle governs pollination visitation, a metric for pollination interaction strength. Height of inflorescence and showiness of inflorescence display are contributing factors to hummingbird pollinator visitation, as higher flowers are more likely to be seen by flying hummingbirds</w:t>
      </w:r>
      <w:r>
        <w:t xml:space="preserve"> </w:t>
      </w:r>
      <w:r>
        <w:t xml:space="preserve">(Wolf and Hainsworth 1990; Mitchell 1994)</w:t>
      </w:r>
      <w:r>
        <w:t xml:space="preserve">, and more flowers will draw more hummingbirds. If larger cacti have more flowers, we may expect more hummingbird pollinator visits, and therefore produce more fruit, thereby increasing relative fitness for cacti.</w:t>
      </w:r>
    </w:p>
    <w:p>
      <w:pPr>
        <w:pStyle w:val="BodyText"/>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successfully. In these studies, we will identify the pollinating and dispersing strength of birds for different species and characteristics of cacti, and increase understanding of interactions at the community level’s role in determining an ecosystem’s biotic structure.</w:t>
      </w:r>
    </w:p>
    <w:p>
      <w:pPr>
        <w:pStyle w:val="Heading2"/>
      </w:pPr>
      <w:bookmarkStart w:id="23" w:name="study-site"/>
      <w:bookmarkEnd w:id="23"/>
      <w:r>
        <w:t xml:space="preserve">Study Site</w:t>
      </w:r>
    </w:p>
    <w:p>
      <w:pPr>
        <w:pStyle w:val="FirstParagraph"/>
      </w:pPr>
      <w:r>
        <w:rPr>
          <w:b/>
        </w:rPr>
        <w:t xml:space="preserve">Mojave Desert: Sweeney Granite Mountains Desert Reseach Center</w:t>
      </w:r>
      <w:r>
        <w:t xml:space="preserve"> </w:t>
      </w:r>
      <w:r>
        <w:t xml:space="preserve">The Sweeney Granite Mountains Desert Research Center in the Mojave Desert (34.8056°N, 115.6639°W) is located in San Bernadino Country. It boasts a high species richness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w:t>
      </w:r>
    </w:p>
    <w:p>
      <w:pPr>
        <w:pStyle w:val="Heading1"/>
      </w:pPr>
      <w:bookmarkStart w:id="24" w:name="study-species"/>
      <w:bookmarkEnd w:id="24"/>
      <w:r>
        <w:t xml:space="preserve">Study Species</w:t>
      </w:r>
    </w:p>
    <w:p>
      <w:pPr>
        <w:pStyle w:val="FirstParagraph"/>
      </w:pPr>
      <w:r>
        <w:rPr>
          <w:b/>
          <w:i/>
        </w:rPr>
        <w:t xml:space="preserve">Opuntia 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(P. S. Nobel 2002)</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benefactor plants</w:t>
      </w:r>
      <w:r>
        <w:t xml:space="preserve"> </w:t>
      </w:r>
      <w:r>
        <w:t xml:space="preserve">(Taly Dawn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including allocation theory.</w:t>
      </w:r>
    </w:p>
    <w:p>
      <w:pPr>
        <w:pStyle w:val="Heading2"/>
      </w:pPr>
      <w:bookmarkStart w:id="27" w:name="research-questions"/>
      <w:bookmarkEnd w:id="27"/>
      <w:r>
        <w:t xml:space="preserve">Research Questions</w:t>
      </w:r>
    </w:p>
    <w:p>
      <w:pPr>
        <w:pStyle w:val="Compact"/>
        <w:numPr>
          <w:numId w:val="1001"/>
          <w:ilvl w:val="0"/>
        </w:numPr>
      </w:pPr>
      <w:r>
        <w:t xml:space="preserve">Are fruit and seed size/production related?</w:t>
      </w:r>
    </w:p>
    <w:p>
      <w:pPr>
        <w:pStyle w:val="Compact"/>
        <w:numPr>
          <w:numId w:val="1001"/>
          <w:ilvl w:val="0"/>
        </w:numPr>
      </w:pPr>
      <w:r>
        <w:t xml:space="preserve">Are size and branching related to age, and do they influence reproductive success independent of age?</w:t>
      </w:r>
    </w:p>
    <w:p>
      <w:pPr>
        <w:pStyle w:val="Compact"/>
        <w:numPr>
          <w:numId w:val="1001"/>
          <w:ilvl w:val="0"/>
        </w:numPr>
      </w:pPr>
      <w:r>
        <w:t xml:space="preserve">Are cacti species nearer on the phylogenetic tree allocating energy in similar ways?</w:t>
      </w:r>
    </w:p>
    <w:p>
      <w:pPr>
        <w:pStyle w:val="Heading2"/>
      </w:pPr>
      <w:bookmarkStart w:id="28" w:name="strategy-of-the-systematic-review"/>
      <w:bookmarkEnd w:id="28"/>
      <w:r>
        <w:t xml:space="preserve">Strategy of the systematic review</w:t>
      </w:r>
    </w:p>
    <w:p>
      <w:pPr>
        <w:pStyle w:val="FirstParagraph"/>
      </w:pPr>
      <w:r>
        <w:t xml:space="preserve">I will perform a systematic review of fruiting cacti and their size, isolating the relevant studies as data points for a meta-analysis through a series of filtering mechanisms (Fig 1). The following search terms were used in Web of Science:</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All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are identifying papers as fitting requirements prefaced above, and then compiling the data points (regression and correlation coefficients). Finally, we will summarize the pooled results of the relevant papers.</w:t>
      </w:r>
    </w:p>
    <w:p>
      <w:pPr>
        <w:pStyle w:val="FigureWithCaption"/>
      </w:pPr>
      <w:r>
        <w:drawing>
          <wp:inline>
            <wp:extent cx="5334000" cy="5038264"/>
            <wp:effectExtent b="0" l="0" r="0" t="0"/>
            <wp:docPr descr="Fig 1: A PRIMSA statement identifying the workflow completed to date for the systematic review of papers to be included in the meta-analysis (Moher et al. 2009)." title="" id="1" name="Picture"/>
            <a:graphic>
              <a:graphicData uri="http://schemas.openxmlformats.org/drawingml/2006/picture">
                <pic:pic>
                  <pic:nvPicPr>
                    <pic:cNvPr descr="PRISMA.PNG" id="0" name="Picture"/>
                    <pic:cNvPicPr>
                      <a:picLocks noChangeArrowheads="1" noChangeAspect="1"/>
                    </pic:cNvPicPr>
                  </pic:nvPicPr>
                  <pic:blipFill>
                    <a:blip r:embed="rId30"/>
                    <a:stretch>
                      <a:fillRect/>
                    </a:stretch>
                  </pic:blipFill>
                  <pic:spPr bwMode="auto">
                    <a:xfrm>
                      <a:off x="0" y="0"/>
                      <a:ext cx="5334000" cy="5038264"/>
                    </a:xfrm>
                    <a:prstGeom prst="rect">
                      <a:avLst/>
                    </a:prstGeom>
                    <a:noFill/>
                    <a:ln w="9525">
                      <a:noFill/>
                      <a:headEnd/>
                      <a:tailEnd/>
                    </a:ln>
                  </pic:spPr>
                </pic:pic>
              </a:graphicData>
            </a:graphic>
          </wp:inline>
        </w:drawing>
      </w:r>
    </w:p>
    <w:p>
      <w:pPr>
        <w:pStyle w:val="ImageCaption"/>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1" w:name="chapter-2-strength-of-birds-as-pollinators-and-seed-dispersers-in-cactaceae"/>
      <w:bookmarkEnd w:id="31"/>
      <w:r>
        <w:t xml:space="preserve">Chapter 2: Strength of birds as pollinators and seed dispersers in Cactaceae</w:t>
      </w:r>
    </w:p>
    <w:p>
      <w:pPr>
        <w:pStyle w:val="Heading2"/>
      </w:pPr>
      <w:bookmarkStart w:id="32" w:name="purpose-1"/>
      <w:bookmarkEnd w:id="32"/>
      <w:r>
        <w:t xml:space="preserve">Purpose</w:t>
      </w:r>
    </w:p>
    <w:p>
      <w:pPr>
        <w:pStyle w:val="FirstParagraph"/>
      </w:pPr>
      <w:r>
        <w:t xml:space="preserve">This chapter will examine the interactions between pollinating/frugivorous bird interactions and observed and experimentally manipulated characteristics for 3 cacti species.</w:t>
      </w:r>
    </w:p>
    <w:p>
      <w:pPr>
        <w:pStyle w:val="Heading2"/>
      </w:pPr>
      <w:bookmarkStart w:id="33" w:name="research-questions-1"/>
      <w:bookmarkEnd w:id="33"/>
      <w:r>
        <w:t xml:space="preserve">Research Questions</w:t>
      </w:r>
    </w:p>
    <w:p>
      <w:pPr>
        <w:pStyle w:val="Compact"/>
        <w:numPr>
          <w:numId w:val="1002"/>
          <w:ilvl w:val="0"/>
        </w:numPr>
      </w:pPr>
      <w:r>
        <w:t xml:space="preserve">How strong are bird-cacti interactions based on different cactus characteristics?</w:t>
      </w:r>
    </w:p>
    <w:p>
      <w:pPr>
        <w:pStyle w:val="Compact"/>
        <w:numPr>
          <w:numId w:val="1002"/>
          <w:ilvl w:val="0"/>
        </w:numPr>
      </w:pPr>
      <w:r>
        <w:t xml:space="preserve">Is there a relationship between seed size, seed abundance, fruit size, fruit/flower abundance, and cactus size?</w:t>
      </w:r>
    </w:p>
    <w:p>
      <w:pPr>
        <w:pStyle w:val="Heading2"/>
      </w:pPr>
      <w:bookmarkStart w:id="34" w:name="hypotheses-and-predictions"/>
      <w:bookmarkEnd w:id="34"/>
      <w:r>
        <w:t xml:space="preserve">Hypotheses and Predictions</w:t>
      </w:r>
    </w:p>
    <w:p>
      <w:pPr>
        <w:pStyle w:val="FirstParagraph"/>
      </w:pPr>
      <w:r>
        <w:t xml:space="preserve">Hypothesis: Birds and cacti are linked through positive interactions in desert ecosystems, with plant size being a determining factor of interaction strength.</w:t>
      </w:r>
      <w:r>
        <w:t xml:space="preserve"> </w:t>
      </w:r>
      <w:r>
        <w:t xml:space="preserve">Predictions</w:t>
      </w:r>
      <w:r>
        <w:t xml:space="preserve"> </w:t>
      </w:r>
      <w:r>
        <w:t xml:space="preserve">a. Bird visitation rates for pollination and frugivory are positively related to cactus characteristics.</w:t>
      </w:r>
      <w:r>
        <w:t xml:space="preserve"> </w:t>
      </w:r>
      <w:r>
        <w:t xml:space="preserve">b. The bird-cacti relationship is species specific (both for bird and cacti species).</w:t>
      </w:r>
    </w:p>
    <w:p>
      <w:pPr>
        <w:pStyle w:val="Heading2"/>
      </w:pPr>
      <w:bookmarkStart w:id="35" w:name="factors"/>
      <w:bookmarkEnd w:id="35"/>
      <w:r>
        <w:t xml:space="preserve">Factors</w:t>
      </w:r>
    </w:p>
    <w:p>
      <w:pPr>
        <w:pStyle w:val="Compact"/>
        <w:numPr>
          <w:numId w:val="1003"/>
          <w:ilvl w:val="0"/>
        </w:numPr>
      </w:pPr>
      <w:r>
        <w:rPr>
          <w:b/>
        </w:rPr>
        <w:t xml:space="preserve">Percentage of flower/fruit on cactus</w:t>
      </w:r>
      <w:r>
        <w:t xml:space="preserve">: 0%, 25%, 50%, 75%, 100%</w:t>
      </w:r>
    </w:p>
    <w:p>
      <w:pPr>
        <w:pStyle w:val="Compact"/>
        <w:numPr>
          <w:numId w:val="1003"/>
          <w:ilvl w:val="0"/>
        </w:numPr>
      </w:pPr>
      <w:r>
        <w:rPr>
          <w:i/>
        </w:rPr>
        <w:t xml:space="preserve">0% fruit on cactus is the negative control, 100% fruit on cactus is positive control for fruit abundance</w:t>
      </w:r>
    </w:p>
    <w:p>
      <w:pPr>
        <w:pStyle w:val="Compact"/>
        <w:numPr>
          <w:numId w:val="1003"/>
          <w:ilvl w:val="0"/>
        </w:numPr>
      </w:pPr>
      <w:r>
        <w:rPr>
          <w:b/>
        </w:rPr>
        <w:t xml:space="preserve">Species of cactus</w:t>
      </w:r>
      <w:r>
        <w:t xml:space="preserve">:</w:t>
      </w:r>
      <w:r>
        <w:t xml:space="preserve"> </w:t>
      </w:r>
      <w:r>
        <w:rPr>
          <w:i/>
        </w:rPr>
        <w:t xml:space="preserve">Opuntia basilaris</w:t>
      </w:r>
      <w:r>
        <w:t xml:space="preserve"> </w:t>
      </w:r>
      <w:r>
        <w:t xml:space="preserve">or</w:t>
      </w:r>
      <w:r>
        <w:t xml:space="preserve"> </w:t>
      </w:r>
      <w:r>
        <w:rPr>
          <w:i/>
        </w:rPr>
        <w:t xml:space="preserve">Cylindropuntia anthrocarpa</w:t>
      </w:r>
    </w:p>
    <w:p>
      <w:pPr>
        <w:pStyle w:val="Compact"/>
        <w:numPr>
          <w:numId w:val="1003"/>
          <w:ilvl w:val="0"/>
        </w:numPr>
      </w:pPr>
      <w:r>
        <w:rPr>
          <w:b/>
        </w:rPr>
        <w:t xml:space="preserve">Size of cactus individual</w:t>
      </w:r>
      <w:r>
        <w:t xml:space="preserve">: Large, medium, small as defined by equally-sized bins after the preliminary survey</w:t>
      </w:r>
    </w:p>
    <w:p>
      <w:pPr>
        <w:pStyle w:val="Heading2"/>
      </w:pPr>
      <w:bookmarkStart w:id="36" w:name="responses"/>
      <w:bookmarkEnd w:id="36"/>
      <w:r>
        <w:t xml:space="preserve">Responses</w:t>
      </w:r>
    </w:p>
    <w:p>
      <w:pPr>
        <w:pStyle w:val="Compact"/>
        <w:numPr>
          <w:numId w:val="1004"/>
          <w:ilvl w:val="0"/>
        </w:numPr>
      </w:pPr>
      <w:r>
        <w:t xml:space="preserve">Bird visitation rate</w:t>
      </w:r>
    </w:p>
    <w:p>
      <w:pPr>
        <w:pStyle w:val="Compact"/>
        <w:numPr>
          <w:numId w:val="1004"/>
          <w:ilvl w:val="0"/>
        </w:numPr>
      </w:pPr>
      <w:r>
        <w:t xml:space="preserve">Bird species richness and diversity per cactus</w:t>
      </w:r>
    </w:p>
    <w:p>
      <w:pPr>
        <w:pStyle w:val="Compact"/>
        <w:numPr>
          <w:numId w:val="1004"/>
          <w:ilvl w:val="0"/>
        </w:numPr>
      </w:pPr>
      <w:r>
        <w:t xml:space="preserve">Proportion of frugivous birds present relative to non frugivorous birds</w:t>
      </w:r>
    </w:p>
    <w:p>
      <w:pPr>
        <w:pStyle w:val="Compact"/>
        <w:numPr>
          <w:numId w:val="1004"/>
          <w:ilvl w:val="0"/>
        </w:numPr>
      </w:pPr>
      <w:r>
        <w:t xml:space="preserve">Mass of individual fruits/seeds</w:t>
      </w:r>
    </w:p>
    <w:p>
      <w:pPr>
        <w:pStyle w:val="Compact"/>
        <w:numPr>
          <w:numId w:val="1004"/>
          <w:ilvl w:val="0"/>
        </w:numPr>
      </w:pPr>
      <w:r>
        <w:t xml:space="preserve">Number of seeds per fruit</w:t>
      </w:r>
    </w:p>
    <w:p>
      <w:pPr>
        <w:pStyle w:val="Compact"/>
        <w:numPr>
          <w:numId w:val="1004"/>
          <w:ilvl w:val="0"/>
        </w:numPr>
      </w:pPr>
      <w:r>
        <w:t xml:space="preserve">Number of fruits/flowers per cactus</w:t>
      </w:r>
    </w:p>
    <w:p>
      <w:pPr>
        <w:pStyle w:val="Compact"/>
        <w:numPr>
          <w:numId w:val="1004"/>
          <w:ilvl w:val="0"/>
        </w:numPr>
      </w:pPr>
      <w:r>
        <w:t xml:space="preserve">Number of cactus branches</w:t>
      </w:r>
    </w:p>
    <w:p>
      <w:pPr>
        <w:pStyle w:val="Heading2"/>
      </w:pPr>
      <w:bookmarkStart w:id="37" w:name="methods-and-experimental-design"/>
      <w:bookmarkEnd w:id="37"/>
      <w:r>
        <w:t xml:space="preserve">Methods and Experimental Design</w:t>
      </w:r>
    </w:p>
    <w:p>
      <w:pPr>
        <w:pStyle w:val="Heading3"/>
      </w:pPr>
      <w:bookmarkStart w:id="38" w:name="site-specific-metrics"/>
      <w:bookmarkEnd w:id="38"/>
      <w:r>
        <w:t xml:space="preserve">Site specific metrics</w:t>
      </w:r>
    </w:p>
    <w:p>
      <w:pPr>
        <w:pStyle w:val="FirstParagraph"/>
      </w:pPr>
      <w:r>
        <w:t xml:space="preserve">A preliminary survey of 100 individuals for each study species will be done at the start of the growing season in 2019. The individuals will be selected using a random number generator corresponding to individuals on transects. The size of cacti will be measured including height, dbh, and total number of branches.</w:t>
      </w:r>
      <w:r>
        <w:t xml:space="preserve"> </w:t>
      </w:r>
      <w:r>
        <w:rPr>
          <w:i/>
        </w:rPr>
        <w:t xml:space="preserve">Opuntia basilaris</w:t>
      </w:r>
      <w:r>
        <w:t xml:space="preserve"> </w:t>
      </w:r>
      <w:r>
        <w:t xml:space="preserve">and</w:t>
      </w:r>
      <w:r>
        <w:t xml:space="preserve"> </w:t>
      </w:r>
      <w:r>
        <w:rPr>
          <w:i/>
        </w:rPr>
        <w:t xml:space="preserve">Cylindropuntia anthrocarpa</w:t>
      </w:r>
      <w:r>
        <w:t xml:space="preserve"> </w:t>
      </w:r>
      <w:r>
        <w:t xml:space="preserve">are found in the SGMDRC. On each transect, the total density of all cacti species will also be recorded using a distance to nearest neighbor point measure in a line transect</w:t>
      </w:r>
      <w:r>
        <w:t xml:space="preserve"> </w:t>
      </w:r>
      <w:r>
        <w:t xml:space="preserve">(Krebs 2014)</w:t>
      </w:r>
      <w:r>
        <w:t xml:space="preserve">. Transects are 100m long, starting from a randomly generated point, with a point of measurement being every 5m. There will be 6 replications of transects. Upon further collaboration with GIS and remote sensing experts, we will use satellite imagery or ground-based LiDAR to perform site-wide diversity/density measurements. The preliminary week is to ensure my sample size and time frame are reasonable, should any components of the experimental design require revision.</w:t>
      </w:r>
    </w:p>
    <w:p>
      <w:pPr>
        <w:pStyle w:val="BodyText"/>
      </w:pPr>
      <w:r>
        <w:t xml:space="preserve">In addition to surveying cactus density and diversity, we will also conduct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9" w:name="flowering-experiment"/>
      <w:bookmarkEnd w:id="39"/>
      <w:r>
        <w:t xml:space="preserve">Flowering Experiment</w:t>
      </w:r>
    </w:p>
    <w:p>
      <w:pPr>
        <w:pStyle w:val="FirstParagraph"/>
      </w:pPr>
      <w:r>
        <w:t xml:space="preserve">Pending the exploratory week, we will return in April/May during the flowering season to observe pollinating birds interactions with 300 cactus individuals (10 replications per characteristic combination). The cacti will have different levels of manipulated</w:t>
      </w:r>
      <w:r>
        <w:t xml:space="preserve"> </w:t>
      </w:r>
      <w:r>
        <w:t xml:space="preserve">“</w:t>
      </w:r>
      <w:r>
        <w:t xml:space="preserve">showiness</w:t>
      </w:r>
      <w:r>
        <w:t xml:space="preserve">”</w:t>
      </w:r>
      <w:r>
        <w:t xml:space="preserve"> </w:t>
      </w:r>
      <w:r>
        <w:t xml:space="preserve">(0%, 25%, 50%, 75%, 100% percent of flowers) of the 3 size classes and 2 species. We will snip X% of buds off the cactus, but also record the number of blooming flowers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(120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40" w:name="fruiting-experiment"/>
      <w:bookmarkEnd w:id="40"/>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300 cacti will be a part of the study. We will remove 0%, 25%, 50%, 75%,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a camera trap at an individual sample cactus for all combinations of variables &gt;5m away from the cactus (30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(120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pPr>
        <w:pStyle w:val="Heading2"/>
      </w:pPr>
      <w:bookmarkStart w:id="41" w:name="paired-flower-and-fruit-observations"/>
      <w:bookmarkEnd w:id="41"/>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(40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2" w:name="chapter-3-avian-pollination-and-seed-dispersal-influence-on-seed-shadow-of-cactaceae-obligate-protege-plants"/>
      <w:bookmarkEnd w:id="42"/>
      <w:r>
        <w:t xml:space="preserve">Chapter 3: Avian pollination and seed dispersal influence on seed shadow of Cactaceae obligate protege plants</w:t>
      </w:r>
    </w:p>
    <w:p>
      <w:pPr>
        <w:pStyle w:val="Heading2"/>
      </w:pPr>
      <w:bookmarkStart w:id="43" w:name="purpose-2"/>
      <w:bookmarkEnd w:id="43"/>
      <w:r>
        <w:t xml:space="preserve">Purpose</w:t>
      </w:r>
    </w:p>
    <w:p>
      <w:pPr>
        <w:pStyle w:val="FirstParagraph"/>
      </w:pPr>
      <w:r>
        <w:t xml:space="preserve">This chapter will test the importance of birds as seed dispersers for cacti which are, at different life stages, beneficiaries and benefactors of facilitating plants and animals respectively. Specifically, the Saguaro cactus. This chapter has the same methods as Chapter 2.</w:t>
      </w:r>
    </w:p>
    <w:p>
      <w:pPr>
        <w:pStyle w:val="Heading2"/>
      </w:pPr>
      <w:bookmarkStart w:id="44" w:name="research-questions-2"/>
      <w:bookmarkEnd w:id="44"/>
      <w:r>
        <w:t xml:space="preserve">Research Questions</w:t>
      </w:r>
    </w:p>
    <w:p>
      <w:pPr>
        <w:pStyle w:val="Compact"/>
        <w:numPr>
          <w:numId w:val="1005"/>
          <w:ilvl w:val="0"/>
        </w:numPr>
      </w:pPr>
      <w:r>
        <w:t xml:space="preserve">Are pollinating/frugivorous birds stronger interactors for larger cacti?</w:t>
      </w:r>
    </w:p>
    <w:p>
      <w:pPr>
        <w:pStyle w:val="Compact"/>
        <w:numPr>
          <w:numId w:val="1005"/>
          <w:ilvl w:val="0"/>
        </w:numPr>
      </w:pPr>
      <w:r>
        <w:t xml:space="preserve">Is cactus size an indicator for fruit mass/abundance? For flower abundance?</w:t>
      </w:r>
    </w:p>
    <w:p>
      <w:pPr>
        <w:pStyle w:val="Compact"/>
        <w:numPr>
          <w:numId w:val="1005"/>
          <w:ilvl w:val="0"/>
        </w:numPr>
      </w:pPr>
      <w:r>
        <w:t xml:space="preserve">Is there a relationship between seed size, seed abundance, fruit size, fruit abundance, and cactus size?</w:t>
      </w:r>
    </w:p>
    <w:p>
      <w:pPr>
        <w:pStyle w:val="Heading2"/>
      </w:pPr>
      <w:bookmarkStart w:id="45" w:name="hypotheses"/>
      <w:bookmarkEnd w:id="45"/>
      <w:r>
        <w:t xml:space="preserve">Hypotheses</w:t>
      </w:r>
    </w:p>
    <w:p>
      <w:pPr>
        <w:pStyle w:val="FirstParagraph"/>
      </w:pPr>
      <w:r>
        <w:t xml:space="preserve">Positive interactions between birds and cacti are the limiting factor in cacti distribution to the canopy of a benefactor shrub, with plant size and allocation being a determining factor in interaction strength.</w:t>
      </w:r>
      <w:r>
        <w:t xml:space="preserve"> </w:t>
      </w:r>
      <w:r>
        <w:t xml:space="preserve">Predictions</w:t>
      </w:r>
      <w:r>
        <w:t xml:space="preserve"> </w:t>
      </w:r>
      <w:r>
        <w:t xml:space="preserve">a. Bird visitation rates for pollination and frugivory are positively related to cacti size and floral display.</w:t>
      </w:r>
      <w:r>
        <w:t xml:space="preserve"> </w:t>
      </w:r>
      <w:r>
        <w:t xml:space="preserve">b. The bird-cacti relationship is species specific (both for bird and cacti species).</w:t>
      </w:r>
    </w:p>
    <w:p>
      <w:pPr>
        <w:pStyle w:val="Heading2"/>
      </w:pPr>
      <w:bookmarkStart w:id="46" w:name="factors-1"/>
      <w:bookmarkEnd w:id="46"/>
      <w:r>
        <w:t xml:space="preserve">Factors</w:t>
      </w:r>
    </w:p>
    <w:p>
      <w:pPr>
        <w:pStyle w:val="Compact"/>
        <w:numPr>
          <w:numId w:val="1006"/>
          <w:ilvl w:val="0"/>
        </w:numPr>
      </w:pPr>
      <w:r>
        <w:rPr>
          <w:b/>
        </w:rPr>
        <w:t xml:space="preserve">Percentage of fruit on cactus</w:t>
      </w:r>
      <w:r>
        <w:t xml:space="preserve">: 0%, 25%, 50%, 75%, 100%</w:t>
      </w:r>
    </w:p>
    <w:p>
      <w:pPr>
        <w:pStyle w:val="Compact"/>
        <w:numPr>
          <w:numId w:val="1006"/>
          <w:ilvl w:val="0"/>
        </w:numPr>
      </w:pPr>
      <w:r>
        <w:rPr>
          <w:i/>
        </w:rPr>
        <w:t xml:space="preserve">0% fruit on cactus is the negative control, 100% fruit on cactus is positive control for fruit abundance</w:t>
      </w:r>
    </w:p>
    <w:p>
      <w:pPr>
        <w:pStyle w:val="Compact"/>
        <w:numPr>
          <w:numId w:val="1006"/>
          <w:ilvl w:val="0"/>
        </w:numPr>
      </w:pPr>
      <w:r>
        <w:rPr>
          <w:b/>
        </w:rPr>
        <w:t xml:space="preserve">Size of cactus individual</w:t>
      </w:r>
      <w:r>
        <w:t xml:space="preserve">: Large, medium, small</w:t>
      </w:r>
    </w:p>
    <w:p>
      <w:pPr>
        <w:pStyle w:val="Heading2"/>
      </w:pPr>
      <w:bookmarkStart w:id="47" w:name="response"/>
      <w:bookmarkEnd w:id="47"/>
      <w:r>
        <w:t xml:space="preserve">Response</w:t>
      </w:r>
    </w:p>
    <w:p>
      <w:pPr>
        <w:pStyle w:val="Compact"/>
        <w:numPr>
          <w:numId w:val="1007"/>
          <w:ilvl w:val="0"/>
        </w:numPr>
      </w:pPr>
      <w:r>
        <w:t xml:space="preserve">Mass of individual fruits/seeds</w:t>
      </w:r>
    </w:p>
    <w:p>
      <w:pPr>
        <w:pStyle w:val="Compact"/>
        <w:numPr>
          <w:numId w:val="1007"/>
          <w:ilvl w:val="0"/>
        </w:numPr>
      </w:pPr>
      <w:r>
        <w:t xml:space="preserve">Number of flowers/fruits per cactus</w:t>
      </w:r>
    </w:p>
    <w:p>
      <w:pPr>
        <w:pStyle w:val="Compact"/>
        <w:numPr>
          <w:numId w:val="1007"/>
          <w:ilvl w:val="0"/>
        </w:numPr>
      </w:pPr>
      <w:r>
        <w:t xml:space="preserve">Number of seeds per fruit</w:t>
      </w:r>
    </w:p>
    <w:p>
      <w:pPr>
        <w:pStyle w:val="Compact"/>
        <w:numPr>
          <w:numId w:val="1007"/>
          <w:ilvl w:val="0"/>
        </w:numPr>
      </w:pPr>
      <w:r>
        <w:t xml:space="preserve">Bird visitation rate</w:t>
      </w:r>
    </w:p>
    <w:p>
      <w:pPr>
        <w:pStyle w:val="Compact"/>
        <w:numPr>
          <w:numId w:val="1007"/>
          <w:ilvl w:val="0"/>
        </w:numPr>
      </w:pPr>
      <w:r>
        <w:t xml:space="preserve">Species richness and diversity per cactus</w:t>
      </w:r>
    </w:p>
    <w:p>
      <w:pPr>
        <w:pStyle w:val="Compact"/>
        <w:numPr>
          <w:numId w:val="1007"/>
          <w:ilvl w:val="0"/>
        </w:numPr>
      </w:pPr>
      <w:r>
        <w:t xml:space="preserve">Proportion of frugivous birds present relative to non frugivorous birds</w:t>
      </w:r>
    </w:p>
    <w:p>
      <w:pPr>
        <w:pStyle w:val="Heading2"/>
      </w:pPr>
      <w:bookmarkStart w:id="48" w:name="methods"/>
      <w:bookmarkEnd w:id="48"/>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Heading1"/>
      </w:pPr>
      <w:bookmarkStart w:id="49" w:name="future-work"/>
      <w:bookmarkEnd w:id="49"/>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benefactor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50" w:name="references"/>
      <w:bookmarkEnd w:id="50"/>
      <w:r>
        <w:t xml:space="preserve">References</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51">
        <w:r>
          <w:rPr>
            <w:rStyle w:val="Hyperlink"/>
          </w:rPr>
          <w:t xml:space="preserve">10.1111/oik.04774</w:t>
        </w:r>
      </w:hyperlink>
      <w:r>
        <w:t xml:space="preserve">.</w:t>
      </w:r>
    </w:p>
    <w:p>
      <w:pPr>
        <w:pStyle w:val="Bibliography"/>
      </w:pPr>
      <w:r>
        <w:t xml:space="preserve">Andre, J.M.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2">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53">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4">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55">
        <w:r>
          <w:rPr>
            <w:rStyle w:val="Hyperlink"/>
          </w:rPr>
          <w:t xml:space="preserve">10.1111/j.1365-2745.2009.01566.x</w:t>
        </w:r>
      </w:hyperlink>
      <w:r>
        <w:t xml:space="preserve">.</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Charnov, Eric. 1976. “Optimal foraging : The marginal value theorem.”</w:t>
      </w:r>
      <w:r>
        <w:t xml:space="preserve"> </w:t>
      </w:r>
      <w:r>
        <w:rPr>
          <w:i/>
        </w:rPr>
        <w:t xml:space="preserve">Theoretical Population Biology</w:t>
      </w:r>
      <w:r>
        <w:t xml:space="preserve"> </w:t>
      </w:r>
      <w:r>
        <w:t xml:space="preserve">9 (2): 129–36.</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6">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7">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8">
        <w:r>
          <w:rPr>
            <w:rStyle w:val="Hyperlink"/>
          </w:rPr>
          <w:t xml:space="preserve">10.3159/09-RA-069R1.1</w:t>
        </w:r>
      </w:hyperlink>
      <w:r>
        <w:t xml:space="preserve">.</w:t>
      </w:r>
    </w:p>
    <w:p>
      <w:pPr>
        <w:pStyle w:val="Bibliography"/>
      </w:pPr>
      <w:r>
        <w:t xml:space="preserve">———.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9">
        <w:r>
          <w:rPr>
            <w:rStyle w:val="Hyperlink"/>
          </w:rPr>
          <w:t xml:space="preserve">10.1007/s11258-014-0326-y</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 doi:</w:t>
      </w:r>
      <w:hyperlink r:id="rId60">
        <w:r>
          <w:rPr>
            <w:rStyle w:val="Hyperlink"/>
          </w:rPr>
          <w:t xml:space="preserve">10.17129/botsci.1022</w:t>
        </w:r>
      </w:hyperlink>
      <w:r>
        <w:t xml:space="preserve">.</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Garcia, Maria B., Xavier Espadaler, and Jens M. Olesen. 2012. “Extreme Reproduction and Survival of a True Cliffhanger : The Endangered Plant Borderea chouardii.”</w:t>
      </w:r>
      <w:r>
        <w:t xml:space="preserve"> </w:t>
      </w:r>
      <w:r>
        <w:rPr>
          <w:i/>
        </w:rPr>
        <w:t xml:space="preserve">PLOS One</w:t>
      </w:r>
      <w:r>
        <w:t xml:space="preserve"> </w:t>
      </w:r>
      <w:r>
        <w:t xml:space="preserve">7 (9): 1–7. doi:</w:t>
      </w:r>
      <w:hyperlink r:id="rId61">
        <w:r>
          <w:rPr>
            <w:rStyle w:val="Hyperlink"/>
          </w:rPr>
          <w:t xml:space="preserve">10.1371/journal.pone.0044657</w:t>
        </w:r>
      </w:hyperlink>
      <w:r>
        <w:t xml:space="preserve">.</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62">
        <w:r>
          <w:rPr>
            <w:rStyle w:val="Hyperlink"/>
          </w:rPr>
          <w:t xml:space="preserve">10.1111/mec.14351</w:t>
        </w:r>
      </w:hyperlink>
      <w:r>
        <w:t xml:space="preserve">.</w:t>
      </w:r>
    </w:p>
    <w:p>
      <w:pPr>
        <w:pStyle w:val="Bibliography"/>
      </w:pPr>
      <w:r>
        <w:t xml:space="preserve">Gomes, VGN, ZGM Quirino, and HFP Araujo. 2014. “Frugivory and seed dispersal by birds in Cereus jamacaru DC. ssp. jamacaru (Cactaceae) in the Caatinga of Northeastern Brazil.”</w:t>
      </w:r>
      <w:r>
        <w:t xml:space="preserve"> </w:t>
      </w:r>
      <w:r>
        <w:rPr>
          <w:i/>
        </w:rPr>
        <w:t xml:space="preserve">Brazilian Journal of Biology</w:t>
      </w:r>
      <w:r>
        <w:t xml:space="preserve"> </w:t>
      </w:r>
      <w:r>
        <w:t xml:space="preserve">74 (1): 32–40. doi:</w:t>
      </w:r>
      <w:hyperlink r:id="rId63">
        <w:r>
          <w:rPr>
            <w:rStyle w:val="Hyperlink"/>
          </w:rPr>
          <w:t xml:space="preserve">10.1590/1519-6984.15312</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64">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65">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66">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67">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8">
        <w:r>
          <w:rPr>
            <w:rStyle w:val="Hyperlink"/>
          </w:rPr>
          <w:t xml:space="preserve">10.1016/j.rser.2013.08.041</w:t>
        </w:r>
      </w:hyperlink>
      <w:r>
        <w:t xml:space="preserve">.</w:t>
      </w:r>
    </w:p>
    <w:p>
      <w:pPr>
        <w:pStyle w:val="Bibliography"/>
      </w:pPr>
      <w:r>
        <w:t xml:space="preserve">Kelly, Dave, Jenny J Ladley, Alastair W Robertson, and Jenny J Ladley. 2004. “Is dispersal easier than pollination ? Two tests in New Zealand Loranthaceae.”</w:t>
      </w:r>
      <w:r>
        <w:t xml:space="preserve"> </w:t>
      </w:r>
      <w:r>
        <w:rPr>
          <w:i/>
        </w:rPr>
        <w:t xml:space="preserve">New Zealand Journal of Botany</w:t>
      </w:r>
      <w:r>
        <w:t xml:space="preserve"> </w:t>
      </w:r>
      <w:r>
        <w:t xml:space="preserve">42: 89–103. doi:</w:t>
      </w:r>
      <w:hyperlink r:id="rId69">
        <w:r>
          <w:rPr>
            <w:rStyle w:val="Hyperlink"/>
          </w:rPr>
          <w:t xml:space="preserve">10.1080/0028825X.2004.9512892</w:t>
        </w:r>
      </w:hyperlink>
      <w:r>
        <w:t xml:space="preserve">.</w:t>
      </w:r>
    </w:p>
    <w:p>
      <w:pPr>
        <w:pStyle w:val="Bibliography"/>
      </w:pPr>
      <w:r>
        <w:t xml:space="preserve">Krebs, Charles J. 2014.</w:t>
      </w:r>
      <w:r>
        <w:t xml:space="preserve"> </w:t>
      </w:r>
      <w:r>
        <w:rPr>
          <w:i/>
        </w:rPr>
        <w:t xml:space="preserve">Ecological Methodology</w:t>
      </w:r>
      <w:r>
        <w:t xml:space="preserve">. 2nd ed. Addison Wesley Longman, Inc. doi:</w:t>
      </w:r>
      <w:hyperlink r:id="rId70">
        <w:r>
          <w:rPr>
            <w:rStyle w:val="Hyperlink"/>
          </w:rPr>
          <w:t xml:space="preserve">10.1109/NANO.2014.6968124</w:t>
        </w:r>
      </w:hyperlink>
      <w:r>
        <w:t xml:space="preserve">.</w:t>
      </w:r>
    </w:p>
    <w:p>
      <w:pPr>
        <w:pStyle w:val="Bibliography"/>
      </w:pPr>
      <w:r>
        <w:t xml:space="preserve">Ladley, Jenny J, and Dave Kelly. 1996. “DISPERSAL , GERMINATION AND SURVIVAL OF NEW ZEALAND MISTLETOES ( LORANTHACEAE ): DEPENDENCE.”</w:t>
      </w:r>
      <w:r>
        <w:t xml:space="preserve"> </w:t>
      </w:r>
      <w:r>
        <w:rPr>
          <w:i/>
        </w:rPr>
        <w:t xml:space="preserve">New Zealand Journal of Ecology</w:t>
      </w:r>
      <w:r>
        <w:t xml:space="preserve"> </w:t>
      </w:r>
      <w:r>
        <w:t xml:space="preserve">20 (1): 69–79.</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71">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72">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73">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143 (5): 870–89.</w:t>
      </w:r>
    </w:p>
    <w:p>
      <w:pPr>
        <w:pStyle w:val="Bibliography"/>
      </w:pPr>
      <w:r>
        <w:t xml:space="preserve">Moher, David, Alessandro Liberati, Jennifer Tetzlaff, Douglas G Altman, and the PRISMA Group. 2009. “Preferred Reporting Items for Systematic Reviews and Meta-Analyses :”</w:t>
      </w:r>
      <w:r>
        <w:t xml:space="preserve"> </w:t>
      </w:r>
      <w:r>
        <w:rPr>
          <w:i/>
        </w:rPr>
        <w:t xml:space="preserve">Annals of Internal Medicine</w:t>
      </w:r>
      <w:r>
        <w:t xml:space="preserve"> </w:t>
      </w:r>
      <w:r>
        <w:t xml:space="preserve">151 (4): 264–69. doi:</w:t>
      </w:r>
      <w:hyperlink r:id="rId74">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75">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76">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 2002.</w:t>
      </w:r>
      <w:r>
        <w:t xml:space="preserve"> </w:t>
      </w:r>
      <w:r>
        <w:rPr>
          <w:i/>
        </w:rPr>
        <w:t xml:space="preserve">Cacti Biology and Uses</w:t>
      </w:r>
      <w:r>
        <w:t xml:space="preserve">. 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77">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78">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79">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80">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81">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82">
        <w:r>
          <w:rPr>
            <w:rStyle w:val="Hyperlink"/>
          </w:rPr>
          <w:t xml:space="preserve">10.1111/j.1365-2745.2011.01833.x</w:t>
        </w:r>
      </w:hyperlink>
      <w:r>
        <w:t xml:space="preserve">.</w:t>
      </w:r>
    </w:p>
    <w:p>
      <w:pPr>
        <w:pStyle w:val="Bibliography"/>
      </w:pPr>
      <w:r>
        <w:t xml:space="preserve">State of California Natural Resource Agency. 2018. “State and federally listed endangered and threatened animals of California.”</w:t>
      </w:r>
    </w:p>
    <w:p>
      <w:pPr>
        <w:pStyle w:val="Bibliography"/>
      </w:pPr>
      <w:r>
        <w:t xml:space="preserve">State of California Natural Resources Agency. 2018. “State and Federally Listed Endangered, Threatened, and Rare Plants of California.”</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83">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84">
        <w:r>
          <w:rPr>
            <w:rStyle w:val="Hyperlink"/>
          </w:rPr>
          <w:t xml:space="preserve">10.1007/s004420000614</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85">
        <w:r>
          <w:rPr>
            <w:rStyle w:val="Hyperlink"/>
          </w:rPr>
          <w:t xml:space="preserve">10.1079/9780851995250.0339</w:t>
        </w:r>
      </w:hyperlink>
      <w:r>
        <w:t xml:space="preserve">.</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86">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87">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88">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2014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e5d51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4b7b3c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d06f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81" Target="https://doi.org/10.1002/jgrd.50543" TargetMode="External" /><Relationship Type="http://schemas.openxmlformats.org/officeDocument/2006/relationships/hyperlink" Id="rId88" Target="https://doi.org/10.1007/BF00052229" TargetMode="External" /><Relationship Type="http://schemas.openxmlformats.org/officeDocument/2006/relationships/hyperlink" Id="rId87" Target="https://doi.org/10.1007/s00442-003-1448-4" TargetMode="External" /><Relationship Type="http://schemas.openxmlformats.org/officeDocument/2006/relationships/hyperlink" Id="rId84" Target="https://doi.org/10.1007/s004420000614" TargetMode="External" /><Relationship Type="http://schemas.openxmlformats.org/officeDocument/2006/relationships/hyperlink" Id="rId59"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7" Target="https://doi.org/10.1016/S0006-3207(02)00361-0" TargetMode="External" /><Relationship Type="http://schemas.openxmlformats.org/officeDocument/2006/relationships/hyperlink" Id="rId75" Target="https://doi.org/10.1016/S0169-5347(00)01874-7" TargetMode="External" /><Relationship Type="http://schemas.openxmlformats.org/officeDocument/2006/relationships/hyperlink" Id="rId65" Target="https://doi.org/10.1016/j.anbehav.2014.01.008" TargetMode="External" /><Relationship Type="http://schemas.openxmlformats.org/officeDocument/2006/relationships/hyperlink" Id="rId86" Target="https://doi.org/10.1016/j.apmr.2013.01.024" TargetMode="External" /><Relationship Type="http://schemas.openxmlformats.org/officeDocument/2006/relationships/hyperlink" Id="rId83" Target="https://doi.org/10.1016/j.ecoser.2017.07.017" TargetMode="External" /><Relationship Type="http://schemas.openxmlformats.org/officeDocument/2006/relationships/hyperlink" Id="rId68" Target="https://doi.org/10.1016/j.rser.2013.08.041" TargetMode="External" /><Relationship Type="http://schemas.openxmlformats.org/officeDocument/2006/relationships/hyperlink" Id="rId79" Target="https://doi.org/10.1038/nclimate3287" TargetMode="External" /><Relationship Type="http://schemas.openxmlformats.org/officeDocument/2006/relationships/hyperlink" Id="rId77" Target="https://doi.org/10.1078/1433-8319-00080" TargetMode="External" /><Relationship Type="http://schemas.openxmlformats.org/officeDocument/2006/relationships/hyperlink" Id="rId85" Target="https://doi.org/10.1079/9780851995250.0339" TargetMode="External" /><Relationship Type="http://schemas.openxmlformats.org/officeDocument/2006/relationships/hyperlink" Id="rId69" Target="https://doi.org/10.1080/0028825X.2004.9512892" TargetMode="External" /><Relationship Type="http://schemas.openxmlformats.org/officeDocument/2006/relationships/hyperlink" Id="rId78" Target="https://doi.org/10.1080/02723646.1989.10642386" TargetMode="External" /><Relationship Type="http://schemas.openxmlformats.org/officeDocument/2006/relationships/hyperlink" Id="rId73" Target="https://doi.org/10.1093/aob/mcs255" TargetMode="External" /><Relationship Type="http://schemas.openxmlformats.org/officeDocument/2006/relationships/hyperlink" Id="rId70" Target="https://doi.org/10.1109/NANO.2014.6968124" TargetMode="External" /><Relationship Type="http://schemas.openxmlformats.org/officeDocument/2006/relationships/hyperlink" Id="rId57" Target="https://doi.org/10.1111/0033-0124.5504008" TargetMode="External" /><Relationship Type="http://schemas.openxmlformats.org/officeDocument/2006/relationships/hyperlink" Id="rId71"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6" Target="https://doi.org/10.1111/gcb.12789" TargetMode="External" /><Relationship Type="http://schemas.openxmlformats.org/officeDocument/2006/relationships/hyperlink" Id="rId72"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82" Target="https://doi.org/10.1111/j.1365-2745.2011.01833.x" TargetMode="External" /><Relationship Type="http://schemas.openxmlformats.org/officeDocument/2006/relationships/hyperlink" Id="rId80" Target="https://doi.org/10.1111/j.1472-4642.2007.00387.x" TargetMode="External" /><Relationship Type="http://schemas.openxmlformats.org/officeDocument/2006/relationships/hyperlink" Id="rId66" Target="https://doi.org/10.1111/jofo.12096" TargetMode="External" /><Relationship Type="http://schemas.openxmlformats.org/officeDocument/2006/relationships/hyperlink" Id="rId62"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4" Target="https://doi.org/10.1371/journal.pmed1000097" TargetMode="External" /><Relationship Type="http://schemas.openxmlformats.org/officeDocument/2006/relationships/hyperlink" Id="rId61" Target="https://doi.org/10.1371/journal.pone.0044657" TargetMode="External" /><Relationship Type="http://schemas.openxmlformats.org/officeDocument/2006/relationships/hyperlink" Id="rId52" Target="https://doi.org/10.1525/bio.2011.61.10.8" TargetMode="External" /><Relationship Type="http://schemas.openxmlformats.org/officeDocument/2006/relationships/hyperlink" Id="rId63" Target="https://doi.org/10.1590/1519-6984.15312" TargetMode="External" /><Relationship Type="http://schemas.openxmlformats.org/officeDocument/2006/relationships/hyperlink" Id="rId60" Target="https://doi.org/10.17129/botsci.1022" TargetMode="External" /><Relationship Type="http://schemas.openxmlformats.org/officeDocument/2006/relationships/hyperlink" Id="rId58" Target="https://doi.org/10.3159/09-RA-069R1.1" TargetMode="External" /><Relationship Type="http://schemas.openxmlformats.org/officeDocument/2006/relationships/hyperlink" Id="rId64"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81" Target="https://doi.org/10.1002/jgrd.50543" TargetMode="External" /><Relationship Type="http://schemas.openxmlformats.org/officeDocument/2006/relationships/hyperlink" Id="rId88" Target="https://doi.org/10.1007/BF00052229" TargetMode="External" /><Relationship Type="http://schemas.openxmlformats.org/officeDocument/2006/relationships/hyperlink" Id="rId87" Target="https://doi.org/10.1007/s00442-003-1448-4" TargetMode="External" /><Relationship Type="http://schemas.openxmlformats.org/officeDocument/2006/relationships/hyperlink" Id="rId84" Target="https://doi.org/10.1007/s004420000614" TargetMode="External" /><Relationship Type="http://schemas.openxmlformats.org/officeDocument/2006/relationships/hyperlink" Id="rId59"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7" Target="https://doi.org/10.1016/S0006-3207(02)00361-0" TargetMode="External" /><Relationship Type="http://schemas.openxmlformats.org/officeDocument/2006/relationships/hyperlink" Id="rId75" Target="https://doi.org/10.1016/S0169-5347(00)01874-7" TargetMode="External" /><Relationship Type="http://schemas.openxmlformats.org/officeDocument/2006/relationships/hyperlink" Id="rId65" Target="https://doi.org/10.1016/j.anbehav.2014.01.008" TargetMode="External" /><Relationship Type="http://schemas.openxmlformats.org/officeDocument/2006/relationships/hyperlink" Id="rId86" Target="https://doi.org/10.1016/j.apmr.2013.01.024" TargetMode="External" /><Relationship Type="http://schemas.openxmlformats.org/officeDocument/2006/relationships/hyperlink" Id="rId83" Target="https://doi.org/10.1016/j.ecoser.2017.07.017" TargetMode="External" /><Relationship Type="http://schemas.openxmlformats.org/officeDocument/2006/relationships/hyperlink" Id="rId68" Target="https://doi.org/10.1016/j.rser.2013.08.041" TargetMode="External" /><Relationship Type="http://schemas.openxmlformats.org/officeDocument/2006/relationships/hyperlink" Id="rId79" Target="https://doi.org/10.1038/nclimate3287" TargetMode="External" /><Relationship Type="http://schemas.openxmlformats.org/officeDocument/2006/relationships/hyperlink" Id="rId77" Target="https://doi.org/10.1078/1433-8319-00080" TargetMode="External" /><Relationship Type="http://schemas.openxmlformats.org/officeDocument/2006/relationships/hyperlink" Id="rId85" Target="https://doi.org/10.1079/9780851995250.0339" TargetMode="External" /><Relationship Type="http://schemas.openxmlformats.org/officeDocument/2006/relationships/hyperlink" Id="rId69" Target="https://doi.org/10.1080/0028825X.2004.9512892" TargetMode="External" /><Relationship Type="http://schemas.openxmlformats.org/officeDocument/2006/relationships/hyperlink" Id="rId78" Target="https://doi.org/10.1080/02723646.1989.10642386" TargetMode="External" /><Relationship Type="http://schemas.openxmlformats.org/officeDocument/2006/relationships/hyperlink" Id="rId73" Target="https://doi.org/10.1093/aob/mcs255" TargetMode="External" /><Relationship Type="http://schemas.openxmlformats.org/officeDocument/2006/relationships/hyperlink" Id="rId70" Target="https://doi.org/10.1109/NANO.2014.6968124" TargetMode="External" /><Relationship Type="http://schemas.openxmlformats.org/officeDocument/2006/relationships/hyperlink" Id="rId57" Target="https://doi.org/10.1111/0033-0124.5504008" TargetMode="External" /><Relationship Type="http://schemas.openxmlformats.org/officeDocument/2006/relationships/hyperlink" Id="rId71"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6" Target="https://doi.org/10.1111/gcb.12789" TargetMode="External" /><Relationship Type="http://schemas.openxmlformats.org/officeDocument/2006/relationships/hyperlink" Id="rId72"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82" Target="https://doi.org/10.1111/j.1365-2745.2011.01833.x" TargetMode="External" /><Relationship Type="http://schemas.openxmlformats.org/officeDocument/2006/relationships/hyperlink" Id="rId80" Target="https://doi.org/10.1111/j.1472-4642.2007.00387.x" TargetMode="External" /><Relationship Type="http://schemas.openxmlformats.org/officeDocument/2006/relationships/hyperlink" Id="rId66" Target="https://doi.org/10.1111/jofo.12096" TargetMode="External" /><Relationship Type="http://schemas.openxmlformats.org/officeDocument/2006/relationships/hyperlink" Id="rId62"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4" Target="https://doi.org/10.1371/journal.pmed1000097" TargetMode="External" /><Relationship Type="http://schemas.openxmlformats.org/officeDocument/2006/relationships/hyperlink" Id="rId61" Target="https://doi.org/10.1371/journal.pone.0044657" TargetMode="External" /><Relationship Type="http://schemas.openxmlformats.org/officeDocument/2006/relationships/hyperlink" Id="rId52" Target="https://doi.org/10.1525/bio.2011.61.10.8" TargetMode="External" /><Relationship Type="http://schemas.openxmlformats.org/officeDocument/2006/relationships/hyperlink" Id="rId63" Target="https://doi.org/10.1590/1519-6984.15312" TargetMode="External" /><Relationship Type="http://schemas.openxmlformats.org/officeDocument/2006/relationships/hyperlink" Id="rId60" Target="https://doi.org/10.17129/botsci.1022" TargetMode="External" /><Relationship Type="http://schemas.openxmlformats.org/officeDocument/2006/relationships/hyperlink" Id="rId58" Target="https://doi.org/10.3159/09-RA-069R1.1" TargetMode="External" /><Relationship Type="http://schemas.openxmlformats.org/officeDocument/2006/relationships/hyperlink" Id="rId64"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2018-12-03T19:26:59Z</dcterms:created>
  <dcterms:modified xsi:type="dcterms:W3CDTF">2018-12-03T19:26:59Z</dcterms:modified>
</cp:coreProperties>
</file>