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Fruitnig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Results of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w:t>
      </w:r>
      <w:r>
        <w:t xml:space="preserve">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dozens of endangered plants and animals</w:t>
      </w:r>
      <w:r>
        <w:t xml:space="preserve"> </w:t>
      </w:r>
      <w:r>
        <w:t xml:space="preserve">(StateofCaliforniaa 2018; StateofCaliforniaa 2018)</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which proliferate life in the desert.</w:t>
      </w:r>
    </w:p>
    <w:p>
      <w:pPr>
        <w:pStyle w:val="BodyText"/>
      </w:pPr>
      <w:r>
        <w:t xml:space="preserve">Positive interactions are any associative action between interspecifics where one species benefits another’s fitness in some capacity</w:t>
      </w:r>
      <w:r>
        <w:t xml:space="preserve"> </w:t>
      </w:r>
      <w:r>
        <w:t xml:space="preserve">(M. D. M. Bertness and Callaway 1994)</w:t>
      </w:r>
      <w:r>
        <w:t xml:space="preserve">. The further scientists determine the prevalence and strength of positive interactions in determining an ecosystem, the more communities are viewed as interconnected in a non-random way</w:t>
      </w:r>
      <w:r>
        <w:t xml:space="preserve"> </w:t>
      </w:r>
      <w:r>
        <w:t xml:space="preserve">(R. M. Callaway 1997)</w:t>
      </w:r>
      <w:r>
        <w:t xml:space="preserve">. Similarly, but perhaps in a more narrow sense, facilitation is the process by which a foundational species perpetuates the success of many other individuals within an ecosystem which interact with that foundational species, particularly in years of high stress</w:t>
      </w:r>
      <w:r>
        <w:t xml:space="preserve"> </w:t>
      </w:r>
      <w:r>
        <w:t xml:space="preserve">F. T. Maestre et al. (2009)</w:t>
      </w:r>
      <w:r>
        <w:t xml:space="preserve">]. This suggests that facilitation amongst plants and animals by foundational species are one of the driving forces behind an ecosystem’s development</w:t>
      </w:r>
      <w:r>
        <w:t xml:space="preserve"> </w:t>
      </w:r>
      <w:r>
        <w:t xml:space="preserve">(Angelini et al. 2011)</w:t>
      </w:r>
      <w:r>
        <w:t xml:space="preserve">. For this reason, identifying the mechanisms of facilitation is an avenue to understanding how certain ecosystems disperse and form.</w:t>
      </w:r>
    </w:p>
    <w:p>
      <w:pPr>
        <w:pStyle w:val="BodyText"/>
      </w:pPr>
      <w:r>
        <w:t xml:space="preserve">In arid ecosystems, this takes the form of providing water and shade from excessive solar radiation</w:t>
      </w:r>
      <w:r>
        <w:t xml:space="preserve"> </w:t>
      </w:r>
      <w:r>
        <w:t xml:space="preserve">(Flores-Torres and Galindo-Escamilla 2017; Miranda-Jacome, Montaña, and Fornoni 2013)</w:t>
      </w:r>
      <w:r>
        <w:t xml:space="preserve">, or, to a lesser extent, preventing physical damage from herbivory, wind, and freezing temperatures</w:t>
      </w:r>
      <w:r>
        <w:t xml:space="preserve"> </w:t>
      </w:r>
      <w:r>
        <w:t xml:space="preserve">(Gomez-Aparicio et al. 2008; Parker 1989; Tewksbury and Lloyd 2001; P. S. Nobel 1980)</w:t>
      </w:r>
      <w:r>
        <w:t xml:space="preserve">. Nurse plants provide these amenities to seedlings, and improve recruitment, germination, and growth in juvenile plants</w:t>
      </w:r>
      <w:r>
        <w:t xml:space="preserve"> </w:t>
      </w:r>
      <w:r>
        <w:t xml:space="preserve">(Franco and Nobel 2009)</w:t>
      </w:r>
      <w:r>
        <w:t xml:space="preserve">. This makes nurse plants important facilitators for many species. Some of these patient plants are even obligated to be deposited under the canopy of a nurse plant to germinate at all</w:t>
      </w:r>
      <w:r>
        <w:t xml:space="preserve"> </w:t>
      </w:r>
      <w:r>
        <w:t xml:space="preserve">(Taly D. Drezner and Garrity 2003; T. Dawn Drezner 2010)</w:t>
      </w:r>
      <w:r>
        <w:t xml:space="preserve">. Therefore, the nurse plant is a limiting factor in the growth of many plant species.</w:t>
      </w:r>
    </w:p>
    <w:p>
      <w:pPr>
        <w:pStyle w:val="BodyText"/>
      </w:pPr>
      <w:r>
        <w:t xml:space="preserve">However, before a nurse plant can</w:t>
      </w:r>
      <w:r>
        <w:t xml:space="preserve"> </w:t>
      </w:r>
      <w:r>
        <w:t xml:space="preserve">“</w:t>
      </w:r>
      <w:r>
        <w:t xml:space="preserve">offer its services</w:t>
      </w:r>
      <w:r>
        <w:t xml:space="preserve">”</w:t>
      </w:r>
      <w:r>
        <w:t xml:space="preserve"> </w:t>
      </w:r>
      <w:r>
        <w:t xml:space="preserve">to a germinating seedling, the seed must arrive under the canopy of a nurse plant.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nurse plant as well as the effect of the endozoochorous disperser’s gut on germination rate and success</w:t>
      </w:r>
      <w:r>
        <w:t xml:space="preserve"> </w:t>
      </w:r>
      <w:r>
        <w:t xml:space="preserve">(M. Verdu and Traveset 2004; A. Traveset, Riera, and Mas 2001; A. Traveset and Verdu 2002)</w:t>
      </w:r>
      <w:r>
        <w:t xml:space="preserve">. However, there is a gap in knowledge on the relative importance of dispersers, particularly in arid ecosystems and to the end of deposition at facilitating nurse plants.</w:t>
      </w:r>
    </w:p>
    <w:p>
      <w:pPr>
        <w:pStyle w:val="BodyText"/>
      </w:pPr>
      <w:r>
        <w:t xml:space="preserve">But what characteristics of a cacti might drive frugivory by birds? As allocation theory suggests, cacti have evolved to allocate energy and resources to anatomical features which best increase their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w:t>
      </w:r>
    </w:p>
    <w:p>
      <w:pPr>
        <w:pStyle w:val="BodyText"/>
      </w:pPr>
      <w:r>
        <w:t xml:space="preserve">Fruit and frugivory are not the only ways birds increase fitness of cacti. Fruiting is dependent on pollination, a service which birds (particularly hummingbirds) provide. According the the magnet species hypothesis, pollinators are drawn to</w:t>
      </w:r>
      <w:r>
        <w:t xml:space="preserve"> </w:t>
      </w:r>
      <w:r>
        <w:t xml:space="preserve">“</w:t>
      </w:r>
      <w:r>
        <w:t xml:space="preserve">showier</w:t>
      </w:r>
      <w:r>
        <w:t xml:space="preserve">”</w:t>
      </w:r>
      <w:r>
        <w:t xml:space="preserve"> </w:t>
      </w:r>
      <w:r>
        <w:t xml:space="preserve">flowering displays, thereby increasing hummingbird pollinator frequency in a physical space, which other cacti species benefit from</w:t>
      </w:r>
      <w:r>
        <w:t xml:space="preserve"> </w:t>
      </w:r>
      <w:r>
        <w:t xml:space="preserve">(Thomson 1978; Johnson et al. 2003; Wolf and Hainsworth 1990)</w:t>
      </w:r>
      <w:r>
        <w:t xml:space="preserve">. However, size (specifically height) of plants are another contributing factor to hummingbird pollinator visitation, as higher flowers are more likely to be seen by flying hummingbirds</w:t>
      </w:r>
      <w:r>
        <w:t xml:space="preserve"> </w:t>
      </w:r>
      <w:r>
        <w:t xml:space="preserve">(Wolf and Hainsworth 1990; Mitchell 1994)</w:t>
      </w:r>
      <w:r>
        <w:t xml:space="preserve">. If larger cacti have more flowers and produce more fruit, it may stand that pollinators are important for the cactus of interest to produce offspring.</w:t>
      </w:r>
    </w:p>
    <w:p>
      <w:pPr>
        <w:pStyle w:val="BodyText"/>
      </w:pPr>
      <w:r>
        <w:t xml:space="preserve">Member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facilitators and facilitatees, may rely heavily on positive interactions with birds in order to reproduce. In these studies, we will identify the strength of birds as pollinators and as seed dispersers for different species and reproductive characteristics of cacti. These findings will increase our understanding of the importance in community-level positive plant-animal interactions in determining an ecosystem’s biotic structure.</w:t>
      </w:r>
    </w:p>
    <w:p>
      <w:pPr>
        <w:pStyle w:val="Heading2"/>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A preservation with use exclusive to researchers, the Sweeney Granite Mountains Desert Research Center in the Mojave Desert (34.8056°N, 115.6639°W) is located in San Bernadino Country. It boasts a high species richness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Self identifying as the West Coast’s largest nonprofit preserve at 93,000 acres, the Wind Wolves Preserve (34.9943°N, 119.1854°W) is located within Kern County, CA. The site’s elevation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BodyText"/>
      </w:pPr>
      <w:r>
        <w:rPr>
          <w:b/>
        </w:rPr>
        <w:t xml:space="preserve">TBD Arizona Site</w:t>
      </w:r>
      <w:r>
        <w:t xml:space="preserve"> </w:t>
      </w:r>
      <w:r>
        <w:t xml:space="preserve">We must conduct a team expedition to find suitable sites in the Sonoran Desert, where the Saguaro Cactus (</w:t>
      </w:r>
      <w:r>
        <w:rPr>
          <w:i/>
        </w:rPr>
        <w:t xml:space="preserve">Carnegiea gigantea</w:t>
      </w:r>
      <w:r>
        <w:t xml:space="preserve">) is found.</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(P. Nobel 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(StateofCaliforniab 2018)</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nurse plants</w:t>
      </w:r>
      <w:r>
        <w:t xml:space="preserve"> </w:t>
      </w:r>
      <w:r>
        <w:t xml:space="preserve">(Taly Dawn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It will seek to synthesize reports on allocation theory.</w:t>
      </w:r>
    </w:p>
    <w:p>
      <w:pPr>
        <w:pStyle w:val="Heading2"/>
      </w:pPr>
      <w:bookmarkStart w:id="27" w:name="research-questions"/>
      <w:bookmarkEnd w:id="27"/>
      <w:r>
        <w:t xml:space="preserve">Research Questions</w:t>
      </w:r>
    </w:p>
    <w:p>
      <w:pPr>
        <w:pStyle w:val="Compact"/>
        <w:numPr>
          <w:numId w:val="1001"/>
          <w:ilvl w:val="0"/>
        </w:numPr>
      </w:pPr>
      <w:r>
        <w:t xml:space="preserve">Do larger cacti individuals within the same species produce more fruits and/or larger fruits?</w:t>
      </w:r>
    </w:p>
    <w:p>
      <w:pPr>
        <w:pStyle w:val="Compact"/>
        <w:numPr>
          <w:numId w:val="1001"/>
          <w:ilvl w:val="0"/>
        </w:numPr>
      </w:pPr>
      <w:r>
        <w:t xml:space="preserve">Do larger cacti individuals within the same species produce more seeds and/or larger seeds?</w:t>
      </w:r>
    </w:p>
    <w:p>
      <w:pPr>
        <w:pStyle w:val="Compact"/>
        <w:numPr>
          <w:numId w:val="1001"/>
          <w:ilvl w:val="0"/>
        </w:numPr>
      </w:pPr>
      <w:r>
        <w:t xml:space="preserve">Do larger fruits produce more seeds compared within the same species?</w:t>
      </w:r>
    </w:p>
    <w:p>
      <w:pPr>
        <w:pStyle w:val="Heading2"/>
      </w:pPr>
      <w:bookmarkStart w:id="28" w:name="strategy-of-the-systematic-review"/>
      <w:bookmarkEnd w:id="28"/>
      <w:r>
        <w:t xml:space="preserve">Strategy of the systematic review</w:t>
      </w:r>
    </w:p>
    <w:p>
      <w:pPr>
        <w:pStyle w:val="FirstParagraph"/>
      </w:pPr>
      <w:r>
        <w:t xml:space="preserve">Using combinations of search terms in Web of Science, I will perform a systematic review of fruiting cacti and their size, isolating the relevant studies as data points for a meta-analysis through a series of filtering mechanisms (Fig 1). The search terms include different combinations of:</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To be included in the meta-analysis,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include identifying papers as fitting requirements prefaced above, and then compiling the data points (regression and correlation coefficients). Finally, we will summarize the pooled results of the relevant papers.</w:t>
      </w:r>
    </w:p>
    <w:p>
      <w:pPr>
        <w:pStyle w:val="BodyText"/>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0" w:name="chapter-2-strength-of-birds-as-pollinators-and-seed-dispersers-in-cactaceae"/>
      <w:bookmarkEnd w:id="30"/>
      <w:r>
        <w:t xml:space="preserve">Chapter 2: Strength of birds as pollinators and seed dispersers in Cactaceae</w:t>
      </w:r>
    </w:p>
    <w:p>
      <w:pPr>
        <w:pStyle w:val="Heading2"/>
      </w:pPr>
      <w:bookmarkStart w:id="31" w:name="purpose-1"/>
      <w:bookmarkEnd w:id="31"/>
      <w:r>
        <w:t xml:space="preserve">Purpose</w:t>
      </w:r>
    </w:p>
    <w:p>
      <w:pPr>
        <w:pStyle w:val="FirstParagraph"/>
      </w:pPr>
      <w:r>
        <w:t xml:space="preserve">This chapter will test the strength of pollinating/frugivorous bird interactions to observed and experimentally manipulated characteristics with and between 3 cacti species.</w:t>
      </w:r>
    </w:p>
    <w:p>
      <w:pPr>
        <w:pStyle w:val="Heading2"/>
      </w:pPr>
      <w:bookmarkStart w:id="32" w:name="research-questions-1"/>
      <w:bookmarkEnd w:id="32"/>
      <w:r>
        <w:t xml:space="preserve">Research Questions</w:t>
      </w:r>
    </w:p>
    <w:p>
      <w:pPr>
        <w:pStyle w:val="Compact"/>
        <w:numPr>
          <w:numId w:val="1002"/>
          <w:ilvl w:val="0"/>
        </w:numPr>
      </w:pPr>
      <w:r>
        <w:t xml:space="preserve">Is cactus size an indicator for fruit mass/abundance? For flower abundance?</w:t>
      </w:r>
    </w:p>
    <w:p>
      <w:pPr>
        <w:pStyle w:val="Compact"/>
        <w:numPr>
          <w:numId w:val="1002"/>
          <w:ilvl w:val="0"/>
        </w:numPr>
      </w:pPr>
      <w:r>
        <w:t xml:space="preserve">Is there a positive relationship between number of seeds per fruit and fruit size in the cacti of interest?</w:t>
      </w:r>
    </w:p>
    <w:p>
      <w:pPr>
        <w:pStyle w:val="Compact"/>
        <w:numPr>
          <w:numId w:val="1002"/>
          <w:ilvl w:val="0"/>
        </w:numPr>
      </w:pPr>
      <w:r>
        <w:t xml:space="preserve">Are frugivorous birds stronger dispersers for larger cacti?</w:t>
      </w:r>
    </w:p>
    <w:p>
      <w:pPr>
        <w:pStyle w:val="Compact"/>
        <w:numPr>
          <w:numId w:val="1002"/>
          <w:ilvl w:val="0"/>
        </w:numPr>
      </w:pPr>
      <w:r>
        <w:t xml:space="preserve">Are pollinating birds (hummingbirds) optimally foraging at larger cacti?</w:t>
      </w:r>
    </w:p>
    <w:p>
      <w:pPr>
        <w:pStyle w:val="Heading2"/>
      </w:pPr>
      <w:bookmarkStart w:id="33" w:name="hypotheses-and-predictions"/>
      <w:bookmarkEnd w:id="33"/>
      <w:r>
        <w:t xml:space="preserve">Hypotheses and Predictions</w:t>
      </w:r>
    </w:p>
    <w:p>
      <w:pPr>
        <w:pStyle w:val="Compact"/>
        <w:numPr>
          <w:numId w:val="1003"/>
          <w:ilvl w:val="0"/>
        </w:numPr>
      </w:pPr>
      <w:r>
        <w:t xml:space="preserve">Cacti size and flower, fruit, and seed production are positively related.</w:t>
      </w:r>
      <w:r>
        <w:t xml:space="preserve"> </w:t>
      </w:r>
      <w:r>
        <w:t xml:space="preserve">Predictions:</w:t>
      </w:r>
    </w:p>
    <w:p>
      <w:pPr>
        <w:pStyle w:val="Compact"/>
        <w:numPr>
          <w:numId w:val="1004"/>
          <w:ilvl w:val="0"/>
        </w:numPr>
      </w:pPr>
      <w:r>
        <w:t xml:space="preserve">Larger cacti will produce more flowers, fruits, and seeds, as well as more massive fruits and seeds.</w:t>
      </w:r>
    </w:p>
    <w:p>
      <w:pPr>
        <w:pStyle w:val="Compact"/>
        <w:numPr>
          <w:numId w:val="1004"/>
          <w:ilvl w:val="0"/>
        </w:numPr>
      </w:pPr>
      <w:r>
        <w:t xml:space="preserve">This will be true within species, but not between species.</w:t>
      </w:r>
    </w:p>
    <w:p>
      <w:pPr>
        <w:pStyle w:val="Compact"/>
        <w:numPr>
          <w:numId w:val="1005"/>
          <w:ilvl w:val="0"/>
        </w:numPr>
      </w:pPr>
      <w:r>
        <w:t xml:space="preserve">Fruit mass and seed abundance are positively related.</w:t>
      </w:r>
    </w:p>
    <w:p>
      <w:pPr>
        <w:pStyle w:val="Compact"/>
        <w:numPr>
          <w:numId w:val="1006"/>
          <w:ilvl w:val="0"/>
        </w:numPr>
      </w:pPr>
      <w:r>
        <w:t xml:space="preserve">Larger individual fruits will have more seeds than smaller fruits.</w:t>
      </w:r>
    </w:p>
    <w:p>
      <w:pPr>
        <w:pStyle w:val="Compact"/>
        <w:numPr>
          <w:numId w:val="1007"/>
          <w:ilvl w:val="0"/>
        </w:numPr>
      </w:pPr>
      <w:r>
        <w:t xml:space="preserve">Frugivorous and pollinating birds optimally forage at cacti.</w:t>
      </w:r>
      <w:r>
        <w:t xml:space="preserve"> </w:t>
      </w:r>
      <w:r>
        <w:t xml:space="preserve">Predictions:</w:t>
      </w:r>
    </w:p>
    <w:p>
      <w:pPr>
        <w:pStyle w:val="Compact"/>
        <w:numPr>
          <w:numId w:val="1008"/>
          <w:ilvl w:val="0"/>
        </w:numPr>
      </w:pPr>
      <w:r>
        <w:t xml:space="preserve">Birds will more frequently pollinate larger cacti, which have more flowers.</w:t>
      </w:r>
    </w:p>
    <w:p>
      <w:pPr>
        <w:pStyle w:val="Compact"/>
        <w:numPr>
          <w:numId w:val="1008"/>
          <w:ilvl w:val="0"/>
        </w:numPr>
      </w:pPr>
      <w:r>
        <w:t xml:space="preserve">Birds will more frequently eat fruit at larger cacti, which have larger/more fruits.</w:t>
      </w:r>
    </w:p>
    <w:p>
      <w:pPr>
        <w:pStyle w:val="Heading2"/>
      </w:pPr>
      <w:bookmarkStart w:id="34" w:name="explanatory-variables"/>
      <w:bookmarkEnd w:id="34"/>
      <w:r>
        <w:t xml:space="preserve">Explanatory Variables</w:t>
      </w:r>
    </w:p>
    <w:p>
      <w:pPr>
        <w:pStyle w:val="Compact"/>
        <w:numPr>
          <w:numId w:val="1009"/>
          <w:ilvl w:val="0"/>
        </w:numPr>
      </w:pPr>
      <w:r>
        <w:rPr>
          <w:b/>
        </w:rPr>
        <w:t xml:space="preserve">Mesohabitat</w:t>
      </w:r>
      <w:r>
        <w:t xml:space="preserve">: Open/Cactus</w:t>
      </w:r>
    </w:p>
    <w:p>
      <w:pPr>
        <w:pStyle w:val="Compact"/>
        <w:numPr>
          <w:numId w:val="1009"/>
          <w:ilvl w:val="0"/>
        </w:numPr>
      </w:pPr>
      <w:r>
        <w:rPr>
          <w:i/>
        </w:rPr>
        <w:t xml:space="preserve">Open is the control for cactus presense</w:t>
      </w:r>
    </w:p>
    <w:p>
      <w:pPr>
        <w:pStyle w:val="Compact"/>
        <w:numPr>
          <w:numId w:val="1009"/>
          <w:ilvl w:val="0"/>
        </w:numPr>
      </w:pPr>
      <w:r>
        <w:rPr>
          <w:b/>
        </w:rPr>
        <w:t xml:space="preserve">Species of cactus</w:t>
      </w:r>
      <w:r>
        <w:t xml:space="preserve">:</w:t>
      </w:r>
      <w:r>
        <w:t xml:space="preserve"> </w:t>
      </w:r>
      <w:r>
        <w:rPr>
          <w:i/>
        </w:rPr>
        <w:t xml:space="preserve">Opuntia basilaris</w:t>
      </w:r>
      <w:r>
        <w:t xml:space="preserve"> </w:t>
      </w:r>
      <w:r>
        <w:t xml:space="preserve">var.</w:t>
      </w:r>
      <w:r>
        <w:t xml:space="preserve"> </w:t>
      </w:r>
      <w:r>
        <w:rPr>
          <w:i/>
        </w:rPr>
        <w:t xml:space="preserve">basilaris</w:t>
      </w:r>
      <w:r>
        <w:t xml:space="preserve">,</w:t>
      </w:r>
      <w:r>
        <w:t xml:space="preserve"> </w:t>
      </w:r>
      <w:r>
        <w:rPr>
          <w:i/>
        </w:rPr>
        <w:t xml:space="preserve">Opuntia basiliaris</w:t>
      </w:r>
      <w:r>
        <w:t xml:space="preserve"> </w:t>
      </w:r>
      <w:r>
        <w:t xml:space="preserve">var.</w:t>
      </w:r>
      <w:r>
        <w:t xml:space="preserve"> </w:t>
      </w:r>
      <w:r>
        <w:rPr>
          <w:i/>
        </w:rPr>
        <w:t xml:space="preserve">treleasei</w:t>
      </w:r>
      <w:r>
        <w:t xml:space="preserve">, or</w:t>
      </w:r>
      <w:r>
        <w:t xml:space="preserve"> </w:t>
      </w:r>
      <w:r>
        <w:rPr>
          <w:i/>
        </w:rPr>
        <w:t xml:space="preserve">Cylindropuntia anthrocarpa</w:t>
      </w:r>
    </w:p>
    <w:p>
      <w:pPr>
        <w:pStyle w:val="Compact"/>
        <w:numPr>
          <w:numId w:val="1009"/>
          <w:ilvl w:val="0"/>
        </w:numPr>
      </w:pPr>
      <w:r>
        <w:rPr>
          <w:b/>
        </w:rPr>
        <w:t xml:space="preserve">Size of cactus individual</w:t>
      </w:r>
      <w:r>
        <w:t xml:space="preserve">: Large, medium, small</w:t>
      </w:r>
    </w:p>
    <w:p>
      <w:pPr>
        <w:pStyle w:val="Compact"/>
        <w:numPr>
          <w:numId w:val="1009"/>
          <w:ilvl w:val="0"/>
        </w:numPr>
      </w:pPr>
      <w:r>
        <w:rPr>
          <w:b/>
        </w:rPr>
        <w:t xml:space="preserve">Percentage of flower/fruit on cactus</w:t>
      </w:r>
      <w:r>
        <w:t xml:space="preserve">: 0%, 50%, 100%</w:t>
      </w:r>
    </w:p>
    <w:p>
      <w:pPr>
        <w:pStyle w:val="Compact"/>
        <w:numPr>
          <w:numId w:val="1009"/>
          <w:ilvl w:val="0"/>
        </w:numPr>
      </w:pPr>
      <w:r>
        <w:rPr>
          <w:i/>
        </w:rPr>
        <w:t xml:space="preserve">0% fruit on cactus is the negative control, 100% fruit on cactus is positive control for fruit abundance</w:t>
      </w:r>
    </w:p>
    <w:p>
      <w:pPr>
        <w:pStyle w:val="Heading2"/>
      </w:pPr>
      <w:bookmarkStart w:id="35" w:name="response-variables"/>
      <w:bookmarkEnd w:id="35"/>
      <w:r>
        <w:t xml:space="preserve">Response variables</w:t>
      </w:r>
    </w:p>
    <w:p>
      <w:pPr>
        <w:pStyle w:val="Compact"/>
        <w:numPr>
          <w:numId w:val="1010"/>
          <w:ilvl w:val="0"/>
        </w:numPr>
      </w:pPr>
      <w:r>
        <w:t xml:space="preserve">Mass of individual fruits</w:t>
      </w:r>
    </w:p>
    <w:p>
      <w:pPr>
        <w:pStyle w:val="Compact"/>
        <w:numPr>
          <w:numId w:val="1010"/>
          <w:ilvl w:val="0"/>
        </w:numPr>
      </w:pPr>
      <w:r>
        <w:t xml:space="preserve">Mass of individual seeds</w:t>
      </w:r>
    </w:p>
    <w:p>
      <w:pPr>
        <w:pStyle w:val="Compact"/>
        <w:numPr>
          <w:numId w:val="1010"/>
          <w:ilvl w:val="0"/>
        </w:numPr>
      </w:pPr>
      <w:r>
        <w:t xml:space="preserve">Number of fruits per cactus</w:t>
      </w:r>
    </w:p>
    <w:p>
      <w:pPr>
        <w:pStyle w:val="Compact"/>
        <w:numPr>
          <w:numId w:val="1010"/>
          <w:ilvl w:val="0"/>
        </w:numPr>
      </w:pPr>
      <w:r>
        <w:t xml:space="preserve">Number of seeds per fruit</w:t>
      </w:r>
    </w:p>
    <w:p>
      <w:pPr>
        <w:pStyle w:val="Compact"/>
        <w:numPr>
          <w:numId w:val="1010"/>
          <w:ilvl w:val="0"/>
        </w:numPr>
      </w:pPr>
      <w:r>
        <w:t xml:space="preserve">Species richness and diversity per cactus</w:t>
      </w:r>
    </w:p>
    <w:p>
      <w:pPr>
        <w:pStyle w:val="Compact"/>
        <w:numPr>
          <w:numId w:val="1010"/>
          <w:ilvl w:val="0"/>
        </w:numPr>
      </w:pPr>
      <w:r>
        <w:t xml:space="preserve">Proportion of frugivous birds present relative to non frugivorous birds</w:t>
      </w:r>
    </w:p>
    <w:p>
      <w:pPr>
        <w:pStyle w:val="Heading2"/>
      </w:pPr>
      <w:bookmarkStart w:id="36" w:name="methods-and-experimental-design"/>
      <w:bookmarkEnd w:id="36"/>
      <w:r>
        <w:t xml:space="preserve">Methods and Experimental Design</w:t>
      </w:r>
    </w:p>
    <w:p>
      <w:pPr>
        <w:pStyle w:val="Heading3"/>
      </w:pPr>
      <w:bookmarkStart w:id="37" w:name="site-specific-metrics"/>
      <w:bookmarkEnd w:id="37"/>
      <w:r>
        <w:t xml:space="preserve">Site specific metrics</w:t>
      </w:r>
    </w:p>
    <w:p>
      <w:pPr>
        <w:pStyle w:val="FirstParagraph"/>
      </w:pPr>
      <w:r>
        <w:t xml:space="preserve">For one week (4 days at the Mojave, 2 days at Wind Wolves), I will complete a preliminary field season where I measure the size of each cactus (x, y, and z dimensions of the cactus) and count its branches. I will do this for 100 individuals of each study species. I will also perform a density survey of cactus species. To do this, I will randomly choose one location within my study site, and create a 100m transect starting from that point in a random direct. Every 5m, I will record the distance to the nearest cactus of each species. I will repeat this transect 6 times total, 10m a part for each</w:t>
      </w:r>
      <w:r>
        <w:t xml:space="preserve"> </w:t>
      </w:r>
      <w:r>
        <w:t xml:space="preserve">“</w:t>
      </w:r>
      <w:r>
        <w:t xml:space="preserve">starting</w:t>
      </w:r>
      <w:r>
        <w:t xml:space="preserve">”</w:t>
      </w:r>
      <w:r>
        <w:t xml:space="preserve"> </w:t>
      </w:r>
      <w:r>
        <w:t xml:space="preserve">point of the transect. This week will only be to collect data to ensure my sample size and time frame is reasonable, so that I have ample time to redesign any issues in my methods.</w:t>
      </w:r>
    </w:p>
    <w:p>
      <w:pPr>
        <w:pStyle w:val="BodyText"/>
      </w:pPr>
      <w:r>
        <w:t xml:space="preserve">In addition to surveying cactus density and diversity, we will also be conducting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8" w:name="flowering-experiment"/>
      <w:bookmarkEnd w:id="38"/>
      <w:r>
        <w:t xml:space="preserve">Flowering Experiment</w:t>
      </w:r>
    </w:p>
    <w:p>
      <w:pPr>
        <w:pStyle w:val="FirstParagraph"/>
      </w:pPr>
      <w:r>
        <w:t xml:space="preserve">Pending the exploratory week, we will return in April/May during the flowering season to observe pollinating birds interactions with cacti. The cacti will have different levels of manipulated</w:t>
      </w:r>
      <w:r>
        <w:t xml:space="preserve"> </w:t>
      </w:r>
      <w:r>
        <w:t xml:space="preserve">“</w:t>
      </w:r>
      <w:r>
        <w:t xml:space="preserve">showiness</w:t>
      </w:r>
      <w:r>
        <w:t xml:space="preserve">”</w:t>
      </w:r>
      <w:r>
        <w:t xml:space="preserve"> </w:t>
      </w:r>
      <w:r>
        <w:t xml:space="preserve">(percent of flowers) at different sized cacti. First, we will choose 270 cacti (10 replicates of each combination of species, size, and percent flower), and remove 0%, 50%, and 100% of flower buds from 10 individuals of each size class and species.</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 hour observations in mornings or evenings at each combination of variables 4 times and at an open, cactusless site (40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39" w:name="fruiting-experiment"/>
      <w:bookmarkEnd w:id="39"/>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pPr>
        <w:pStyle w:val="BodyText"/>
      </w:pPr>
      <w:r>
        <w:t xml:space="preserve">We will give seeds taken from</w:t>
      </w:r>
      <w:r>
        <w:t xml:space="preserve"> </w:t>
      </w:r>
      <w:r>
        <w:rPr>
          <w:i/>
        </w:rPr>
        <w:t xml:space="preserve">Opuntia basilaris</w:t>
      </w:r>
      <w:r>
        <w:t xml:space="preserve"> </w:t>
      </w:r>
      <w:r>
        <w:t xml:space="preserve">var.</w:t>
      </w:r>
      <w:r>
        <w:t xml:space="preserve"> </w:t>
      </w:r>
      <w:r>
        <w:rPr>
          <w:i/>
        </w:rPr>
        <w:t xml:space="preserve">treleasei</w:t>
      </w:r>
      <w:r>
        <w:t xml:space="preserve"> </w:t>
      </w:r>
      <w:r>
        <w:t xml:space="preserve">to the management at the Wind Wolves Preserve, should they desire to use these seeds in restoration projects (as they do with many native species at the site). I will have a team of 4-6 undergraduate assistants to help me, particularly with fruit collection and focal observations.</w:t>
      </w:r>
    </w:p>
    <w:p>
      <w:pPr>
        <w:pStyle w:val="Heading2"/>
      </w:pPr>
      <w:bookmarkStart w:id="40" w:name="paired-flower-and-fruit-observations"/>
      <w:bookmarkEnd w:id="40"/>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1" w:name="chapter-3-avian-pollination-and-seed-dispersal-influence-on-seed-shadow-of-cactaceae-obligatory-facilitatees"/>
      <w:bookmarkEnd w:id="41"/>
      <w:r>
        <w:t xml:space="preserve">Chapter 3: Avian pollination and seed dispersal influence on seed shadow of Cactaceae obligatory facilitatees</w:t>
      </w:r>
    </w:p>
    <w:p>
      <w:pPr>
        <w:pStyle w:val="Heading2"/>
      </w:pPr>
      <w:bookmarkStart w:id="42" w:name="purpose-2"/>
      <w:bookmarkEnd w:id="42"/>
      <w:r>
        <w:t xml:space="preserve">Purpose</w:t>
      </w:r>
    </w:p>
    <w:p>
      <w:pPr>
        <w:pStyle w:val="FirstParagraph"/>
      </w:pPr>
      <w:r>
        <w:t xml:space="preserve">This chapter will test the importance of birds as seed dispersers for cacti which are, at different life stages, beneficiaries and benefactors of nurse plants and animals respectively. Specifically, the Saguaro cactus. This chapter has nearly the same methods as Chapter 2, except an additional step to link birds to saguaro facilitators.</w:t>
      </w:r>
    </w:p>
    <w:p>
      <w:pPr>
        <w:pStyle w:val="Heading2"/>
      </w:pPr>
      <w:bookmarkStart w:id="43" w:name="research-questions-2"/>
      <w:bookmarkEnd w:id="43"/>
      <w:r>
        <w:t xml:space="preserve">Research Questions</w:t>
      </w:r>
    </w:p>
    <w:p>
      <w:pPr>
        <w:pStyle w:val="Compact"/>
        <w:numPr>
          <w:numId w:val="1011"/>
          <w:ilvl w:val="0"/>
        </w:numPr>
      </w:pPr>
      <w:r>
        <w:t xml:space="preserve">Does flower number predict fruit number?</w:t>
      </w:r>
    </w:p>
    <w:p>
      <w:pPr>
        <w:pStyle w:val="Compact"/>
        <w:numPr>
          <w:numId w:val="1011"/>
          <w:ilvl w:val="0"/>
        </w:numPr>
      </w:pPr>
      <w:r>
        <w:t xml:space="preserve">Do larger cacti produce more flowers/fruits, or higher mass fruits than smaller cacti?</w:t>
      </w:r>
    </w:p>
    <w:p>
      <w:pPr>
        <w:pStyle w:val="Compact"/>
        <w:numPr>
          <w:numId w:val="1011"/>
          <w:ilvl w:val="0"/>
        </w:numPr>
      </w:pPr>
      <w:r>
        <w:t xml:space="preserve">Do larger fruits produce more seeds, or higher mass seeds than smaller fruits?</w:t>
      </w:r>
    </w:p>
    <w:p>
      <w:pPr>
        <w:pStyle w:val="Compact"/>
        <w:numPr>
          <w:numId w:val="1011"/>
          <w:ilvl w:val="0"/>
        </w:numPr>
      </w:pPr>
      <w:r>
        <w:t xml:space="preserve">Are frugivorous birds more frequent at for larger cacti?</w:t>
      </w:r>
    </w:p>
    <w:p>
      <w:pPr>
        <w:pStyle w:val="Compact"/>
        <w:numPr>
          <w:numId w:val="1011"/>
          <w:ilvl w:val="0"/>
        </w:numPr>
      </w:pPr>
      <w:r>
        <w:t xml:space="preserve">Are pollinating birds (hummingbirds) optimally foraging at larger cacti?</w:t>
      </w:r>
    </w:p>
    <w:p>
      <w:pPr>
        <w:pStyle w:val="Compact"/>
        <w:numPr>
          <w:numId w:val="1011"/>
          <w:ilvl w:val="0"/>
        </w:numPr>
      </w:pPr>
      <w:r>
        <w:t xml:space="preserve">Do birds produce seed rain in favorable habitats for germinating seedlings (under a nurse shrub canopy)?</w:t>
      </w:r>
    </w:p>
    <w:p>
      <w:pPr>
        <w:pStyle w:val="Heading2"/>
      </w:pPr>
      <w:bookmarkStart w:id="44" w:name="hypotheses"/>
      <w:bookmarkEnd w:id="44"/>
      <w:r>
        <w:t xml:space="preserve">Hypotheses</w:t>
      </w:r>
    </w:p>
    <w:p>
      <w:pPr>
        <w:pStyle w:val="Compact"/>
        <w:numPr>
          <w:numId w:val="1012"/>
          <w:ilvl w:val="0"/>
        </w:numPr>
      </w:pPr>
      <w:r>
        <w:t xml:space="preserve">Cacti size and flower, fruit, and seed production are positively related.</w:t>
      </w:r>
      <w:r>
        <w:t xml:space="preserve"> </w:t>
      </w:r>
      <w:r>
        <w:t xml:space="preserve">Predictions:</w:t>
      </w:r>
    </w:p>
    <w:p>
      <w:pPr>
        <w:pStyle w:val="Compact"/>
        <w:numPr>
          <w:numId w:val="1013"/>
          <w:ilvl w:val="0"/>
        </w:numPr>
      </w:pPr>
      <w:r>
        <w:t xml:space="preserve">Larger cacti will produce more flowers, fruits, and seeds, as well as more massive fruits and seeds.</w:t>
      </w:r>
    </w:p>
    <w:p>
      <w:pPr>
        <w:pStyle w:val="Compact"/>
        <w:numPr>
          <w:numId w:val="1014"/>
          <w:ilvl w:val="0"/>
        </w:numPr>
      </w:pPr>
      <w:r>
        <w:t xml:space="preserve">Bird frugivory and pollination optimally forage at cacti.</w:t>
      </w:r>
      <w:r>
        <w:t xml:space="preserve"> </w:t>
      </w:r>
      <w:r>
        <w:t xml:space="preserve">Predictions:</w:t>
      </w:r>
    </w:p>
    <w:p>
      <w:pPr>
        <w:pStyle w:val="Compact"/>
        <w:numPr>
          <w:numId w:val="1015"/>
          <w:ilvl w:val="0"/>
        </w:numPr>
      </w:pPr>
      <w:r>
        <w:t xml:space="preserve">Birds will more frequently pollinate larger cacti, which have more flowers.</w:t>
      </w:r>
    </w:p>
    <w:p>
      <w:pPr>
        <w:pStyle w:val="Compact"/>
        <w:numPr>
          <w:numId w:val="1015"/>
          <w:ilvl w:val="0"/>
        </w:numPr>
      </w:pPr>
      <w:r>
        <w:t xml:space="preserve">Birds will more frequently eat fruit at larger cacti, which have larger/more fruits.</w:t>
      </w:r>
    </w:p>
    <w:p>
      <w:pPr>
        <w:pStyle w:val="Compact"/>
        <w:numPr>
          <w:numId w:val="1016"/>
          <w:ilvl w:val="0"/>
        </w:numPr>
      </w:pPr>
      <w:r>
        <w:t xml:space="preserve">Frugivorous birds are perching in spaces for depositing seed rain in optimal germination habitats (under nurse plant shrubs).</w:t>
      </w:r>
      <w:r>
        <w:t xml:space="preserve"> </w:t>
      </w:r>
      <w:r>
        <w:t xml:space="preserve">Predictions:</w:t>
      </w:r>
    </w:p>
    <w:p>
      <w:pPr>
        <w:pStyle w:val="Compact"/>
        <w:numPr>
          <w:numId w:val="1017"/>
          <w:ilvl w:val="0"/>
        </w:numPr>
      </w:pPr>
      <w:r>
        <w:t xml:space="preserve">Frugivorous birds will be found more often perching above nurse plant canopies than in open areas.</w:t>
      </w:r>
    </w:p>
    <w:p>
      <w:pPr>
        <w:pStyle w:val="Heading2"/>
      </w:pPr>
      <w:bookmarkStart w:id="45" w:name="treatments"/>
      <w:bookmarkEnd w:id="45"/>
      <w:r>
        <w:t xml:space="preserve">Treatments</w:t>
      </w:r>
    </w:p>
    <w:p>
      <w:pPr>
        <w:pStyle w:val="Compact"/>
        <w:numPr>
          <w:numId w:val="1018"/>
          <w:ilvl w:val="0"/>
        </w:numPr>
      </w:pPr>
      <w:r>
        <w:rPr>
          <w:b/>
        </w:rPr>
        <w:t xml:space="preserve">Mesohabitat</w:t>
      </w:r>
      <w:r>
        <w:t xml:space="preserve">: Open/Cactus</w:t>
      </w:r>
    </w:p>
    <w:p>
      <w:pPr>
        <w:pStyle w:val="Compact"/>
        <w:numPr>
          <w:numId w:val="1018"/>
          <w:ilvl w:val="0"/>
        </w:numPr>
      </w:pPr>
      <w:r>
        <w:rPr>
          <w:i/>
        </w:rPr>
        <w:t xml:space="preserve">Open is the control for cactus presense.</w:t>
      </w:r>
    </w:p>
    <w:p>
      <w:pPr>
        <w:pStyle w:val="Compact"/>
        <w:numPr>
          <w:numId w:val="1018"/>
          <w:ilvl w:val="0"/>
        </w:numPr>
      </w:pPr>
      <w:r>
        <w:rPr>
          <w:b/>
        </w:rPr>
        <w:t xml:space="preserve">Mesohabitat</w:t>
      </w:r>
      <w:r>
        <w:t xml:space="preserve">: Open/Nurse Shrub</w:t>
      </w:r>
    </w:p>
    <w:p>
      <w:pPr>
        <w:pStyle w:val="Compact"/>
        <w:numPr>
          <w:numId w:val="1018"/>
          <w:ilvl w:val="0"/>
        </w:numPr>
      </w:pPr>
      <w:r>
        <w:rPr>
          <w:i/>
        </w:rPr>
        <w:t xml:space="preserve">Open is the control for nurse shrub presense.</w:t>
      </w:r>
    </w:p>
    <w:p>
      <w:pPr>
        <w:pStyle w:val="Compact"/>
        <w:numPr>
          <w:numId w:val="1018"/>
          <w:ilvl w:val="0"/>
        </w:numPr>
      </w:pPr>
      <w:r>
        <w:rPr>
          <w:b/>
        </w:rPr>
        <w:t xml:space="preserve">Size of cactus individual</w:t>
      </w:r>
      <w:r>
        <w:t xml:space="preserve">: Large, medium, small</w:t>
      </w:r>
    </w:p>
    <w:p>
      <w:pPr>
        <w:pStyle w:val="Compact"/>
        <w:numPr>
          <w:numId w:val="1018"/>
          <w:ilvl w:val="0"/>
        </w:numPr>
      </w:pPr>
      <w:r>
        <w:rPr>
          <w:b/>
        </w:rPr>
        <w:t xml:space="preserve">Percentage of fruit on cactus</w:t>
      </w:r>
      <w:r>
        <w:t xml:space="preserve">: 0%, 50%, 100%</w:t>
      </w:r>
    </w:p>
    <w:p>
      <w:pPr>
        <w:pStyle w:val="Compact"/>
        <w:numPr>
          <w:numId w:val="1018"/>
          <w:ilvl w:val="0"/>
        </w:numPr>
      </w:pPr>
      <w:r>
        <w:rPr>
          <w:i/>
        </w:rPr>
        <w:t xml:space="preserve">0% fruit on cactus is the negative control, 100% fruit on cactus is positive control for fruit abundance</w:t>
      </w:r>
    </w:p>
    <w:p>
      <w:pPr>
        <w:pStyle w:val="Heading2"/>
      </w:pPr>
      <w:bookmarkStart w:id="46" w:name="response-variables-1"/>
      <w:bookmarkEnd w:id="46"/>
      <w:r>
        <w:t xml:space="preserve">Response variables</w:t>
      </w:r>
    </w:p>
    <w:p>
      <w:pPr>
        <w:pStyle w:val="Compact"/>
        <w:numPr>
          <w:numId w:val="1019"/>
          <w:ilvl w:val="0"/>
        </w:numPr>
      </w:pPr>
      <w:r>
        <w:t xml:space="preserve">Mass of individual fruits</w:t>
      </w:r>
    </w:p>
    <w:p>
      <w:pPr>
        <w:pStyle w:val="Compact"/>
        <w:numPr>
          <w:numId w:val="1019"/>
          <w:ilvl w:val="0"/>
        </w:numPr>
      </w:pPr>
      <w:r>
        <w:t xml:space="preserve">Mass of individual seeds</w:t>
      </w:r>
    </w:p>
    <w:p>
      <w:pPr>
        <w:pStyle w:val="Compact"/>
        <w:numPr>
          <w:numId w:val="1019"/>
          <w:ilvl w:val="0"/>
        </w:numPr>
      </w:pPr>
      <w:r>
        <w:t xml:space="preserve">Number of flowers per cactus</w:t>
      </w:r>
    </w:p>
    <w:p>
      <w:pPr>
        <w:pStyle w:val="Compact"/>
        <w:numPr>
          <w:numId w:val="1019"/>
          <w:ilvl w:val="0"/>
        </w:numPr>
      </w:pPr>
      <w:r>
        <w:t xml:space="preserve">Number of fruits per cactus</w:t>
      </w:r>
    </w:p>
    <w:p>
      <w:pPr>
        <w:pStyle w:val="Compact"/>
        <w:numPr>
          <w:numId w:val="1019"/>
          <w:ilvl w:val="0"/>
        </w:numPr>
      </w:pPr>
      <w:r>
        <w:t xml:space="preserve">Number of seeds per fruit</w:t>
      </w:r>
    </w:p>
    <w:p>
      <w:pPr>
        <w:pStyle w:val="Compact"/>
        <w:numPr>
          <w:numId w:val="1019"/>
          <w:ilvl w:val="0"/>
        </w:numPr>
      </w:pPr>
      <w:r>
        <w:t xml:space="preserve">Species richness and diversity per cactus/shrub</w:t>
      </w:r>
    </w:p>
    <w:p>
      <w:pPr>
        <w:pStyle w:val="Compact"/>
        <w:numPr>
          <w:numId w:val="1019"/>
          <w:ilvl w:val="0"/>
        </w:numPr>
      </w:pPr>
      <w:r>
        <w:t xml:space="preserve">during both flowering and fruiting season</w:t>
      </w:r>
    </w:p>
    <w:p>
      <w:pPr>
        <w:pStyle w:val="Compact"/>
        <w:numPr>
          <w:numId w:val="1019"/>
          <w:ilvl w:val="0"/>
        </w:numPr>
      </w:pPr>
      <w:r>
        <w:t xml:space="preserve">Proportion of frugivorous birds present relative to other species per cactus</w:t>
      </w:r>
    </w:p>
    <w:p>
      <w:pPr>
        <w:pStyle w:val="Compact"/>
        <w:numPr>
          <w:numId w:val="1019"/>
          <w:ilvl w:val="0"/>
        </w:numPr>
      </w:pPr>
      <w:r>
        <w:t xml:space="preserve">during both flowering and fruiting season</w:t>
      </w:r>
    </w:p>
    <w:p>
      <w:pPr>
        <w:pStyle w:val="Compact"/>
        <w:numPr>
          <w:numId w:val="1019"/>
          <w:ilvl w:val="0"/>
        </w:numPr>
      </w:pPr>
      <w:r>
        <w:t xml:space="preserve">Species richness and diversity per nurse shrub</w:t>
      </w:r>
    </w:p>
    <w:p>
      <w:pPr>
        <w:pStyle w:val="Compact"/>
        <w:numPr>
          <w:numId w:val="1019"/>
          <w:ilvl w:val="0"/>
        </w:numPr>
      </w:pPr>
      <w:r>
        <w:t xml:space="preserve">Proportion of frugivorous birds present relative to other species per nurse shrub</w:t>
      </w:r>
    </w:p>
    <w:p>
      <w:pPr>
        <w:pStyle w:val="Heading2"/>
      </w:pPr>
      <w:bookmarkStart w:id="47" w:name="methods"/>
      <w:bookmarkEnd w:id="47"/>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BodyText"/>
      </w:pPr>
      <w:r>
        <w:t xml:space="preserve">What will differ, however, is an additional component where we explore the saguaro’s need to germinate under a nurse plant’s canopy</w:t>
      </w:r>
      <w:r>
        <w:t xml:space="preserve"> </w:t>
      </w:r>
      <w:r>
        <w:t xml:space="preserve">(Turner et al. 1966)</w:t>
      </w:r>
      <w:r>
        <w:t xml:space="preserve">.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p>
    <w:p>
      <w:pPr>
        <w:pStyle w:val="Heading1"/>
      </w:pPr>
      <w:bookmarkStart w:id="48" w:name="future-work"/>
      <w:bookmarkEnd w:id="48"/>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nurse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49" w:name="references"/>
      <w:bookmarkEnd w:id="49"/>
      <w:r>
        <w:t xml:space="preserve">References</w:t>
      </w:r>
    </w:p>
    <w:p>
      <w:pPr>
        <w:pStyle w:val="Bibliography"/>
      </w:pPr>
      <w:r>
        <w:t xml:space="preserve">Andre, J. 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0">
        <w:r>
          <w:rPr>
            <w:rStyle w:val="Hyperlink"/>
          </w:rPr>
          <w:t xml:space="preserve">10.1525/bio.2011.61.10.8</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1">
        <w:r>
          <w:rPr>
            <w:rStyle w:val="Hyperlink"/>
          </w:rPr>
          <w:t xml:space="preserve">10.1016/0169-5347(94)90088-4</w:t>
        </w:r>
      </w:hyperlink>
      <w:r>
        <w:t xml:space="preserve">.</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2">
        <w:r>
          <w:rPr>
            <w:rStyle w:val="Hyperlink"/>
          </w:rPr>
          <w:t xml:space="preserve">10.1111/1365-2664.13229</w:t>
        </w:r>
      </w:hyperlink>
      <w:r>
        <w:t xml:space="preserve">.</w:t>
      </w:r>
    </w:p>
    <w:p>
      <w:pPr>
        <w:pStyle w:val="Bibliography"/>
      </w:pPr>
      <w:r>
        <w:t xml:space="preserve">Drezner, T.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3">
        <w:r>
          <w:rPr>
            <w:rStyle w:val="Hyperlink"/>
          </w:rPr>
          <w:t xml:space="preserve">10.3159/09-RA-069R1.1</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4">
        <w:r>
          <w:rPr>
            <w:rStyle w:val="Hyperlink"/>
          </w:rPr>
          <w:t xml:space="preserve">10.1111/0033-0124.5504008</w:t>
        </w:r>
      </w:hyperlink>
      <w:r>
        <w:t xml:space="preserve">.</w:t>
      </w:r>
    </w:p>
    <w:p>
      <w:pPr>
        <w:pStyle w:val="Bibliography"/>
      </w:pPr>
      <w:r>
        <w:t xml:space="preserve">Drezner, Taly Dawn.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5">
        <w:r>
          <w:rPr>
            <w:rStyle w:val="Hyperlink"/>
          </w:rPr>
          <w:t xml:space="preserve">10.1007/s11258-014-0326-y</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56">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57">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58">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59">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0">
        <w:r>
          <w:rPr>
            <w:rStyle w:val="Hyperlink"/>
          </w:rPr>
          <w:t xml:space="preserve">10.1016/j.rser.2013.08.041</w:t>
        </w:r>
      </w:hyperlink>
      <w:r>
        <w:t xml:space="preserve">.</w:t>
      </w:r>
    </w:p>
    <w:p>
      <w:pPr>
        <w:pStyle w:val="Bibliography"/>
      </w:pPr>
      <w:r>
        <w:t xml:space="preserve">Hoover, Robert F. 1970.</w:t>
      </w:r>
      <w:r>
        <w:t xml:space="preserve"> </w:t>
      </w:r>
      <w:r>
        <w:rPr>
          <w:i/>
        </w:rPr>
        <w:t xml:space="preserve">The Vascular Plants of San Luis Obispo County, California</w:t>
      </w:r>
      <w:r>
        <w:t xml:space="preserve">. 1st ed. Berkley: University of California Press.</w:t>
      </w:r>
    </w:p>
    <w:p>
      <w:pPr>
        <w:pStyle w:val="Bibliography"/>
      </w:pPr>
      <w:r>
        <w:t xml:space="preserve">Johnson, Steven D., C. I. Peter, Anders Nilsson, and Jon Agren. 2003. “Pollination Success in a Deceptive Orchid Is Enhanced Co-Occurring Rewarding Magnet Plants.”</w:t>
      </w:r>
      <w:r>
        <w:t xml:space="preserve"> </w:t>
      </w:r>
      <w:r>
        <w:rPr>
          <w:i/>
        </w:rPr>
        <w:t xml:space="preserve">Ecology</w:t>
      </w:r>
      <w:r>
        <w:t xml:space="preserve"> </w:t>
      </w:r>
      <w:r>
        <w:t xml:space="preserve">84 (11): 2919–27. doi:</w:t>
      </w:r>
      <w:hyperlink r:id="rId61">
        <w:r>
          <w:rPr>
            <w:rStyle w:val="Hyperlink"/>
          </w:rPr>
          <w:t xml:space="preserve">10.1890/1</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62">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63">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pPr>
        <w:pStyle w:val="Bibliography"/>
      </w:pPr>
      <w:r>
        <w:t xml:space="preserve">Moher, David, Alessandro Liberati, Jennifer Tetzlaff, Douglas G. Altman, and the PRISMA Group. 2009. “Academia and Clinic Annals of Internal Medicine Preferred Reporting Items for Systematic Reviews and Meta-Analyses :”</w:t>
      </w:r>
      <w:r>
        <w:t xml:space="preserve"> </w:t>
      </w:r>
      <w:r>
        <w:rPr>
          <w:i/>
        </w:rPr>
        <w:t xml:space="preserve">Annals of Internal Medicine</w:t>
      </w:r>
      <w:r>
        <w:t xml:space="preserve"> </w:t>
      </w:r>
      <w:r>
        <w:t xml:space="preserve">151 (4): 264–69. doi:</w:t>
      </w:r>
      <w:hyperlink r:id="rId64">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65">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66">
        <w:r>
          <w:rPr>
            <w:rStyle w:val="Hyperlink"/>
          </w:rPr>
          <w:t xml:space="preserve">10.1111/gcb.12789</w:t>
        </w:r>
      </w:hyperlink>
      <w:r>
        <w:t xml:space="preserve">.</w:t>
      </w:r>
    </w:p>
    <w:p>
      <w:pPr>
        <w:pStyle w:val="Bibliography"/>
      </w:pPr>
      <w:r>
        <w:t xml:space="preserve">Nobel, Park. 2002.</w:t>
      </w:r>
      <w:r>
        <w:t xml:space="preserve"> </w:t>
      </w:r>
      <w:r>
        <w:rPr>
          <w:i/>
        </w:rPr>
        <w:t xml:space="preserve">Cacti Biology and Uses</w:t>
      </w:r>
      <w:r>
        <w:t xml:space="preserve">. University of California Press 1.</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67">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68">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69">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70">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71">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72">
        <w:r>
          <w:rPr>
            <w:rStyle w:val="Hyperlink"/>
          </w:rPr>
          <w:t xml:space="preserve">10.1111/j.1365-2745.2011.01833.x</w:t>
        </w:r>
      </w:hyperlink>
      <w:r>
        <w:t xml:space="preserve">.</w:t>
      </w:r>
    </w:p>
    <w:p>
      <w:pPr>
        <w:pStyle w:val="Bibliography"/>
      </w:pPr>
      <w:r>
        <w:t xml:space="preserve">StateofCaliforniaa, Natural Resource Agency. 2018. “State and Federally Listed Endangered and Threatened Animals of California.”</w:t>
      </w:r>
    </w:p>
    <w:p>
      <w:pPr>
        <w:pStyle w:val="Bibliography"/>
      </w:pPr>
      <w:r>
        <w:t xml:space="preserve">StateofCaliforniab, Natural Resource Agency. 2018. “State and Federally Listed Endangered, Threatened, and Rare Plants of California.”</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73">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74">
        <w:r>
          <w:rPr>
            <w:rStyle w:val="Hyperlink"/>
          </w:rPr>
          <w:t xml:space="preserve">10.1007/s004420000614</w:t>
        </w:r>
      </w:hyperlink>
      <w:r>
        <w:t xml:space="preserve">.</w:t>
      </w:r>
    </w:p>
    <w:p>
      <w:pPr>
        <w:pStyle w:val="Bibliography"/>
      </w:pPr>
      <w:r>
        <w:t xml:space="preserve">Thomson, James D. 1978. “Insect Visitation in Two-Species Mixtures of Hieracium Author ( S ): James D . Thomson Source : The American Midland Naturalist , Vol . 100 , No . 2 ( Oct ., 1978 ), Pp . 431-440 Published by :” 100 (2): 431–40.</w:t>
      </w:r>
    </w:p>
    <w:p>
      <w:pPr>
        <w:pStyle w:val="Bibliography"/>
      </w:pPr>
      <w:r>
        <w:t xml:space="preserve">Traveset, A., and M. Verdu.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75">
        <w:r>
          <w:rPr>
            <w:rStyle w:val="Hyperlink"/>
          </w:rPr>
          <w:t xml:space="preserve">10.1079/9780851995250.0339</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76">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77">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78">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66c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4bf26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c71174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302e4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44c02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3688d2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s://doi.org/10.1002/jgrd.50543" TargetMode="External" /><Relationship Type="http://schemas.openxmlformats.org/officeDocument/2006/relationships/hyperlink" Id="rId78" Target="https://doi.org/10.1007/BF00052229" TargetMode="External" /><Relationship Type="http://schemas.openxmlformats.org/officeDocument/2006/relationships/hyperlink" Id="rId77" Target="https://doi.org/10.1007/s00442-003-1448-4" TargetMode="External" /><Relationship Type="http://schemas.openxmlformats.org/officeDocument/2006/relationships/hyperlink" Id="rId74" Target="https://doi.org/10.1007/s004420000614" TargetMode="External" /><Relationship Type="http://schemas.openxmlformats.org/officeDocument/2006/relationships/hyperlink" Id="rId55" Target="https://doi.org/10.1007/s11258-014-0326-y" TargetMode="External" /><Relationship Type="http://schemas.openxmlformats.org/officeDocument/2006/relationships/hyperlink" Id="rId51" Target="https://doi.org/10.1016/0169-5347(94)90088-4" TargetMode="External" /><Relationship Type="http://schemas.openxmlformats.org/officeDocument/2006/relationships/hyperlink" Id="rId59" Target="https://doi.org/10.1016/S0006-3207(02)00361-0" TargetMode="External" /><Relationship Type="http://schemas.openxmlformats.org/officeDocument/2006/relationships/hyperlink" Id="rId65" Target="https://doi.org/10.1016/S0169-5347(00)01874-7" TargetMode="External" /><Relationship Type="http://schemas.openxmlformats.org/officeDocument/2006/relationships/hyperlink" Id="rId57" Target="https://doi.org/10.1016/j.anbehav.2014.01.008" TargetMode="External" /><Relationship Type="http://schemas.openxmlformats.org/officeDocument/2006/relationships/hyperlink" Id="rId76" Target="https://doi.org/10.1016/j.apmr.2013.01.024" TargetMode="External" /><Relationship Type="http://schemas.openxmlformats.org/officeDocument/2006/relationships/hyperlink" Id="rId73" Target="https://doi.org/10.1016/j.ecoser.2017.07.017" TargetMode="External" /><Relationship Type="http://schemas.openxmlformats.org/officeDocument/2006/relationships/hyperlink" Id="rId60" Target="https://doi.org/10.1016/j.rser.2013.08.041" TargetMode="External" /><Relationship Type="http://schemas.openxmlformats.org/officeDocument/2006/relationships/hyperlink" Id="rId69" Target="https://doi.org/10.1038/nclimate3287" TargetMode="External" /><Relationship Type="http://schemas.openxmlformats.org/officeDocument/2006/relationships/hyperlink" Id="rId67" Target="https://doi.org/10.1078/1433-8319-00080" TargetMode="External" /><Relationship Type="http://schemas.openxmlformats.org/officeDocument/2006/relationships/hyperlink" Id="rId75" Target="https://doi.org/10.1079/9780851995250.0339" TargetMode="External" /><Relationship Type="http://schemas.openxmlformats.org/officeDocument/2006/relationships/hyperlink" Id="rId68" Target="https://doi.org/10.1080/02723646.1989.10642386" TargetMode="External" /><Relationship Type="http://schemas.openxmlformats.org/officeDocument/2006/relationships/hyperlink" Id="rId63" Target="https://doi.org/10.1093/aob/mcs255" TargetMode="External" /><Relationship Type="http://schemas.openxmlformats.org/officeDocument/2006/relationships/hyperlink" Id="rId54" Target="https://doi.org/10.1111/0033-0124.5504008" TargetMode="External" /><Relationship Type="http://schemas.openxmlformats.org/officeDocument/2006/relationships/hyperlink" Id="rId52" Target="https://doi.org/10.1111/1365-2664.13229" TargetMode="External" /><Relationship Type="http://schemas.openxmlformats.org/officeDocument/2006/relationships/hyperlink" Id="rId66" Target="https://doi.org/10.1111/gcb.12789" TargetMode="External" /><Relationship Type="http://schemas.openxmlformats.org/officeDocument/2006/relationships/hyperlink" Id="rId62" Target="https://doi.org/10.1111/j.1365-2745.2008.01476.x" TargetMode="External" /><Relationship Type="http://schemas.openxmlformats.org/officeDocument/2006/relationships/hyperlink" Id="rId72" Target="https://doi.org/10.1111/j.1365-2745.2011.01833.x" TargetMode="External" /><Relationship Type="http://schemas.openxmlformats.org/officeDocument/2006/relationships/hyperlink" Id="rId70" Target="https://doi.org/10.1111/j.1472-4642.2007.00387.x" TargetMode="External" /><Relationship Type="http://schemas.openxmlformats.org/officeDocument/2006/relationships/hyperlink" Id="rId58" Target="https://doi.org/10.1111/jofo.12096" TargetMode="External" /><Relationship Type="http://schemas.openxmlformats.org/officeDocument/2006/relationships/hyperlink" Id="rId64" Target="https://doi.org/10.1371/journal.pmed1000097" TargetMode="External" /><Relationship Type="http://schemas.openxmlformats.org/officeDocument/2006/relationships/hyperlink" Id="rId50" Target="https://doi.org/10.1525/bio.2011.61.10.8" TargetMode="External" /><Relationship Type="http://schemas.openxmlformats.org/officeDocument/2006/relationships/hyperlink" Id="rId61" Target="https://doi.org/10.1890/1" TargetMode="External" /><Relationship Type="http://schemas.openxmlformats.org/officeDocument/2006/relationships/hyperlink" Id="rId53" Target="https://doi.org/10.3159/09-RA-069R1.1" TargetMode="External" /><Relationship Type="http://schemas.openxmlformats.org/officeDocument/2006/relationships/hyperlink" Id="rId56"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jgrd.50543" TargetMode="External" /><Relationship Type="http://schemas.openxmlformats.org/officeDocument/2006/relationships/hyperlink" Id="rId78" Target="https://doi.org/10.1007/BF00052229" TargetMode="External" /><Relationship Type="http://schemas.openxmlformats.org/officeDocument/2006/relationships/hyperlink" Id="rId77" Target="https://doi.org/10.1007/s00442-003-1448-4" TargetMode="External" /><Relationship Type="http://schemas.openxmlformats.org/officeDocument/2006/relationships/hyperlink" Id="rId74" Target="https://doi.org/10.1007/s004420000614" TargetMode="External" /><Relationship Type="http://schemas.openxmlformats.org/officeDocument/2006/relationships/hyperlink" Id="rId55" Target="https://doi.org/10.1007/s11258-014-0326-y" TargetMode="External" /><Relationship Type="http://schemas.openxmlformats.org/officeDocument/2006/relationships/hyperlink" Id="rId51" Target="https://doi.org/10.1016/0169-5347(94)90088-4" TargetMode="External" /><Relationship Type="http://schemas.openxmlformats.org/officeDocument/2006/relationships/hyperlink" Id="rId59" Target="https://doi.org/10.1016/S0006-3207(02)00361-0" TargetMode="External" /><Relationship Type="http://schemas.openxmlformats.org/officeDocument/2006/relationships/hyperlink" Id="rId65" Target="https://doi.org/10.1016/S0169-5347(00)01874-7" TargetMode="External" /><Relationship Type="http://schemas.openxmlformats.org/officeDocument/2006/relationships/hyperlink" Id="rId57" Target="https://doi.org/10.1016/j.anbehav.2014.01.008" TargetMode="External" /><Relationship Type="http://schemas.openxmlformats.org/officeDocument/2006/relationships/hyperlink" Id="rId76" Target="https://doi.org/10.1016/j.apmr.2013.01.024" TargetMode="External" /><Relationship Type="http://schemas.openxmlformats.org/officeDocument/2006/relationships/hyperlink" Id="rId73" Target="https://doi.org/10.1016/j.ecoser.2017.07.017" TargetMode="External" /><Relationship Type="http://schemas.openxmlformats.org/officeDocument/2006/relationships/hyperlink" Id="rId60" Target="https://doi.org/10.1016/j.rser.2013.08.041" TargetMode="External" /><Relationship Type="http://schemas.openxmlformats.org/officeDocument/2006/relationships/hyperlink" Id="rId69" Target="https://doi.org/10.1038/nclimate3287" TargetMode="External" /><Relationship Type="http://schemas.openxmlformats.org/officeDocument/2006/relationships/hyperlink" Id="rId67" Target="https://doi.org/10.1078/1433-8319-00080" TargetMode="External" /><Relationship Type="http://schemas.openxmlformats.org/officeDocument/2006/relationships/hyperlink" Id="rId75" Target="https://doi.org/10.1079/9780851995250.0339" TargetMode="External" /><Relationship Type="http://schemas.openxmlformats.org/officeDocument/2006/relationships/hyperlink" Id="rId68" Target="https://doi.org/10.1080/02723646.1989.10642386" TargetMode="External" /><Relationship Type="http://schemas.openxmlformats.org/officeDocument/2006/relationships/hyperlink" Id="rId63" Target="https://doi.org/10.1093/aob/mcs255" TargetMode="External" /><Relationship Type="http://schemas.openxmlformats.org/officeDocument/2006/relationships/hyperlink" Id="rId54" Target="https://doi.org/10.1111/0033-0124.5504008" TargetMode="External" /><Relationship Type="http://schemas.openxmlformats.org/officeDocument/2006/relationships/hyperlink" Id="rId52" Target="https://doi.org/10.1111/1365-2664.13229" TargetMode="External" /><Relationship Type="http://schemas.openxmlformats.org/officeDocument/2006/relationships/hyperlink" Id="rId66" Target="https://doi.org/10.1111/gcb.12789" TargetMode="External" /><Relationship Type="http://schemas.openxmlformats.org/officeDocument/2006/relationships/hyperlink" Id="rId62" Target="https://doi.org/10.1111/j.1365-2745.2008.01476.x" TargetMode="External" /><Relationship Type="http://schemas.openxmlformats.org/officeDocument/2006/relationships/hyperlink" Id="rId72" Target="https://doi.org/10.1111/j.1365-2745.2011.01833.x" TargetMode="External" /><Relationship Type="http://schemas.openxmlformats.org/officeDocument/2006/relationships/hyperlink" Id="rId70" Target="https://doi.org/10.1111/j.1472-4642.2007.00387.x" TargetMode="External" /><Relationship Type="http://schemas.openxmlformats.org/officeDocument/2006/relationships/hyperlink" Id="rId58" Target="https://doi.org/10.1111/jofo.12096" TargetMode="External" /><Relationship Type="http://schemas.openxmlformats.org/officeDocument/2006/relationships/hyperlink" Id="rId64" Target="https://doi.org/10.1371/journal.pmed1000097" TargetMode="External" /><Relationship Type="http://schemas.openxmlformats.org/officeDocument/2006/relationships/hyperlink" Id="rId50" Target="https://doi.org/10.1525/bio.2011.61.10.8" TargetMode="External" /><Relationship Type="http://schemas.openxmlformats.org/officeDocument/2006/relationships/hyperlink" Id="rId61" Target="https://doi.org/10.1890/1" TargetMode="External" /><Relationship Type="http://schemas.openxmlformats.org/officeDocument/2006/relationships/hyperlink" Id="rId53" Target="https://doi.org/10.3159/09-RA-069R1.1" TargetMode="External" /><Relationship Type="http://schemas.openxmlformats.org/officeDocument/2006/relationships/hyperlink" Id="rId56"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2018-11-17T19:50:02Z</dcterms:created>
  <dcterms:modified xsi:type="dcterms:W3CDTF">2018-11-17T19:50:02Z</dcterms:modified>
</cp:coreProperties>
</file>