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rPr>
          <w:i/>
        </w:rP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TableCaption"/>
      </w:pPr>
      <w:r>
        <w:t xml:space="preserve">Table 1: A proposed timeline of the three chapters</w:t>
      </w:r>
    </w:p>
    <w:tbl>
      <w:tblPr>
        <w:tblStyle w:val="TableNormal"/>
        <w:tblW w:type="pct" w:w="0.0"/>
        <w:tblLook w:firstRow="1"/>
        <w:tblCaption w:val="Table 1: A proposed timeline of the three chapters"/>
      </w:tblPr>
      <w:tblGrid/>
      <w:tr>
        <w:trPr>
          <w:cnfStyle w:firstRow="1"/>
        </w:trPr>
        <w:tc>
          <w:tcPr>
            <w:tcBorders>
              <w:bottom w:val="single"/>
            </w:tcBorders>
            <w:vAlign w:val="bottom"/>
          </w:tcPr>
          <w:p>
            <w:pPr>
              <w:pStyle w:val="Compact"/>
              <w:jc w:val="center"/>
            </w:pPr>
            <w:r>
              <w:t xml:space="preserve">Chapter</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Goal</w:t>
            </w:r>
          </w:p>
        </w:tc>
        <w:tc>
          <w:tcPr>
            <w:tcBorders>
              <w:bottom w:val="single"/>
            </w:tcBorders>
            <w:vAlign w:val="bottom"/>
          </w:tcPr>
          <w:p>
            <w:pPr>
              <w:pStyle w:val="Compact"/>
              <w:jc w:val="center"/>
            </w:pPr>
            <w:r>
              <w:t xml:space="preserve">Timeline</w:t>
            </w:r>
          </w:p>
        </w:tc>
      </w:tr>
      <w:tr>
        <w:tc>
          <w:p>
            <w:pPr>
              <w:pStyle w:val="Compact"/>
              <w:jc w:val="center"/>
            </w:pPr>
            <w:r>
              <w:t xml:space="preserve">1</w:t>
            </w:r>
          </w:p>
        </w:tc>
        <w:tc>
          <w:p>
            <w:pPr>
              <w:pStyle w:val="Compact"/>
              <w:jc w:val="center"/>
            </w:pPr>
            <w:r>
              <w:t xml:space="preserve">Fruiting metrics in Cactaceae- A meta-analysis</w:t>
            </w:r>
          </w:p>
        </w:tc>
        <w:tc>
          <w:p>
            <w:pPr>
              <w:pStyle w:val="Compact"/>
              <w:jc w:val="center"/>
            </w:pPr>
            <w:r>
              <w:t xml:space="preserve">Identify and isolate the combined results of relevant studies in Cactaceae in regards to fruiting patterns.</w:t>
            </w:r>
          </w:p>
        </w:tc>
        <w:tc>
          <w:p>
            <w:pPr>
              <w:pStyle w:val="Compact"/>
              <w:jc w:val="center"/>
            </w:pPr>
            <w:r>
              <w:t xml:space="preserve">Derived data extracted by December 2018. Paper written by January 2019.</w:t>
            </w:r>
          </w:p>
        </w:tc>
      </w:tr>
      <w:tr>
        <w:tc>
          <w:p>
            <w:pPr>
              <w:pStyle w:val="Compact"/>
              <w:jc w:val="center"/>
            </w:pPr>
            <w:r>
              <w:t xml:space="preserve">2</w:t>
            </w:r>
          </w:p>
        </w:tc>
        <w:tc>
          <w:p>
            <w:pPr>
              <w:pStyle w:val="Compact"/>
              <w:jc w:val="center"/>
            </w:pPr>
            <w:r>
              <w:t xml:space="preserve">Strength of birds as pollinators and seed dispersers in Cactaceae</w:t>
            </w:r>
          </w:p>
        </w:tc>
        <w:tc>
          <w:p>
            <w:pPr>
              <w:pStyle w:val="Compact"/>
              <w:jc w:val="center"/>
            </w:pPr>
            <w:r>
              <w:t xml:space="preserve">Connect bird interactions with flowering and fruiting in cacti of different endangerment status.</w:t>
            </w:r>
          </w:p>
        </w:tc>
        <w:tc>
          <w:p>
            <w:pPr>
              <w:pStyle w:val="Compact"/>
              <w:jc w:val="center"/>
            </w:pPr>
            <w:r>
              <w:t xml:space="preserve">Flowering field season January-February April-May 2019. Fruiting field season August 2019. Paper written by January 2020.</w:t>
            </w:r>
          </w:p>
        </w:tc>
      </w:tr>
      <w:tr>
        <w:tc>
          <w:p>
            <w:pPr>
              <w:pStyle w:val="Compact"/>
              <w:jc w:val="center"/>
            </w:pPr>
            <w:r>
              <w:t xml:space="preserve">3</w:t>
            </w:r>
          </w:p>
        </w:tc>
        <w:tc>
          <w:p>
            <w:pPr>
              <w:pStyle w:val="Compact"/>
              <w:jc w:val="center"/>
            </w:pPr>
            <w:r>
              <w:t xml:space="preserve">Avian pollination and seed dispersal influence on seed shadow of Cactaceae obligatory facilitatees</w:t>
            </w:r>
          </w:p>
        </w:tc>
        <w:tc>
          <w:p>
            <w:pPr>
              <w:pStyle w:val="Compact"/>
              <w:jc w:val="center"/>
            </w:pPr>
            <w:r>
              <w:t xml:space="preserve">Determine the role of birds as pollinators and seed dispersers for Saguaro ssp.</w:t>
            </w:r>
          </w:p>
        </w:tc>
        <w:tc>
          <w:p>
            <w:pPr>
              <w:pStyle w:val="Compact"/>
              <w:jc w:val="center"/>
            </w:pPr>
            <w:r>
              <w:t xml:space="preserve">Flowering field season April-May 2020. Fruiting field season August 2020. Paper written by December 2020.</w:t>
            </w:r>
          </w:p>
        </w:tc>
      </w:tr>
    </w:tbl>
    <w:p>
      <w:pPr>
        <w:pStyle w:val="Heading1"/>
      </w:pPr>
      <w:bookmarkStart w:id="22" w:name="introduction"/>
      <w:bookmarkEnd w:id="22"/>
      <w:r>
        <w:t xml:space="preserve">Introduction</w:t>
      </w:r>
    </w:p>
    <w:p>
      <w:pPr>
        <w:pStyle w:val="FirstParagraph"/>
      </w:pPr>
      <w:r>
        <w:t xml:space="preserve">Desert ecosystems are threatened by a variety of circumstances.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350 endangered/threatened plants and animals</w:t>
      </w:r>
      <w:r>
        <w:t xml:space="preserve"> </w:t>
      </w:r>
      <w:r>
        <w:t xml:space="preserve">(Natural Resources Agency State of California 2018a; Natural Resource Agency State of California 2018b)</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that support and sustain biodiversity in deserts.</w:t>
      </w:r>
    </w:p>
    <w:p>
      <w:pPr>
        <w:pStyle w:val="BodyText"/>
      </w:pPr>
      <w:r>
        <w:t xml:space="preserve">Positive interactions are any associative action between interspecifics where one species benefits performance or fitness of another in some capacity</w:t>
      </w:r>
      <w:r>
        <w:t xml:space="preserve"> </w:t>
      </w:r>
      <w:r>
        <w:t xml:space="preserve">(M. D. M. Bertness and Callaway 1994)</w:t>
      </w:r>
      <w:r>
        <w:t xml:space="preserve">. Positive interactions are shown to be strong determinants of the structure of ecosystems, thereby showing the interconnected and non-random way communities are formed</w:t>
      </w:r>
      <w:r>
        <w:t xml:space="preserve"> </w:t>
      </w:r>
      <w:r>
        <w:t xml:space="preserve">(R. M. Callaway 1997; Gelmi-Candusso, Heymann, and Heer 2017)</w:t>
      </w:r>
      <w:r>
        <w:t xml:space="preserve">. In a similar, but narrower sense, facilitation is the process by which a foundational species perpetuates the success of many other individuals within an ecosystem–particularly in years of high stress</w:t>
      </w:r>
      <w:r>
        <w:t xml:space="preserve"> </w:t>
      </w:r>
      <w:r>
        <w:t xml:space="preserve">(F. T. Maestre et al. 2009)</w:t>
      </w:r>
      <w:r>
        <w:t xml:space="preserve">. This concept suggests that facilitation amongst plants and animals by foundational species is a driving forces behind an ecosystem’s development</w:t>
      </w:r>
      <w:r>
        <w:t xml:space="preserve"> </w:t>
      </w:r>
      <w:r>
        <w:t xml:space="preserve">(Angelini et al. 2011; Almeida and Mikich 2018)</w:t>
      </w:r>
      <w:r>
        <w:t xml:space="preserve">. Additionally, these interactions are evolutionarily benefitial to parties due to the mutualistic nature of the benefits the interacting individuals may recieve both within and between species, even when costs are accounted for</w:t>
      </w:r>
      <w:r>
        <w:t xml:space="preserve"> </w:t>
      </w:r>
      <w:r>
        <w:t xml:space="preserve">(Barker et al. 2017; Bronstein 2009; Bronstein 2001)</w:t>
      </w:r>
      <w:r>
        <w:t xml:space="preserve">. In arid ecosystems, positive interactions can provide water and shade from excessive solar radiation for other plants and animals</w:t>
      </w:r>
      <w:r>
        <w:t xml:space="preserve"> </w:t>
      </w:r>
      <w:r>
        <w:t xml:space="preserve">(Flores-Torres and Galindo-Escamilla 2017; Miranda-Jacome, Montaña, and Fornoni 2013)</w:t>
      </w:r>
      <w:r>
        <w:t xml:space="preserve">, or to a lesser extent, prevent physical damage from herbivory, wind, and freezing temperatures</w:t>
      </w:r>
      <w:r>
        <w:t xml:space="preserve"> </w:t>
      </w:r>
      <w:r>
        <w:t xml:space="preserve">(Gomez-Aparicio et al. 2008; Parker 1989; Tewksbury and Lloyd 2001; P. S. Nobel 1980)</w:t>
      </w:r>
      <w:r>
        <w:t xml:space="preserve">. Benefactor plants provide these amenities to seedlings, improve recruitment, germination, and growth in juvenile plants</w:t>
      </w:r>
      <w:r>
        <w:t xml:space="preserve"> </w:t>
      </w:r>
      <w:r>
        <w:t xml:space="preserve">(Franco and Nobel 2009)</w:t>
      </w:r>
      <w:r>
        <w:t xml:space="preserve">. This makes benefactor plants important facilitators for many species. Some of these protege plants are even obligated to be deposited under the canopy of a benefactor plant to germinate at all</w:t>
      </w:r>
      <w:r>
        <w:t xml:space="preserve"> </w:t>
      </w:r>
      <w:r>
        <w:t xml:space="preserve">(Taly D. Drezner and Garrity 2003; Taly Dawn Drezner 2010)</w:t>
      </w:r>
      <w:r>
        <w:t xml:space="preserve">. Therefore, the benefactor plant is a limiting factor in the growth of many plant species.</w:t>
      </w:r>
    </w:p>
    <w:p>
      <w:pPr>
        <w:pStyle w:val="BodyText"/>
      </w:pPr>
      <w:r>
        <w:t xml:space="preserve">However, a seed must arrive under the canopy of a benefactor plant in order to recieve the benefits of associating with a benefactor.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benefactor plant as well as the effect of the endozoochorous disperser’s gut on germination rate and success</w:t>
      </w:r>
      <w:r>
        <w:t xml:space="preserve"> </w:t>
      </w:r>
      <w:r>
        <w:t xml:space="preserve">(Verdu and Traveset 2004; A. Traveset, Riera, and Mas 2001; A. Traveset and Verdú 2002)</w:t>
      </w:r>
      <w:r>
        <w:t xml:space="preserve">. This research provides the base work to enhance our knowledge on the relative importance of dispersers, particularly in arid ecosystems and to the end of deposition at facilitating benefactor plants. These interactions are examples of non-trophic, mechanistic pathways that directly determine the biodiversity of birds and cacti, and indirectly influences the biodiversity of other benefactor species, as cacti are keystone species in arid ecosystems</w:t>
      </w:r>
      <w:r>
        <w:t xml:space="preserve"> </w:t>
      </w:r>
      <w:r>
        <w:t xml:space="preserve">(Lortie, Filazzola, and Sotomayor 2016)</w:t>
      </w:r>
      <w:r>
        <w:t xml:space="preserve">.</w:t>
      </w:r>
    </w:p>
    <w:p>
      <w:pPr>
        <w:pStyle w:val="BodyText"/>
      </w:pPr>
      <w:r>
        <w:t xml:space="preserve">In order to be dispersed via bird frugivory, a cactus must have some characteristic which drives that frugivory. As allocation theory suggests, cacti have evolved to allocate energy and resources to anatomical traits that best increase their relative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 Fruit and frugivory are not the only ways birds increase fitness of cacti. Fruiting is dependent on pollination, a service that birds, particularly hummingbirds, can provide. The magnet species hypothesis suggests that pollinators are drawn to</w:t>
      </w:r>
      <w:r>
        <w:t xml:space="preserve"> </w:t>
      </w:r>
      <w:r>
        <w:t xml:space="preserve">“</w:t>
      </w:r>
      <w:r>
        <w:t xml:space="preserve">showier</w:t>
      </w:r>
      <w:r>
        <w:t xml:space="preserve">”</w:t>
      </w:r>
      <w:r>
        <w:t xml:space="preserve"> </w:t>
      </w:r>
      <w:r>
        <w:t xml:space="preserve">flowering displays, creating a pollinator-rich area which surrounding plants benefit from</w:t>
      </w:r>
      <w:r>
        <w:t xml:space="preserve"> </w:t>
      </w:r>
      <w:r>
        <w:t xml:space="preserve">(Thomson 1978; Johnson et al. 2003; Wolf and Hainsworth 1990)</w:t>
      </w:r>
      <w:r>
        <w:t xml:space="preserve">. Height of infloresence is another contributing factor to hummingbird pollinator visitation, as higher flowers are more likely to be seen by flying hummingbirds</w:t>
      </w:r>
      <w:r>
        <w:t xml:space="preserve"> </w:t>
      </w:r>
      <w:r>
        <w:t xml:space="preserve">(Wolf and Hainsworth 1990; Mitchell 1994)</w:t>
      </w:r>
      <w:r>
        <w:t xml:space="preserve">. If larger cacti have more flowers and produce more fruit, we may expect more hummingbird pollinator visits, and therefore, increased relative fitness.</w:t>
      </w:r>
    </w:p>
    <w:p>
      <w:pPr>
        <w:pStyle w:val="BodyText"/>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sucessfully. In these studies, we will identify the pollinating and dispersig strength of birds for different species and characteristics of cacti, and increase understanding of interactions at the community level’s role in determining an ecosystem’s biotic structure.</w:t>
      </w:r>
    </w:p>
    <w:p>
      <w:pPr>
        <w:pStyle w:val="Heading2"/>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The Sweeney Granite Mountains Desert Research Center in the Mojave Desert (34.8056°N, 115.6639°W) is located in San Bernadino Country. It boasts a high species richness of 504 vascular plant, 156 birds, 42 mammals, and 2 amphibians (cite).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WWP is the West Coast’s largest nonprofit preserve in the Western at 93,000 acres (34.9943°N, 119.1854°W). It is located within Kern County, CA. The elevation of the site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 2006)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 (2006)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(P. S. Nobel 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(Natural Resource Agency State of California 2018b)</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benefactor plants</w:t>
      </w:r>
      <w:r>
        <w:t xml:space="preserve"> </w:t>
      </w:r>
      <w:r>
        <w:t xml:space="preserve">(Taly Dawn Drezner 2014)</w:t>
      </w:r>
      <w:r>
        <w:t xml:space="preserve">. They also require wet environments for germination, a limiting factor in the American Southwest</w:t>
      </w:r>
      <w:r>
        <w:t xml:space="preserve"> </w:t>
      </w:r>
      <w:r>
        <w:t xml:space="preserve">(Turner et al. 1966)</w:t>
      </w:r>
      <w:r>
        <w:t xml:space="preserve">.</w:t>
      </w:r>
    </w:p>
    <w:p>
      <w:pPr>
        <w:pStyle w:val="Heading1"/>
      </w:pPr>
      <w:bookmarkStart w:id="25" w:name="chapter-1-fruiting-metrics-in-cactaceae-a-meta-analysis"/>
      <w:bookmarkEnd w:id="25"/>
      <w:r>
        <w:t xml:space="preserve">Chapter 1: Fruiting metrics in Cactaceae: A meta-analysis</w:t>
      </w:r>
    </w:p>
    <w:p>
      <w:pPr>
        <w:pStyle w:val="Heading2"/>
      </w:pPr>
      <w:bookmarkStart w:id="26" w:name="purpose"/>
      <w:bookmarkEnd w:id="26"/>
      <w:r>
        <w:t xml:space="preserve">Purpose</w:t>
      </w:r>
    </w:p>
    <w:p>
      <w:pPr>
        <w:pStyle w:val="FirstParagraph"/>
      </w:pPr>
      <w:r>
        <w:t xml:space="preserve">This meta-analysis will provide a comprehensive analysis of studies related to fruit and seeds of plants within the Cactaceae family including allocation theory.</w:t>
      </w:r>
    </w:p>
    <w:p>
      <w:pPr>
        <w:pStyle w:val="Heading2"/>
      </w:pPr>
      <w:bookmarkStart w:id="27" w:name="research-questions"/>
      <w:bookmarkEnd w:id="27"/>
      <w:r>
        <w:t xml:space="preserve">Research Questions</w:t>
      </w:r>
    </w:p>
    <w:p>
      <w:pPr>
        <w:pStyle w:val="Compact"/>
        <w:numPr>
          <w:numId w:val="1001"/>
          <w:ilvl w:val="0"/>
        </w:numPr>
      </w:pPr>
      <w:r>
        <w:t xml:space="preserve">Are fruit and seed size dependent?</w:t>
      </w:r>
    </w:p>
    <w:p>
      <w:pPr>
        <w:pStyle w:val="Compact"/>
        <w:numPr>
          <w:numId w:val="1001"/>
          <w:ilvl w:val="0"/>
        </w:numPr>
      </w:pPr>
      <w:r>
        <w:t xml:space="preserve">Is there a relationship between reported individual fruit size and seed production?</w:t>
      </w:r>
    </w:p>
    <w:p>
      <w:pPr>
        <w:pStyle w:val="Compact"/>
        <w:numPr>
          <w:numId w:val="1001"/>
          <w:ilvl w:val="0"/>
        </w:numPr>
      </w:pPr>
      <w:r>
        <w:t xml:space="preserve">Are size and branching related to age, and do they influence reproductive success independent of age?</w:t>
      </w:r>
    </w:p>
    <w:p>
      <w:pPr>
        <w:pStyle w:val="Compact"/>
        <w:numPr>
          <w:numId w:val="1001"/>
          <w:ilvl w:val="0"/>
        </w:numPr>
      </w:pPr>
      <w:r>
        <w:t xml:space="preserve">Are cacti species nearer on the pylogenetic tree allocating energy in similar ways?</w:t>
      </w:r>
    </w:p>
    <w:p>
      <w:pPr>
        <w:pStyle w:val="Heading2"/>
      </w:pPr>
      <w:bookmarkStart w:id="28" w:name="strategy-of-the-systematic-review"/>
      <w:bookmarkEnd w:id="28"/>
      <w:r>
        <w:t xml:space="preserve">Strategy of the systematic review</w:t>
      </w:r>
    </w:p>
    <w:p>
      <w:pPr>
        <w:pStyle w:val="FirstParagraph"/>
      </w:pPr>
      <w:r>
        <w:t xml:space="preserve">I will perform a systematic review of fruiting cacti and their size, isolating the relevant studies as data points for a meta-analysis through a series of filtering mechanisms (Fig 1). The following search terms were used in Web of Science:</w:t>
      </w:r>
      <w:r>
        <w:t xml:space="preserve"> </w:t>
      </w:r>
      <w:r>
        <w:t xml:space="preserve">“</w:t>
      </w:r>
      <w:r>
        <w:t xml:space="preserve">cact</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fruit</w:t>
      </w:r>
      <w:r>
        <w:t xml:space="preserve">”</w:t>
      </w:r>
      <w:r>
        <w:t xml:space="preserve">,</w:t>
      </w:r>
      <w:r>
        <w:t xml:space="preserve"> </w:t>
      </w:r>
      <w:r>
        <w:t xml:space="preserve">“</w:t>
      </w:r>
      <w:r>
        <w:t xml:space="preserve">allocat</w:t>
      </w:r>
      <w:r>
        <w:t xml:space="preserve">”</w:t>
      </w:r>
      <w:r>
        <w:t xml:space="preserve">, and</w:t>
      </w:r>
      <w:r>
        <w:t xml:space="preserve"> </w:t>
      </w:r>
      <w:r>
        <w:t xml:space="preserve">“</w:t>
      </w:r>
      <w:r>
        <w:t xml:space="preserve">size</w:t>
      </w:r>
      <w:r>
        <w:t xml:space="preserve">”</w:t>
      </w:r>
      <w:r>
        <w:t xml:space="preserve">. All papers must have been published in the past 5 years, be ecological in discipline, and report a regression or correlation coefficient.</w:t>
      </w:r>
    </w:p>
    <w:p>
      <w:pPr>
        <w:pStyle w:val="Heading2"/>
      </w:pPr>
      <w:bookmarkStart w:id="29" w:name="progress-to-date"/>
      <w:bookmarkEnd w:id="29"/>
      <w:r>
        <w:t xml:space="preserve">Progress to date</w:t>
      </w:r>
    </w:p>
    <w:p>
      <w:pPr>
        <w:pStyle w:val="FirstParagraph"/>
      </w:pPr>
      <w:r>
        <w:t xml:space="preserve">At this time, 302 papers have been compiled after removing duplicates. Next steps are identifying papers as fitting requirements prefaced above, and then compiling the data points (regression and correlation coefficients). Finally, we will summarize the pooled results of the relevant papers.</w:t>
      </w:r>
    </w:p>
    <w:p>
      <w:pPr>
        <w:pStyle w:val="FigureWithCaption"/>
      </w:pPr>
      <w:r>
        <w:drawing>
          <wp:inline>
            <wp:extent cx="5334000" cy="5038264"/>
            <wp:effectExtent b="0" l="0" r="0" t="0"/>
            <wp:docPr descr="Fig 1: A PRIMSA statement identifying the workflow completed to date for the systematic review of papers to be included in the meta-analysis (Moher et al. 2009)." title="" id="1" name="Picture"/>
            <a:graphic>
              <a:graphicData uri="http://schemas.openxmlformats.org/drawingml/2006/picture">
                <pic:pic>
                  <pic:nvPicPr>
                    <pic:cNvPr descr="PRISMA.PNG" id="0" name="Picture"/>
                    <pic:cNvPicPr>
                      <a:picLocks noChangeArrowheads="1" noChangeAspect="1"/>
                    </pic:cNvPicPr>
                  </pic:nvPicPr>
                  <pic:blipFill>
                    <a:blip r:embed="rId30"/>
                    <a:stretch>
                      <a:fillRect/>
                    </a:stretch>
                  </pic:blipFill>
                  <pic:spPr bwMode="auto">
                    <a:xfrm>
                      <a:off x="0" y="0"/>
                      <a:ext cx="5334000" cy="5038264"/>
                    </a:xfrm>
                    <a:prstGeom prst="rect">
                      <a:avLst/>
                    </a:prstGeom>
                    <a:noFill/>
                    <a:ln w="9525">
                      <a:noFill/>
                      <a:headEnd/>
                      <a:tailEnd/>
                    </a:ln>
                  </pic:spPr>
                </pic:pic>
              </a:graphicData>
            </a:graphic>
          </wp:inline>
        </w:drawing>
      </w:r>
    </w:p>
    <w:p>
      <w:pPr>
        <w:pStyle w:val="ImageCaption"/>
      </w:pPr>
      <w:r>
        <w:t xml:space="preserve">Fig 1: A PRIMSA statement identifying the workflow completed to date for the systematic review of papers to be included in the meta-analysis</w:t>
      </w:r>
      <w:r>
        <w:t xml:space="preserve"> </w:t>
      </w:r>
      <w:r>
        <w:t xml:space="preserve">(Moher et al. 2009)</w:t>
      </w:r>
      <w:r>
        <w:t xml:space="preserve">.</w:t>
      </w:r>
    </w:p>
    <w:p>
      <w:pPr>
        <w:pStyle w:val="Heading1"/>
      </w:pPr>
      <w:bookmarkStart w:id="31" w:name="chapter-2-strength-of-birds-as-pollinators-and-seed-dispersers-in-cactaceae"/>
      <w:bookmarkEnd w:id="31"/>
      <w:r>
        <w:t xml:space="preserve">Chapter 2: Strength of birds as pollinators and seed dispersers in Cactaceae</w:t>
      </w:r>
    </w:p>
    <w:p>
      <w:pPr>
        <w:pStyle w:val="Heading2"/>
      </w:pPr>
      <w:bookmarkStart w:id="32" w:name="purpose-1"/>
      <w:bookmarkEnd w:id="32"/>
      <w:r>
        <w:t xml:space="preserve">Purpose</w:t>
      </w:r>
    </w:p>
    <w:p>
      <w:pPr>
        <w:pStyle w:val="FirstParagraph"/>
      </w:pPr>
      <w:r>
        <w:t xml:space="preserve">This chapter will examine the interactions between pollinating/frugivorous bird interactions and observed and experimentally manipulated characteristics for 3 cacti species.</w:t>
      </w:r>
    </w:p>
    <w:p>
      <w:pPr>
        <w:pStyle w:val="Heading2"/>
      </w:pPr>
      <w:bookmarkStart w:id="33" w:name="research-questions-1"/>
      <w:bookmarkEnd w:id="33"/>
      <w:r>
        <w:t xml:space="preserve">Research Questions</w:t>
      </w:r>
    </w:p>
    <w:p>
      <w:pPr>
        <w:pStyle w:val="Compact"/>
        <w:numPr>
          <w:numId w:val="1002"/>
          <w:ilvl w:val="0"/>
        </w:numPr>
      </w:pPr>
      <w:r>
        <w:t xml:space="preserve">Is cactus size an indicator for fruit mass/abundance? For flower abundance?</w:t>
      </w:r>
    </w:p>
    <w:p>
      <w:pPr>
        <w:pStyle w:val="Compact"/>
        <w:numPr>
          <w:numId w:val="1002"/>
          <w:ilvl w:val="0"/>
        </w:numPr>
      </w:pPr>
      <w:r>
        <w:t xml:space="preserve">Is there a positive relationship between number of seeds per fruit and fruit size in the cacti of interest?</w:t>
      </w:r>
    </w:p>
    <w:p>
      <w:pPr>
        <w:pStyle w:val="Compact"/>
        <w:numPr>
          <w:numId w:val="1002"/>
          <w:ilvl w:val="0"/>
        </w:numPr>
      </w:pPr>
      <w:r>
        <w:t xml:space="preserve">Are frugivorous birds stronger dispersers for larger cacti?</w:t>
      </w:r>
    </w:p>
    <w:p>
      <w:pPr>
        <w:pStyle w:val="Compact"/>
        <w:numPr>
          <w:numId w:val="1002"/>
          <w:ilvl w:val="0"/>
        </w:numPr>
      </w:pPr>
      <w:r>
        <w:t xml:space="preserve">Are pollinating birds (hummingbirds) optimally foraging at larger cacti?</w:t>
      </w:r>
    </w:p>
    <w:p>
      <w:pPr>
        <w:pStyle w:val="Heading2"/>
      </w:pPr>
      <w:bookmarkStart w:id="34" w:name="hypotheses-and-predictions"/>
      <w:bookmarkEnd w:id="34"/>
      <w:r>
        <w:t xml:space="preserve">Hypotheses and Predictions</w:t>
      </w:r>
    </w:p>
    <w:p>
      <w:pPr>
        <w:pStyle w:val="FirstParagraph"/>
      </w:pPr>
      <w:r>
        <w:t xml:space="preserve">Hypothesis: Birds and cacti are linked through positive interactions in desert ecosystems, with plant size being a determining factor of interaction strength.</w:t>
      </w:r>
      <w:r>
        <w:t xml:space="preserve"> </w:t>
      </w:r>
      <w:r>
        <w:t xml:space="preserve">Preditions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p>
    <w:p>
      <w:pPr>
        <w:pStyle w:val="Heading2"/>
      </w:pPr>
      <w:bookmarkStart w:id="35" w:name="factors"/>
      <w:bookmarkEnd w:id="35"/>
      <w:r>
        <w:t xml:space="preserve">Factors</w:t>
      </w:r>
    </w:p>
    <w:p>
      <w:pPr>
        <w:pStyle w:val="Compact"/>
        <w:numPr>
          <w:numId w:val="1003"/>
          <w:ilvl w:val="0"/>
        </w:numPr>
      </w:pPr>
      <w:r>
        <w:rPr>
          <w:b/>
        </w:rPr>
        <w:t xml:space="preserve">Microhabitat</w:t>
      </w:r>
      <w:r>
        <w:t xml:space="preserve">: Open/Cactus</w:t>
      </w:r>
    </w:p>
    <w:p>
      <w:pPr>
        <w:pStyle w:val="Compact"/>
        <w:numPr>
          <w:numId w:val="1003"/>
          <w:ilvl w:val="0"/>
        </w:numPr>
      </w:pPr>
      <w:r>
        <w:rPr>
          <w:i/>
        </w:rPr>
        <w:t xml:space="preserve">Open is the control for cactus presence</w:t>
      </w:r>
    </w:p>
    <w:p>
      <w:pPr>
        <w:pStyle w:val="Compact"/>
        <w:numPr>
          <w:numId w:val="1003"/>
          <w:ilvl w:val="0"/>
        </w:numPr>
      </w:pPr>
      <w:r>
        <w:rPr>
          <w:b/>
        </w:rPr>
        <w:t xml:space="preserve">Species of cactus</w:t>
      </w:r>
      <w:r>
        <w:t xml:space="preserve">:</w:t>
      </w:r>
      <w:r>
        <w:t xml:space="preserve"> </w:t>
      </w:r>
      <w:r>
        <w:rPr>
          <w:i/>
        </w:rPr>
        <w:t xml:space="preserve">Opuntia basilaris</w:t>
      </w:r>
      <w:r>
        <w:t xml:space="preserve"> </w:t>
      </w:r>
      <w:r>
        <w:t xml:space="preserve">var.</w:t>
      </w:r>
      <w:r>
        <w:t xml:space="preserve"> </w:t>
      </w:r>
      <w:r>
        <w:rPr>
          <w:i/>
        </w:rPr>
        <w:t xml:space="preserve">basilaris</w:t>
      </w:r>
      <w:r>
        <w:t xml:space="preserve">,</w:t>
      </w:r>
      <w:r>
        <w:t xml:space="preserve"> </w:t>
      </w:r>
      <w:r>
        <w:rPr>
          <w:i/>
        </w:rPr>
        <w:t xml:space="preserve">Opuntia basiliaris</w:t>
      </w:r>
      <w:r>
        <w:t xml:space="preserve"> </w:t>
      </w:r>
      <w:r>
        <w:t xml:space="preserve">var.</w:t>
      </w:r>
      <w:r>
        <w:t xml:space="preserve"> </w:t>
      </w:r>
      <w:r>
        <w:rPr>
          <w:i/>
        </w:rPr>
        <w:t xml:space="preserve">treleasei</w:t>
      </w:r>
      <w:r>
        <w:t xml:space="preserve">, or</w:t>
      </w:r>
      <w:r>
        <w:t xml:space="preserve"> </w:t>
      </w:r>
      <w:r>
        <w:rPr>
          <w:i/>
        </w:rPr>
        <w:t xml:space="preserve">Cylindropuntia anthrocarpa</w:t>
      </w:r>
    </w:p>
    <w:p>
      <w:pPr>
        <w:pStyle w:val="Compact"/>
        <w:numPr>
          <w:numId w:val="1003"/>
          <w:ilvl w:val="0"/>
        </w:numPr>
      </w:pPr>
      <w:r>
        <w:rPr>
          <w:b/>
        </w:rPr>
        <w:t xml:space="preserve">Size of cactus individual</w:t>
      </w:r>
      <w:r>
        <w:t xml:space="preserve">: Large, medium, small as defined by equally-sized bins after the preliminary survey</w:t>
      </w:r>
    </w:p>
    <w:p>
      <w:pPr>
        <w:pStyle w:val="Compact"/>
        <w:numPr>
          <w:numId w:val="1003"/>
          <w:ilvl w:val="0"/>
        </w:numPr>
      </w:pPr>
      <w:r>
        <w:rPr>
          <w:b/>
        </w:rPr>
        <w:t xml:space="preserve">Percentage of flower/fruit on cactus</w:t>
      </w:r>
      <w:r>
        <w:t xml:space="preserve">: 0%, 50%, 100%</w:t>
      </w:r>
    </w:p>
    <w:p>
      <w:pPr>
        <w:pStyle w:val="Compact"/>
        <w:numPr>
          <w:numId w:val="1003"/>
          <w:ilvl w:val="0"/>
        </w:numPr>
      </w:pPr>
      <w:r>
        <w:rPr>
          <w:i/>
        </w:rPr>
        <w:t xml:space="preserve">0% fruit on cactus is the negative control, 100% fruit on cactus is positive control for fruit abundance</w:t>
      </w:r>
    </w:p>
    <w:p>
      <w:pPr>
        <w:pStyle w:val="Heading2"/>
      </w:pPr>
      <w:bookmarkStart w:id="36" w:name="responses"/>
      <w:bookmarkEnd w:id="36"/>
      <w:r>
        <w:t xml:space="preserve">Responses</w:t>
      </w:r>
    </w:p>
    <w:p>
      <w:pPr>
        <w:pStyle w:val="Compact"/>
        <w:numPr>
          <w:numId w:val="1004"/>
          <w:ilvl w:val="0"/>
        </w:numPr>
      </w:pPr>
      <w:r>
        <w:t xml:space="preserve">Mass of individual fruits</w:t>
      </w:r>
    </w:p>
    <w:p>
      <w:pPr>
        <w:pStyle w:val="Compact"/>
        <w:numPr>
          <w:numId w:val="1004"/>
          <w:ilvl w:val="0"/>
        </w:numPr>
      </w:pPr>
      <w:r>
        <w:t xml:space="preserve">Mass of individual seeds</w:t>
      </w:r>
    </w:p>
    <w:p>
      <w:pPr>
        <w:pStyle w:val="Compact"/>
        <w:numPr>
          <w:numId w:val="1004"/>
          <w:ilvl w:val="0"/>
        </w:numPr>
      </w:pPr>
      <w:r>
        <w:t xml:space="preserve">Number of fruits per cactus</w:t>
      </w:r>
    </w:p>
    <w:p>
      <w:pPr>
        <w:pStyle w:val="Compact"/>
        <w:numPr>
          <w:numId w:val="1004"/>
          <w:ilvl w:val="0"/>
        </w:numPr>
      </w:pPr>
      <w:r>
        <w:t xml:space="preserve">Number of seeds per fruit</w:t>
      </w:r>
    </w:p>
    <w:p>
      <w:pPr>
        <w:pStyle w:val="Compact"/>
        <w:numPr>
          <w:numId w:val="1004"/>
          <w:ilvl w:val="0"/>
        </w:numPr>
      </w:pPr>
      <w:r>
        <w:t xml:space="preserve">Bird visitation rate</w:t>
      </w:r>
    </w:p>
    <w:p>
      <w:pPr>
        <w:pStyle w:val="Compact"/>
        <w:numPr>
          <w:numId w:val="1004"/>
          <w:ilvl w:val="0"/>
        </w:numPr>
      </w:pPr>
      <w:r>
        <w:t xml:space="preserve">Species richness and diversity per cactus</w:t>
      </w:r>
    </w:p>
    <w:p>
      <w:pPr>
        <w:pStyle w:val="Compact"/>
        <w:numPr>
          <w:numId w:val="1004"/>
          <w:ilvl w:val="0"/>
        </w:numPr>
      </w:pPr>
      <w:r>
        <w:t xml:space="preserve">Proportion of frugivous birds present relative to non frugivorous birds</w:t>
      </w:r>
    </w:p>
    <w:p>
      <w:pPr>
        <w:pStyle w:val="Heading2"/>
      </w:pPr>
      <w:bookmarkStart w:id="37" w:name="methods-and-experimental-design"/>
      <w:bookmarkEnd w:id="37"/>
      <w:r>
        <w:t xml:space="preserve">Methods and Experimental Design</w:t>
      </w:r>
    </w:p>
    <w:p>
      <w:pPr>
        <w:pStyle w:val="Heading3"/>
      </w:pPr>
      <w:bookmarkStart w:id="38" w:name="site-specific-metrics"/>
      <w:bookmarkEnd w:id="38"/>
      <w:r>
        <w:t xml:space="preserve">Site specific metrics</w:t>
      </w:r>
    </w:p>
    <w:p>
      <w:pPr>
        <w:pStyle w:val="FirstParagraph"/>
      </w:pPr>
      <w:r>
        <w:t xml:space="preserve">A preliminary survey of 100 individuals for each study species will be done at the start of the growing season in 2019. The individuals will be selected using a random number generator corresponding to individuals on transects. The size of cacti will be measured including height, dbh, and total number of branches.</w:t>
      </w:r>
      <w:r>
        <w:t xml:space="preserve"> </w:t>
      </w:r>
      <w:r>
        <w:rPr>
          <w:i/>
        </w:rPr>
        <w:t xml:space="preserve">Opuntia basilaris</w:t>
      </w:r>
      <w:r>
        <w:t xml:space="preserve"> </w:t>
      </w:r>
      <w:r>
        <w:t xml:space="preserve">var.</w:t>
      </w:r>
      <w:r>
        <w:t xml:space="preserve"> </w:t>
      </w:r>
      <w:r>
        <w:rPr>
          <w:i/>
        </w:rPr>
        <w:t xml:space="preserve">basilaris</w:t>
      </w:r>
      <w:r>
        <w:t xml:space="preserve"> </w:t>
      </w:r>
      <w:r>
        <w:t xml:space="preserve">and</w:t>
      </w:r>
      <w:r>
        <w:t xml:space="preserve"> </w:t>
      </w:r>
      <w:r>
        <w:rPr>
          <w:i/>
        </w:rPr>
        <w:t xml:space="preserve">Cylindropuntia anthrocarpa</w:t>
      </w:r>
      <w:r>
        <w:t xml:space="preserve"> </w:t>
      </w:r>
      <w:r>
        <w:t xml:space="preserve">are found in the SGMDRC, whereas</w:t>
      </w:r>
      <w:r>
        <w:t xml:space="preserve"> </w:t>
      </w:r>
      <w:r>
        <w:rPr>
          <w:i/>
        </w:rPr>
        <w:t xml:space="preserve">Oputnia basilaris</w:t>
      </w:r>
      <w:r>
        <w:t xml:space="preserve"> </w:t>
      </w:r>
      <w:r>
        <w:t xml:space="preserve">var.</w:t>
      </w:r>
      <w:r>
        <w:t xml:space="preserve"> </w:t>
      </w:r>
      <w:r>
        <w:rPr>
          <w:i/>
        </w:rPr>
        <w:t xml:space="preserve">treleasei</w:t>
      </w:r>
      <w:r>
        <w:t xml:space="preserve"> </w:t>
      </w:r>
      <w:r>
        <w:t xml:space="preserve">is found at WWP. On each transect, the total density of all cacti species will also be recorded using a distance to nearest neighbor point measure in a line transect</w:t>
      </w:r>
      <w:r>
        <w:t xml:space="preserve"> </w:t>
      </w:r>
      <w:r>
        <w:t xml:space="preserve">(Krebs 2014)</w:t>
      </w:r>
      <w:r>
        <w:t xml:space="preserve">. Transects are 100m long, starting from a randomly generated point, with a point of measurement being every 5m. There will be 6 replications of transects. The preliminary week is to ensure my sample size and time frame are reasonable, should any components of the experimental design require revision.</w:t>
      </w:r>
    </w:p>
    <w:p>
      <w:pPr>
        <w:pStyle w:val="BodyText"/>
      </w:pPr>
      <w:r>
        <w:t xml:space="preserve">In addition to surveying cactus density and diversity, we will also conduct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pPr>
        <w:pStyle w:val="Heading3"/>
      </w:pPr>
      <w:bookmarkStart w:id="39" w:name="flowering-experiment"/>
      <w:bookmarkEnd w:id="39"/>
      <w:r>
        <w:t xml:space="preserve">Flowering Experiment</w:t>
      </w:r>
    </w:p>
    <w:p>
      <w:pPr>
        <w:pStyle w:val="FirstParagraph"/>
      </w:pPr>
      <w:r>
        <w:t xml:space="preserve">Pending the exploratory week, we will return in April/May during the flowering season to observe pollinating birds interactions with 270 cactus individuals. The cacti will have different levels of manipulated</w:t>
      </w:r>
      <w:r>
        <w:t xml:space="preserve"> </w:t>
      </w:r>
      <w:r>
        <w:t xml:space="preserve">“</w:t>
      </w:r>
      <w:r>
        <w:t xml:space="preserve">showiness</w:t>
      </w:r>
      <w:r>
        <w:t xml:space="preserve">”</w:t>
      </w:r>
      <w:r>
        <w:t xml:space="preserve"> </w:t>
      </w:r>
      <w:r>
        <w:t xml:space="preserve">(0%, 50%, 100% percent of flowers) of the 3 size classes and 3 species. We will snip X% of buds off the cactus, but also record the number of blooming flowers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1-hour observations in mornings and evenings at each combination of variables 4 times and at an open, cactusless site (40 hours of observations). During this time, we will also be equipped with audio recorders with parabolic shields to make recordings of bird calls</w:t>
      </w:r>
      <w:r>
        <w:t xml:space="preserve"> </w:t>
      </w:r>
      <w:r>
        <w:rPr>
          <w:i/>
        </w:rPr>
        <w:t xml:space="preserve">ad libitum</w:t>
      </w:r>
      <w:r>
        <w:t xml:space="preserve">.</w:t>
      </w:r>
    </w:p>
    <w:p>
      <w:pPr>
        <w:pStyle w:val="Heading3"/>
      </w:pPr>
      <w:bookmarkStart w:id="40" w:name="fruiting-experiment"/>
      <w:bookmarkEnd w:id="40"/>
      <w:r>
        <w:t xml:space="preserve">Fruiting Experiment</w:t>
      </w:r>
    </w:p>
    <w:p>
      <w:pPr>
        <w:pStyle w:val="FirstParagraph"/>
      </w:pPr>
      <w:r>
        <w:t xml:space="preserve">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cactusless site (40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pPr>
        <w:pStyle w:val="Heading2"/>
      </w:pPr>
      <w:bookmarkStart w:id="41" w:name="paired-flower-and-fruit-observations"/>
      <w:bookmarkEnd w:id="41"/>
      <w:r>
        <w:t xml:space="preserve">Paired Flower and Fruit Observations</w:t>
      </w:r>
    </w:p>
    <w:p>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pStyle w:val="Heading1"/>
      </w:pPr>
      <w:bookmarkStart w:id="42" w:name="chapter-3-avian-pollination-and-seed-dispersal-influence-on-seed-shadow-of-cactaceae-obligate-protege-plants"/>
      <w:bookmarkEnd w:id="42"/>
      <w:r>
        <w:t xml:space="preserve">Chapter 3: Avian pollination and seed dispersal influence on seed shadow of Cactaceae obligate protege plants</w:t>
      </w:r>
    </w:p>
    <w:p>
      <w:pPr>
        <w:pStyle w:val="Heading2"/>
      </w:pPr>
      <w:bookmarkStart w:id="43" w:name="purpose-2"/>
      <w:bookmarkEnd w:id="43"/>
      <w:r>
        <w:t xml:space="preserve">Purpose</w:t>
      </w:r>
    </w:p>
    <w:p>
      <w:pPr>
        <w:pStyle w:val="FirstParagraph"/>
      </w:pPr>
      <w:r>
        <w:t xml:space="preserve">This chapter will test the importance of birds as seed dispersers for cacti which are, at different life stages, beneficiaries and benefactors of facilitating plants and animals respectively. Specifically, the Saguaro cactus. This chapter has nearly the same methods as Chapter 2, except an additional step to link birds to saguaro facilitators.</w:t>
      </w:r>
    </w:p>
    <w:p>
      <w:pPr>
        <w:pStyle w:val="Heading2"/>
      </w:pPr>
      <w:bookmarkStart w:id="44" w:name="research-questions-2"/>
      <w:bookmarkEnd w:id="44"/>
      <w:r>
        <w:t xml:space="preserve">Research Questions</w:t>
      </w:r>
    </w:p>
    <w:p>
      <w:pPr>
        <w:pStyle w:val="Compact"/>
        <w:numPr>
          <w:numId w:val="1005"/>
          <w:ilvl w:val="0"/>
        </w:numPr>
      </w:pPr>
      <w:r>
        <w:t xml:space="preserve">Does flower number predict fruit number?</w:t>
      </w:r>
    </w:p>
    <w:p>
      <w:pPr>
        <w:pStyle w:val="Compact"/>
        <w:numPr>
          <w:numId w:val="1005"/>
          <w:ilvl w:val="0"/>
        </w:numPr>
      </w:pPr>
      <w:r>
        <w:t xml:space="preserve">Do larger cacti produce more flowers/fruits, or higher mass fruits than smaller cacti?</w:t>
      </w:r>
    </w:p>
    <w:p>
      <w:pPr>
        <w:pStyle w:val="Compact"/>
        <w:numPr>
          <w:numId w:val="1005"/>
          <w:ilvl w:val="0"/>
        </w:numPr>
      </w:pPr>
      <w:r>
        <w:t xml:space="preserve">Do larger fruits produce more seeds, or higher mass seeds than smaller fruits?</w:t>
      </w:r>
    </w:p>
    <w:p>
      <w:pPr>
        <w:pStyle w:val="Compact"/>
        <w:numPr>
          <w:numId w:val="1005"/>
          <w:ilvl w:val="0"/>
        </w:numPr>
      </w:pPr>
      <w:r>
        <w:t xml:space="preserve">Are frugivorous birds more frequent at for larger cacti?</w:t>
      </w:r>
    </w:p>
    <w:p>
      <w:pPr>
        <w:pStyle w:val="Compact"/>
        <w:numPr>
          <w:numId w:val="1005"/>
          <w:ilvl w:val="0"/>
        </w:numPr>
      </w:pPr>
      <w:r>
        <w:t xml:space="preserve">Are pollinating birds (hummingbirds) optimally foraging at larger cacti?</w:t>
      </w:r>
    </w:p>
    <w:p>
      <w:pPr>
        <w:pStyle w:val="Compact"/>
        <w:numPr>
          <w:numId w:val="1005"/>
          <w:ilvl w:val="0"/>
        </w:numPr>
      </w:pPr>
      <w:r>
        <w:t xml:space="preserve">Do birds produce seed rain in favorable habitats for germinating seedlings (under a benefactor shrub canopy)?</w:t>
      </w:r>
    </w:p>
    <w:p>
      <w:pPr>
        <w:pStyle w:val="Heading2"/>
      </w:pPr>
      <w:bookmarkStart w:id="45" w:name="hypotheses"/>
      <w:bookmarkEnd w:id="45"/>
      <w:r>
        <w:t xml:space="preserve">Hypotheses</w:t>
      </w:r>
    </w:p>
    <w:p>
      <w:pPr>
        <w:pStyle w:val="FirstParagraph"/>
      </w:pPr>
      <w:r>
        <w:t xml:space="preserve">Positive interactions between birds and cacti are the limiting factor in cacti distribution to the canopy of a benefactor shrub, with plant size and allocation being a determining factor in interaction strength.</w:t>
      </w:r>
      <w:r>
        <w:t xml:space="preserve"> </w:t>
      </w:r>
      <w:r>
        <w:t xml:space="preserve">Preditions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r>
        <w:t xml:space="preserve"> </w:t>
      </w:r>
      <w:r>
        <w:t xml:space="preserve">d. Frugivorous birds are perching in spaces for depositing seed rain in optimal germination habitats (under benefactor shrubs.)</w:t>
      </w:r>
    </w:p>
    <w:p>
      <w:pPr>
        <w:pStyle w:val="Heading2"/>
      </w:pPr>
      <w:bookmarkStart w:id="46" w:name="factors-1"/>
      <w:bookmarkEnd w:id="46"/>
      <w:r>
        <w:t xml:space="preserve">Factors</w:t>
      </w:r>
    </w:p>
    <w:p>
      <w:pPr>
        <w:pStyle w:val="Compact"/>
        <w:numPr>
          <w:numId w:val="1006"/>
          <w:ilvl w:val="0"/>
        </w:numPr>
      </w:pPr>
      <w:r>
        <w:rPr>
          <w:b/>
        </w:rPr>
        <w:t xml:space="preserve">Microhabitat</w:t>
      </w:r>
      <w:r>
        <w:t xml:space="preserve">: Open/Cactus</w:t>
      </w:r>
    </w:p>
    <w:p>
      <w:pPr>
        <w:pStyle w:val="Compact"/>
        <w:numPr>
          <w:numId w:val="1006"/>
          <w:ilvl w:val="0"/>
        </w:numPr>
      </w:pPr>
      <w:r>
        <w:rPr>
          <w:i/>
        </w:rPr>
        <w:t xml:space="preserve">Open is the control for cactus presense.</w:t>
      </w:r>
    </w:p>
    <w:p>
      <w:pPr>
        <w:pStyle w:val="Compact"/>
        <w:numPr>
          <w:numId w:val="1006"/>
          <w:ilvl w:val="0"/>
        </w:numPr>
      </w:pPr>
      <w:r>
        <w:rPr>
          <w:b/>
        </w:rPr>
        <w:t xml:space="preserve">Microhabitat</w:t>
      </w:r>
      <w:r>
        <w:t xml:space="preserve">: Open/benefactor Shrub</w:t>
      </w:r>
    </w:p>
    <w:p>
      <w:pPr>
        <w:pStyle w:val="Compact"/>
        <w:numPr>
          <w:numId w:val="1006"/>
          <w:ilvl w:val="0"/>
        </w:numPr>
      </w:pPr>
      <w:r>
        <w:rPr>
          <w:i/>
        </w:rPr>
        <w:t xml:space="preserve">Open is the control for benefactor shrub presense.</w:t>
      </w:r>
    </w:p>
    <w:p>
      <w:pPr>
        <w:pStyle w:val="Compact"/>
        <w:numPr>
          <w:numId w:val="1006"/>
          <w:ilvl w:val="0"/>
        </w:numPr>
      </w:pPr>
      <w:r>
        <w:rPr>
          <w:b/>
        </w:rPr>
        <w:t xml:space="preserve">Size of cactus individual</w:t>
      </w:r>
      <w:r>
        <w:t xml:space="preserve">: Large, medium, small</w:t>
      </w:r>
    </w:p>
    <w:p>
      <w:pPr>
        <w:pStyle w:val="Compact"/>
        <w:numPr>
          <w:numId w:val="1006"/>
          <w:ilvl w:val="0"/>
        </w:numPr>
      </w:pPr>
      <w:r>
        <w:rPr>
          <w:b/>
        </w:rPr>
        <w:t xml:space="preserve">Percentage of fruit on cactus</w:t>
      </w:r>
      <w:r>
        <w:t xml:space="preserve">: 0%, 50%, 100%</w:t>
      </w:r>
    </w:p>
    <w:p>
      <w:pPr>
        <w:pStyle w:val="Compact"/>
        <w:numPr>
          <w:numId w:val="1006"/>
          <w:ilvl w:val="0"/>
        </w:numPr>
      </w:pPr>
      <w:r>
        <w:rPr>
          <w:i/>
        </w:rPr>
        <w:t xml:space="preserve">0% fruit on cactus is the negative control, 100% fruit on cactus is positive control for fruit abundance</w:t>
      </w:r>
    </w:p>
    <w:p>
      <w:pPr>
        <w:pStyle w:val="Heading2"/>
      </w:pPr>
      <w:bookmarkStart w:id="47" w:name="response"/>
      <w:bookmarkEnd w:id="47"/>
      <w:r>
        <w:t xml:space="preserve">Response</w:t>
      </w:r>
    </w:p>
    <w:p>
      <w:pPr>
        <w:pStyle w:val="Compact"/>
        <w:numPr>
          <w:numId w:val="1007"/>
          <w:ilvl w:val="0"/>
        </w:numPr>
      </w:pPr>
      <w:r>
        <w:t xml:space="preserve">Mass of individual fruits</w:t>
      </w:r>
    </w:p>
    <w:p>
      <w:pPr>
        <w:pStyle w:val="Compact"/>
        <w:numPr>
          <w:numId w:val="1007"/>
          <w:ilvl w:val="0"/>
        </w:numPr>
      </w:pPr>
      <w:r>
        <w:t xml:space="preserve">Mass of individual seeds</w:t>
      </w:r>
    </w:p>
    <w:p>
      <w:pPr>
        <w:pStyle w:val="Compact"/>
        <w:numPr>
          <w:numId w:val="1007"/>
          <w:ilvl w:val="0"/>
        </w:numPr>
      </w:pPr>
      <w:r>
        <w:t xml:space="preserve">Number of flowers per cactus</w:t>
      </w:r>
    </w:p>
    <w:p>
      <w:pPr>
        <w:pStyle w:val="Compact"/>
        <w:numPr>
          <w:numId w:val="1007"/>
          <w:ilvl w:val="0"/>
        </w:numPr>
      </w:pPr>
      <w:r>
        <w:t xml:space="preserve">Number of fruits per cactus</w:t>
      </w:r>
    </w:p>
    <w:p>
      <w:pPr>
        <w:pStyle w:val="Compact"/>
        <w:numPr>
          <w:numId w:val="1007"/>
          <w:ilvl w:val="0"/>
        </w:numPr>
      </w:pPr>
      <w:r>
        <w:t xml:space="preserve">Number of seeds per fruit</w:t>
      </w:r>
    </w:p>
    <w:p>
      <w:pPr>
        <w:pStyle w:val="Compact"/>
        <w:numPr>
          <w:numId w:val="1007"/>
          <w:ilvl w:val="0"/>
        </w:numPr>
      </w:pPr>
      <w:r>
        <w:t xml:space="preserve">Species richness and diversity per cactus</w:t>
      </w:r>
    </w:p>
    <w:p>
      <w:pPr>
        <w:pStyle w:val="Compact"/>
        <w:numPr>
          <w:numId w:val="1007"/>
          <w:ilvl w:val="0"/>
        </w:numPr>
      </w:pPr>
      <w:r>
        <w:t xml:space="preserve">Proportion of frugivous birds present relative to non frugivorous birds</w:t>
      </w:r>
    </w:p>
    <w:p>
      <w:pPr>
        <w:pStyle w:val="Compact"/>
        <w:numPr>
          <w:numId w:val="1007"/>
          <w:ilvl w:val="0"/>
        </w:numPr>
      </w:pPr>
      <w:r>
        <w:t xml:space="preserve">Frugivorous bird visitation rate at cacti and benefactor shrub</w:t>
      </w:r>
    </w:p>
    <w:p>
      <w:pPr>
        <w:pStyle w:val="Compact"/>
        <w:numPr>
          <w:numId w:val="1007"/>
          <w:ilvl w:val="0"/>
        </w:numPr>
      </w:pPr>
      <w:r>
        <w:t xml:space="preserve">Species richness and diversity per benefactor shrub</w:t>
      </w:r>
    </w:p>
    <w:p>
      <w:pPr>
        <w:pStyle w:val="Compact"/>
        <w:numPr>
          <w:numId w:val="1007"/>
          <w:ilvl w:val="0"/>
        </w:numPr>
      </w:pPr>
      <w:r>
        <w:t xml:space="preserve">Proportion of frugivorous birds present relative to other species per benefactor shrub</w:t>
      </w:r>
    </w:p>
    <w:p>
      <w:pPr>
        <w:pStyle w:val="Heading2"/>
      </w:pPr>
      <w:bookmarkStart w:id="48" w:name="methods"/>
      <w:bookmarkEnd w:id="48"/>
      <w:r>
        <w:t xml:space="preserve">Methods</w:t>
      </w:r>
    </w:p>
    <w:p>
      <w:pPr>
        <w:pStyle w:val="FirstParagraph"/>
      </w:pPr>
      <w:r>
        <w:t xml:space="preserve">All methods in regards to density, flowering, fruiting, and seed manipulations/measurements will be the same as in Chapter 2. Additionally, the methods to monitor bird species will also remain the same (camera trapping, audio recording, focal observations, and walking surveys).</w:t>
      </w:r>
    </w:p>
    <w:p>
      <w:pPr>
        <w:pStyle w:val="BodyText"/>
      </w:pPr>
      <w:r>
        <w:t xml:space="preserve">What will differ, however, is an additional component where we explore the saguaro’s need to germinate under a benefactor plant’s canopy</w:t>
      </w:r>
      <w:r>
        <w:t xml:space="preserve"> </w:t>
      </w:r>
      <w:r>
        <w:t xml:space="preserve">(Turner et al. 1966)</w:t>
      </w:r>
      <w:r>
        <w:t xml:space="preserve">.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p>
    <w:p>
      <w:pPr>
        <w:pStyle w:val="Heading1"/>
      </w:pPr>
      <w:bookmarkStart w:id="49" w:name="future-work"/>
      <w:bookmarkEnd w:id="49"/>
      <w:r>
        <w:t xml:space="preserve">Future Work</w:t>
      </w:r>
    </w:p>
    <w:p>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could be placed under benefactor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pPr>
        <w:pStyle w:val="Heading1"/>
      </w:pPr>
      <w:bookmarkStart w:id="50" w:name="references"/>
      <w:bookmarkEnd w:id="50"/>
      <w:r>
        <w:t xml:space="preserve">References</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51">
        <w:r>
          <w:rPr>
            <w:rStyle w:val="Hyperlink"/>
          </w:rPr>
          <w:t xml:space="preserve">10.1111/oik.04774</w:t>
        </w:r>
      </w:hyperlink>
      <w:r>
        <w:t xml:space="preserve">.</w:t>
      </w:r>
    </w:p>
    <w:p>
      <w:pPr>
        <w:pStyle w:val="Bibliography"/>
      </w:pPr>
      <w:r>
        <w:t xml:space="preserve">Andre, J. M. 2006. “Vascular Flora of the Granite Mountains, San Bernardino County: An Annotated Checklist.”</w:t>
      </w:r>
      <w:r>
        <w:t xml:space="preserve"> </w:t>
      </w:r>
      <w:r>
        <w:rPr>
          <w:i/>
        </w:rPr>
        <w:t xml:space="preserve">Crossosoma</w:t>
      </w:r>
      <w:r>
        <w:t xml:space="preserve"> </w:t>
      </w:r>
      <w:r>
        <w:t xml:space="preserve">32 (2): 38–74.</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52">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53">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54">
        <w:r>
          <w:rPr>
            <w:rStyle w:val="Hyperlink"/>
          </w:rPr>
          <w:t xml:space="preserve">10.1016/0169-5347(94)90088-4</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 2009. “The Evolution of Facilitation and Mutualism.”</w:t>
      </w:r>
      <w:r>
        <w:t xml:space="preserve"> </w:t>
      </w:r>
      <w:r>
        <w:rPr>
          <w:i/>
        </w:rPr>
        <w:t xml:space="preserve">Journal of Ecology</w:t>
      </w:r>
      <w:r>
        <w:t xml:space="preserve"> </w:t>
      </w:r>
      <w:r>
        <w:t xml:space="preserve">97 (6): 1160–70. doi:</w:t>
      </w:r>
      <w:hyperlink r:id="rId55">
        <w:r>
          <w:rPr>
            <w:rStyle w:val="Hyperlink"/>
          </w:rPr>
          <w:t xml:space="preserve">10.1111/j.1365-2745.2009.01566.x</w:t>
        </w:r>
      </w:hyperlink>
      <w:r>
        <w:t xml:space="preserve">.</w:t>
      </w:r>
    </w:p>
    <w:p>
      <w:pPr>
        <w:pStyle w:val="Bibliography"/>
      </w:pPr>
      <w:r>
        <w:t xml:space="preserve">California, Natural Resource Agency State of. 2018b. “State and Federally Listed Endangered, Threatened, and Rare Plants of California.”</w:t>
      </w:r>
    </w:p>
    <w:p>
      <w:pPr>
        <w:pStyle w:val="Bibliography"/>
      </w:pPr>
      <w:r>
        <w:t xml:space="preserve">California, Natural Resources Agency State of. 2018a. “State and Federally Listed Endangered and Threatened Animals of California.”</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56">
        <w:r>
          <w:rPr>
            <w:rStyle w:val="Hyperlink"/>
          </w:rPr>
          <w:t xml:space="preserve">10.1111/1365-2664.13229</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57">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58">
        <w:r>
          <w:rPr>
            <w:rStyle w:val="Hyperlink"/>
          </w:rPr>
          <w:t xml:space="preserve">10.3159/09-RA-069R1.1</w:t>
        </w:r>
      </w:hyperlink>
      <w:r>
        <w:t xml:space="preserve">.</w:t>
      </w:r>
    </w:p>
    <w:p>
      <w:pPr>
        <w:pStyle w:val="Bibliography"/>
      </w:pPr>
      <w:r>
        <w:t xml:space="preserve">———. 2014. “The Keystone Saguaro (Carnegiea Gigantea, Cactaceae): A Review of Its Ecology, Associations, Reproduction, Limits, and Demographics.”</w:t>
      </w:r>
      <w:r>
        <w:t xml:space="preserve"> </w:t>
      </w:r>
      <w:r>
        <w:rPr>
          <w:i/>
        </w:rPr>
        <w:t xml:space="preserve">Plant Ecology</w:t>
      </w:r>
      <w:r>
        <w:t xml:space="preserve"> </w:t>
      </w:r>
      <w:r>
        <w:t xml:space="preserve">215 (6): 581–95. doi:</w:t>
      </w:r>
      <w:hyperlink r:id="rId59">
        <w:r>
          <w:rPr>
            <w:rStyle w:val="Hyperlink"/>
          </w:rPr>
          <w:t xml:space="preserve">10.1007/s11258-014-0326-y</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60">
        <w:r>
          <w:rPr>
            <w:rStyle w:val="Hyperlink"/>
          </w:rPr>
          <w:t xml:space="preserve">10.1111/mec.14351</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61">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62">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63">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64">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65">
        <w:r>
          <w:rPr>
            <w:rStyle w:val="Hyperlink"/>
          </w:rPr>
          <w:t xml:space="preserve">10.1016/j.rser.2013.08.041</w:t>
        </w:r>
      </w:hyperlink>
      <w:r>
        <w:t xml:space="preserve">.</w:t>
      </w:r>
    </w:p>
    <w:p>
      <w:pPr>
        <w:pStyle w:val="Bibliography"/>
      </w:pPr>
      <w:r>
        <w:t xml:space="preserve">Hoover, Robert F. 1970.</w:t>
      </w:r>
      <w:r>
        <w:t xml:space="preserve"> </w:t>
      </w:r>
      <w:r>
        <w:rPr>
          <w:i/>
        </w:rPr>
        <w:t xml:space="preserve">The Vascular Plants of San Luis Obispo County, California</w:t>
      </w:r>
      <w:r>
        <w:t xml:space="preserve">. 1st ed. Berkley: University of California Press.</w:t>
      </w:r>
    </w:p>
    <w:p>
      <w:pPr>
        <w:pStyle w:val="Bibliography"/>
      </w:pPr>
      <w:r>
        <w:t xml:space="preserve">Johnson, Steven D., C. I. Peter, Anders Nilsson, and Jon Agren. 2003. “Pollination Success in a Deceptive Orchid Is Enhanced Co-Occurring Rewarding Magnet Plants.”</w:t>
      </w:r>
      <w:r>
        <w:t xml:space="preserve"> </w:t>
      </w:r>
      <w:r>
        <w:rPr>
          <w:i/>
        </w:rPr>
        <w:t xml:space="preserve">Ecology</w:t>
      </w:r>
      <w:r>
        <w:t xml:space="preserve"> </w:t>
      </w:r>
      <w:r>
        <w:t xml:space="preserve">84 (11): 2919–27. doi:</w:t>
      </w:r>
      <w:hyperlink r:id="rId66">
        <w:r>
          <w:rPr>
            <w:rStyle w:val="Hyperlink"/>
          </w:rPr>
          <w:t xml:space="preserve">10.1890/1</w:t>
        </w:r>
      </w:hyperlink>
      <w:r>
        <w:t xml:space="preserve">.</w:t>
      </w:r>
    </w:p>
    <w:p>
      <w:pPr>
        <w:pStyle w:val="Bibliography"/>
      </w:pPr>
      <w:r>
        <w:t xml:space="preserve">Krebs, Charles J. 2014.</w:t>
      </w:r>
      <w:r>
        <w:t xml:space="preserve"> </w:t>
      </w:r>
      <w:r>
        <w:rPr>
          <w:i/>
        </w:rPr>
        <w:t xml:space="preserve">Ecological Methodology</w:t>
      </w:r>
      <w:r>
        <w:t xml:space="preserve">. 2nd ed. Addison Wesley Longman, Inc. Addison Wesley Longman, Inc. doi:</w:t>
      </w:r>
      <w:hyperlink r:id="rId67">
        <w:r>
          <w:rPr>
            <w:rStyle w:val="Hyperlink"/>
          </w:rPr>
          <w:t xml:space="preserve">10.1109/NANO.2014.6968124</w:t>
        </w:r>
      </w:hyperlink>
      <w:r>
        <w:t xml:space="preserve">.</w:t>
      </w:r>
    </w:p>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 doi:</w:t>
      </w:r>
      <w:hyperlink r:id="rId68">
        <w:r>
          <w:rPr>
            <w:rStyle w:val="Hyperlink"/>
          </w:rPr>
          <w:t xml:space="preserve">10.1111/1365-2435.12530</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69">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70">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Author ( S ): Randall J . Mitchell Source : The American Naturalist , Vol . 143 , No . 5 ( May , 1994 ), Pp . 870-889 Published by : The University O” 143 (5): 870–89.</w:t>
      </w:r>
    </w:p>
    <w:p>
      <w:pPr>
        <w:pStyle w:val="Bibliography"/>
      </w:pPr>
      <w:r>
        <w:t xml:space="preserve">Moher, David, Alessandro Liberati, Jennifer Tetzlaff, Douglas G. Altman, and the PRISMA Group. 2009. “Academia and Clinic Annals of Internal Medicine Preferred Reporting Items for Systematic Reviews and Meta-Analyses :”</w:t>
      </w:r>
      <w:r>
        <w:t xml:space="preserve"> </w:t>
      </w:r>
      <w:r>
        <w:rPr>
          <w:i/>
        </w:rPr>
        <w:t xml:space="preserve">Annals of Internal Medicine</w:t>
      </w:r>
      <w:r>
        <w:t xml:space="preserve"> </w:t>
      </w:r>
      <w:r>
        <w:t xml:space="preserve">151 (4): 264–69. doi:</w:t>
      </w:r>
      <w:hyperlink r:id="rId71">
        <w:r>
          <w:rPr>
            <w:rStyle w:val="Hyperlink"/>
          </w:rPr>
          <w:t xml:space="preserve">10.1371/journal.pmed1000097</w:t>
        </w:r>
      </w:hyperlink>
      <w:r>
        <w:t xml:space="preserve">.</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72">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73">
        <w:r>
          <w:rPr>
            <w:rStyle w:val="Hyperlink"/>
          </w:rPr>
          <w:t xml:space="preserve">10.1111/gcb.12789</w:t>
        </w:r>
      </w:hyperlink>
      <w:r>
        <w:t xml:space="preserve">.</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 2002.</w:t>
      </w:r>
      <w:r>
        <w:t xml:space="preserve"> </w:t>
      </w:r>
      <w:r>
        <w:rPr>
          <w:i/>
        </w:rPr>
        <w:t xml:space="preserve">Cacti Biology and Uses</w:t>
      </w:r>
      <w:r>
        <w:t xml:space="preserve">. University of California Press 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74">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75">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76">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77">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78">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79">
        <w:r>
          <w:rPr>
            <w:rStyle w:val="Hyperlink"/>
          </w:rPr>
          <w:t xml:space="preserve">10.1111/j.1365-2745.2011.01833.x</w:t>
        </w:r>
      </w:hyperlink>
      <w:r>
        <w:t xml:space="preserve">.</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80">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81">
        <w:r>
          <w:rPr>
            <w:rStyle w:val="Hyperlink"/>
          </w:rPr>
          <w:t xml:space="preserve">10.1007/s004420000614</w:t>
        </w:r>
      </w:hyperlink>
      <w:r>
        <w:t xml:space="preserve">.</w:t>
      </w:r>
    </w:p>
    <w:p>
      <w:pPr>
        <w:pStyle w:val="Bibliography"/>
      </w:pPr>
      <w:r>
        <w:t xml:space="preserve">Thomson, James D. 1978. “Insect Visitation in Two-Species Mixtures of Hieracium Author ( S ): James D . Thomson Source : The American Midland Naturalist , Vol . 100 , No . 2 ( Oct ., 1978 ), Pp . 431-440 Published by :” 100 (2): 431–40.</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82">
        <w:r>
          <w:rPr>
            <w:rStyle w:val="Hyperlink"/>
          </w:rPr>
          <w:t xml:space="preserve">10.1079/9780851995250.0339</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Turner, Raymond M., Stanley M. Alcorn, George Olin, and John A. Booth. 1966. “The Influence of Shade , Soil , and Water on Saguaro Seedling Establishment.”</w:t>
      </w:r>
      <w:r>
        <w:t xml:space="preserve"> </w:t>
      </w:r>
      <w:r>
        <w:rPr>
          <w:i/>
        </w:rPr>
        <w:t xml:space="preserve">Botanical Gazette</w:t>
      </w:r>
      <w:r>
        <w:t xml:space="preserve"> </w:t>
      </w:r>
      <w:r>
        <w:t xml:space="preserve">127 (2-3): 95–102. doi:</w:t>
      </w:r>
      <w:hyperlink r:id="rId83">
        <w:r>
          <w:rPr>
            <w:rStyle w:val="Hyperlink"/>
          </w:rPr>
          <w:t xml:space="preserve">10.1016/j.apmr.2013.01.024</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84">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85">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8a5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f0fcb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d9699f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93ad1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78" Target="https://doi.org/10.1002/jgrd.50543" TargetMode="External" /><Relationship Type="http://schemas.openxmlformats.org/officeDocument/2006/relationships/hyperlink" Id="rId85" Target="https://doi.org/10.1007/BF00052229" TargetMode="External" /><Relationship Type="http://schemas.openxmlformats.org/officeDocument/2006/relationships/hyperlink" Id="rId84" Target="https://doi.org/10.1007/s00442-003-1448-4" TargetMode="External" /><Relationship Type="http://schemas.openxmlformats.org/officeDocument/2006/relationships/hyperlink" Id="rId81" Target="https://doi.org/10.1007/s004420000614" TargetMode="External" /><Relationship Type="http://schemas.openxmlformats.org/officeDocument/2006/relationships/hyperlink" Id="rId59"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4" Target="https://doi.org/10.1016/S0006-3207(02)00361-0" TargetMode="External" /><Relationship Type="http://schemas.openxmlformats.org/officeDocument/2006/relationships/hyperlink" Id="rId72" Target="https://doi.org/10.1016/S0169-5347(00)01874-7" TargetMode="External" /><Relationship Type="http://schemas.openxmlformats.org/officeDocument/2006/relationships/hyperlink" Id="rId62" Target="https://doi.org/10.1016/j.anbehav.2014.01.008" TargetMode="External" /><Relationship Type="http://schemas.openxmlformats.org/officeDocument/2006/relationships/hyperlink" Id="rId83" Target="https://doi.org/10.1016/j.apmr.2013.01.024" TargetMode="External" /><Relationship Type="http://schemas.openxmlformats.org/officeDocument/2006/relationships/hyperlink" Id="rId80" Target="https://doi.org/10.1016/j.ecoser.2017.07.017" TargetMode="External" /><Relationship Type="http://schemas.openxmlformats.org/officeDocument/2006/relationships/hyperlink" Id="rId65" Target="https://doi.org/10.1016/j.rser.2013.08.041" TargetMode="External" /><Relationship Type="http://schemas.openxmlformats.org/officeDocument/2006/relationships/hyperlink" Id="rId76" Target="https://doi.org/10.1038/nclimate3287" TargetMode="External" /><Relationship Type="http://schemas.openxmlformats.org/officeDocument/2006/relationships/hyperlink" Id="rId74" Target="https://doi.org/10.1078/1433-8319-00080" TargetMode="External" /><Relationship Type="http://schemas.openxmlformats.org/officeDocument/2006/relationships/hyperlink" Id="rId82" Target="https://doi.org/10.1079/9780851995250.0339" TargetMode="External" /><Relationship Type="http://schemas.openxmlformats.org/officeDocument/2006/relationships/hyperlink" Id="rId75" Target="https://doi.org/10.1080/02723646.1989.10642386" TargetMode="External" /><Relationship Type="http://schemas.openxmlformats.org/officeDocument/2006/relationships/hyperlink" Id="rId70" Target="https://doi.org/10.1093/aob/mcs255" TargetMode="External" /><Relationship Type="http://schemas.openxmlformats.org/officeDocument/2006/relationships/hyperlink" Id="rId67" Target="https://doi.org/10.1109/NANO.2014.6968124" TargetMode="External" /><Relationship Type="http://schemas.openxmlformats.org/officeDocument/2006/relationships/hyperlink" Id="rId57" Target="https://doi.org/10.1111/0033-0124.5504008" TargetMode="External" /><Relationship Type="http://schemas.openxmlformats.org/officeDocument/2006/relationships/hyperlink" Id="rId68"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3" Target="https://doi.org/10.1111/gcb.12789" TargetMode="External" /><Relationship Type="http://schemas.openxmlformats.org/officeDocument/2006/relationships/hyperlink" Id="rId69"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79" Target="https://doi.org/10.1111/j.1365-2745.2011.01833.x" TargetMode="External" /><Relationship Type="http://schemas.openxmlformats.org/officeDocument/2006/relationships/hyperlink" Id="rId77" Target="https://doi.org/10.1111/j.1472-4642.2007.00387.x" TargetMode="External" /><Relationship Type="http://schemas.openxmlformats.org/officeDocument/2006/relationships/hyperlink" Id="rId63" Target="https://doi.org/10.1111/jofo.12096" TargetMode="External" /><Relationship Type="http://schemas.openxmlformats.org/officeDocument/2006/relationships/hyperlink" Id="rId60"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1" Target="https://doi.org/10.1371/journal.pmed1000097" TargetMode="External" /><Relationship Type="http://schemas.openxmlformats.org/officeDocument/2006/relationships/hyperlink" Id="rId52" Target="https://doi.org/10.1525/bio.2011.61.10.8" TargetMode="External" /><Relationship Type="http://schemas.openxmlformats.org/officeDocument/2006/relationships/hyperlink" Id="rId66" Target="https://doi.org/10.1890/1" TargetMode="External" /><Relationship Type="http://schemas.openxmlformats.org/officeDocument/2006/relationships/hyperlink" Id="rId58" Target="https://doi.org/10.3159/09-RA-069R1.1" TargetMode="External" /><Relationship Type="http://schemas.openxmlformats.org/officeDocument/2006/relationships/hyperlink" Id="rId61"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jgrd.50543" TargetMode="External" /><Relationship Type="http://schemas.openxmlformats.org/officeDocument/2006/relationships/hyperlink" Id="rId85" Target="https://doi.org/10.1007/BF00052229" TargetMode="External" /><Relationship Type="http://schemas.openxmlformats.org/officeDocument/2006/relationships/hyperlink" Id="rId84" Target="https://doi.org/10.1007/s00442-003-1448-4" TargetMode="External" /><Relationship Type="http://schemas.openxmlformats.org/officeDocument/2006/relationships/hyperlink" Id="rId81" Target="https://doi.org/10.1007/s004420000614" TargetMode="External" /><Relationship Type="http://schemas.openxmlformats.org/officeDocument/2006/relationships/hyperlink" Id="rId59"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4" Target="https://doi.org/10.1016/S0006-3207(02)00361-0" TargetMode="External" /><Relationship Type="http://schemas.openxmlformats.org/officeDocument/2006/relationships/hyperlink" Id="rId72" Target="https://doi.org/10.1016/S0169-5347(00)01874-7" TargetMode="External" /><Relationship Type="http://schemas.openxmlformats.org/officeDocument/2006/relationships/hyperlink" Id="rId62" Target="https://doi.org/10.1016/j.anbehav.2014.01.008" TargetMode="External" /><Relationship Type="http://schemas.openxmlformats.org/officeDocument/2006/relationships/hyperlink" Id="rId83" Target="https://doi.org/10.1016/j.apmr.2013.01.024" TargetMode="External" /><Relationship Type="http://schemas.openxmlformats.org/officeDocument/2006/relationships/hyperlink" Id="rId80" Target="https://doi.org/10.1016/j.ecoser.2017.07.017" TargetMode="External" /><Relationship Type="http://schemas.openxmlformats.org/officeDocument/2006/relationships/hyperlink" Id="rId65" Target="https://doi.org/10.1016/j.rser.2013.08.041" TargetMode="External" /><Relationship Type="http://schemas.openxmlformats.org/officeDocument/2006/relationships/hyperlink" Id="rId76" Target="https://doi.org/10.1038/nclimate3287" TargetMode="External" /><Relationship Type="http://schemas.openxmlformats.org/officeDocument/2006/relationships/hyperlink" Id="rId74" Target="https://doi.org/10.1078/1433-8319-00080" TargetMode="External" /><Relationship Type="http://schemas.openxmlformats.org/officeDocument/2006/relationships/hyperlink" Id="rId82" Target="https://doi.org/10.1079/9780851995250.0339" TargetMode="External" /><Relationship Type="http://schemas.openxmlformats.org/officeDocument/2006/relationships/hyperlink" Id="rId75" Target="https://doi.org/10.1080/02723646.1989.10642386" TargetMode="External" /><Relationship Type="http://schemas.openxmlformats.org/officeDocument/2006/relationships/hyperlink" Id="rId70" Target="https://doi.org/10.1093/aob/mcs255" TargetMode="External" /><Relationship Type="http://schemas.openxmlformats.org/officeDocument/2006/relationships/hyperlink" Id="rId67" Target="https://doi.org/10.1109/NANO.2014.6968124" TargetMode="External" /><Relationship Type="http://schemas.openxmlformats.org/officeDocument/2006/relationships/hyperlink" Id="rId57" Target="https://doi.org/10.1111/0033-0124.5504008" TargetMode="External" /><Relationship Type="http://schemas.openxmlformats.org/officeDocument/2006/relationships/hyperlink" Id="rId68"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3" Target="https://doi.org/10.1111/gcb.12789" TargetMode="External" /><Relationship Type="http://schemas.openxmlformats.org/officeDocument/2006/relationships/hyperlink" Id="rId69"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79" Target="https://doi.org/10.1111/j.1365-2745.2011.01833.x" TargetMode="External" /><Relationship Type="http://schemas.openxmlformats.org/officeDocument/2006/relationships/hyperlink" Id="rId77" Target="https://doi.org/10.1111/j.1472-4642.2007.00387.x" TargetMode="External" /><Relationship Type="http://schemas.openxmlformats.org/officeDocument/2006/relationships/hyperlink" Id="rId63" Target="https://doi.org/10.1111/jofo.12096" TargetMode="External" /><Relationship Type="http://schemas.openxmlformats.org/officeDocument/2006/relationships/hyperlink" Id="rId60"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1" Target="https://doi.org/10.1371/journal.pmed1000097" TargetMode="External" /><Relationship Type="http://schemas.openxmlformats.org/officeDocument/2006/relationships/hyperlink" Id="rId52" Target="https://doi.org/10.1525/bio.2011.61.10.8" TargetMode="External" /><Relationship Type="http://schemas.openxmlformats.org/officeDocument/2006/relationships/hyperlink" Id="rId66" Target="https://doi.org/10.1890/1" TargetMode="External" /><Relationship Type="http://schemas.openxmlformats.org/officeDocument/2006/relationships/hyperlink" Id="rId58" Target="https://doi.org/10.3159/09-RA-069R1.1" TargetMode="External" /><Relationship Type="http://schemas.openxmlformats.org/officeDocument/2006/relationships/hyperlink" Id="rId61"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2018-11-19T15:59:58Z</dcterms:created>
  <dcterms:modified xsi:type="dcterms:W3CDTF">2018-11-19T15:59:58Z</dcterms:modified>
</cp:coreProperties>
</file>