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drawing>
          <wp:inline distB="0" distT="0" distL="0" distR="0">
            <wp:extent cx="6004878" cy="1021188"/>
            <wp:effectExtent b="0" l="0" r="0" t="0"/>
            <wp:docPr id="15079386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04878" cy="10211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t>Project – Operations Management and Supply Chain 2025–2026</w:t>
      </w:r>
    </w:p>
    <w:p w:rsidR="00000000" w:rsidDel="00000000" w:rsidP="00000000" w:rsidRDefault="00000000" w:rsidRPr="00000000" w14:paraId="00000003">
      <w:pPr>
        <w:rPr>
          <w:b w:val="1"/>
          <w:bCs w:val="1"/>
        </w:rPr>
      </w:pPr>
      <w:r>
        <w:t>Instructor: Apostolos Bournetas</w:t>
      </w:r>
    </w:p>
    <w:p w:rsidR="00000000" w:rsidDel="00000000" w:rsidP="00000000" w:rsidRDefault="00000000" w:rsidRPr="00000000" w14:paraId="00000004">
      <w:pPr>
        <w:rPr>
          <w:b w:val="1"/>
          <w:bCs w:val="1"/>
        </w:rPr>
      </w:pPr>
      <w:r>
        <w:t>Authors: Athina Malamati Polyzogopoulou</w:t>
      </w:r>
    </w:p>
    <w:p w:rsidR="00000000" w:rsidDel="00000000" w:rsidP="00000000" w:rsidRDefault="00000000" w:rsidRPr="00000000" w14:paraId="00000005">
      <w:pPr>
        <w:rPr>
          <w:b w:val="1"/>
          <w:bCs w:val="1"/>
        </w:rPr>
      </w:pPr>
      <w:r>
        <w:t>Theodoros Rigogiannis</w:t>
      </w:r>
    </w:p>
    <w:p w:rsidR="00000000" w:rsidDel="00000000" w:rsidP="00000000" w:rsidRDefault="00000000" w:rsidRPr="00000000" w14:paraId="00000006">
      <w:pPr>
        <w:jc w:val="center"/>
        <w:rPr>
          <w:b w:val="1"/>
          <w:bCs w:val="1"/>
        </w:rPr>
      </w:pPr>
      <w:r>
        <w:t>INTRODUCTION</w:t>
      </w:r>
    </w:p>
    <w:p w:rsidR="00000000" w:rsidDel="00000000" w:rsidP="00000000" w:rsidRDefault="00000000" w:rsidRPr="00000000" w14:paraId="00000007">
      <w:pPr>
        <w:rPr>
          <w:b w:val="1"/>
          <w:bCs w:val="1"/>
        </w:rPr>
      </w:pPr>
      <w:r>
        <w:t>The objective of this project is to analyze operational processes, specifically inventory management and the operation of service systems. The data used are provided in the project brief and concern a start-up company, FullFillNow.</w:t>
      </w:r>
    </w:p>
    <w:p w:rsidR="00000000" w:rsidDel="00000000" w:rsidP="00000000" w:rsidRDefault="00000000" w:rsidRPr="00000000" w14:paraId="00000008">
      <w:pPr>
        <w:jc w:val="center"/>
        <w:rPr>
          <w:b w:val="1"/>
          <w:bCs w:val="1"/>
        </w:rPr>
      </w:pPr>
      <w:r>
        <w:t>PROPOSED INVENTORY POLICIES</w:t>
      </w:r>
    </w:p>
    <w:p w:rsidR="00000000" w:rsidDel="00000000" w:rsidP="00000000" w:rsidRDefault="00000000" w:rsidRPr="00000000" w14:paraId="00000009">
      <w:pPr>
        <w:rPr/>
      </w:pPr>
      <w:r>
        <w:t>After a detailed analysis of demand and cost data, the following conclusions are presented:</w:t>
      </w:r>
    </w:p>
    <w:p w:rsidR="00000000" w:rsidDel="00000000" w:rsidP="00000000" w:rsidRDefault="00000000" w:rsidRPr="00000000" w14:paraId="0000000A">
      <w:pPr>
        <w:rPr>
          <w:b w:val="1"/>
          <w:bCs w:val="1"/>
        </w:rPr>
      </w:pPr>
      <w:r>
        <w:t>SKU A</w:t>
      </w:r>
    </w:p>
    <w:p w:rsidR="00000000" w:rsidDel="00000000" w:rsidP="00000000" w:rsidRDefault="00000000" w:rsidRPr="00000000" w14:paraId="0000000B">
      <w:pPr>
        <w:rPr/>
      </w:pPr>
      <w:r>
        <w:t>By examining the numerical results of the algorithm, we observe that the EOQ policy provides a balance between holding cost and ordering cost. Another reason this policy can be considered reliable is its low sensitivity to changes. More specifically, under small changes (+/− 20%) in demand and holding cost, the total order quantity remains relatively stable.</w:t>
      </w:r>
    </w:p>
    <w:p w:rsidR="00000000" w:rsidDel="00000000" w:rsidP="00000000" w:rsidRDefault="00000000" w:rsidRPr="00000000" w14:paraId="0000000C">
      <w:pPr>
        <w:rPr>
          <w:b w:val="1"/>
          <w:bCs w:val="1"/>
        </w:rPr>
      </w:pPr>
      <w:r>
        <w:t>SKU B</w:t>
      </w:r>
    </w:p>
    <w:p w:rsidR="00000000" w:rsidDel="00000000" w:rsidP="00000000" w:rsidRDefault="00000000" w:rsidRPr="00000000" w14:paraId="0000000D">
      <w:pPr>
        <w:rPr>
          <w:b w:val="1"/>
          <w:bCs w:val="1"/>
        </w:rPr>
      </w:pPr>
      <w:r>
        <w:t>In this case, where demand is stochastic, the (Q,R) policy is applied and adjusted to the desired service level. In this way, the risk of stockouts during lead time is reduced. The inclusion of safety stock in the policy is considered necessary due to demand uncertainty.</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t>SKU C</w:t>
      </w:r>
    </w:p>
    <w:p w:rsidR="00000000" w:rsidDel="00000000" w:rsidP="00000000" w:rsidRDefault="00000000" w:rsidRPr="00000000" w14:paraId="00000011">
      <w:pPr>
        <w:rPr>
          <w:b w:val="1"/>
          <w:bCs w:val="1"/>
        </w:rPr>
      </w:pPr>
      <w:r>
        <w:t>The optimal order quantity is determined based on the underage cost and the overage cost. A critical factor is the correct estimation of demand variability, since underestimating it leads to a significant risk of lost sales.</w:t>
      </w:r>
    </w:p>
    <w:p w:rsidR="00000000" w:rsidDel="00000000" w:rsidP="00000000" w:rsidRDefault="00000000" w:rsidRPr="00000000" w14:paraId="00000012">
      <w:pPr>
        <w:jc w:val="center"/>
        <w:rPr>
          <w:b w:val="1"/>
          <w:bCs w:val="1"/>
        </w:rPr>
      </w:pPr>
      <w:r>
        <w:t>PICKING–PACKING STAFFING</w:t>
      </w:r>
    </w:p>
    <w:p w:rsidR="00000000" w:rsidDel="00000000" w:rsidP="00000000" w:rsidRDefault="00000000" w:rsidRPr="00000000" w14:paraId="00000013">
      <w:pPr>
        <w:rPr/>
      </w:pPr>
      <w:r>
        <w:t>The existing staffing level (3 servers/employees) during peak hours leads to an unstable system. This makes the company unreliable, resulting in continuously growing queues, dissatisfied customers and, ultimately, financial losses for the business. However, we observe that increasing the number of servers/employees improves system stability and reduces delay-related cost.</w:t>
      </w:r>
    </w:p>
    <w:p w:rsidR="00000000" w:rsidDel="00000000" w:rsidP="00000000" w:rsidRDefault="00000000" w:rsidRPr="00000000" w14:paraId="00000014">
      <w:pPr>
        <w:rPr/>
      </w:pPr>
      <w:r>
        <w:t>More specifically, adding one extra server/employee ensures stability, but it does not guarantee that the service-level target (SLA) will be achieved.</w:t>
      </w:r>
    </w:p>
    <w:p w:rsidR="00000000" w:rsidDel="00000000" w:rsidP="00000000" w:rsidRDefault="00000000" w:rsidRPr="00000000" w14:paraId="00000015">
      <w:pPr>
        <w:rPr/>
      </w:pPr>
      <w:r>
        <w:t>Based on the analysis conducted, the best policy for peak hours is staffing with 5 servers/employees, as this option satisfies all criteria.</w:t>
      </w:r>
    </w:p>
    <w:p w:rsidR="00000000" w:rsidDel="00000000" w:rsidP="00000000" w:rsidRDefault="00000000" w:rsidRPr="00000000" w14:paraId="00000016">
      <w:pPr>
        <w:rPr>
          <w:b w:val="1"/>
          <w:bCs w:val="1"/>
        </w:rPr>
      </w:pPr>
      <w:r w:rsidDel="00000000" w:rsidR="00000000" w:rsidRPr="00000000">
        <w:rPr>
          <w:b w:val="1"/>
          <w:bCs w:val="1"/>
          <w:rtl w:val="0"/>
        </w:rPr>
        <w:t xml:space="preserve">                           </w:t>
      </w:r>
    </w:p>
    <w:p w:rsidR="00000000" w:rsidDel="00000000" w:rsidP="00000000" w:rsidRDefault="00000000" w:rsidRPr="00000000" w14:paraId="00000017">
      <w:pPr>
        <w:jc w:val="center"/>
        <w:rPr>
          <w:b w:val="1"/>
          <w:bCs w:val="1"/>
        </w:rPr>
      </w:pPr>
      <w:r>
        <w:t>PROPOSED GO-LIVE DATE &amp; CRASHING ANALYSIS</w:t>
      </w:r>
    </w:p>
    <w:p w:rsidR="00000000" w:rsidDel="00000000" w:rsidP="00000000" w:rsidRDefault="00000000" w:rsidRPr="00000000" w14:paraId="00000018">
      <w:pPr>
        <w:rPr/>
      </w:pPr>
      <w:r>
        <w:t>Through the project scheduling analysis, a specific critical path was identified. By applying crashing to activities on the critical path, namely activities C and F, it is possible to accelerate the project with limited additional cost. For this project, the go-live date is selected based on the schedule produced by CPM, with limited crashing applied to the critical-path activities. This choice allows the project to be completed on time without an excessive increase in cost, ensuring that the system goes live when the operational resources are fully ready.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jc w:val="center"/>
        <w:rPr>
          <w:b w:val="1"/>
          <w:bCs w:val="1"/>
        </w:rPr>
      </w:pPr>
      <w:r>
        <w:t>FINAL CONCLUSIONS</w:t>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rPr/>
      </w:pPr>
      <w:r>
        <w:t>The overall evaluation of the results from the inventory analysis, the operation of the picking–packing system and the project scheduling analysis shows that the individual decisions are interconnected and directly affect overall operational performance. The implementation of an appropriate inventory policy reduces uncertainty and operational pressure, while adequate staffing of the picking–packing process ensures a workflow that complies with the required service levels.</w:t>
      </w:r>
    </w:p>
    <w:p w:rsidR="00000000" w:rsidDel="00000000" w:rsidP="00000000" w:rsidRDefault="00000000" w:rsidRPr="00000000" w14:paraId="0000001E">
      <w:pPr>
        <w:rPr/>
      </w:pPr>
      <w:r>
        <w:t>The assumptions used in the operational models were based on average demand levels and average service times. These are simplifications of reality; however, the use of conservative estimates and safety stock adds realism to the results and helps the proposed policies respond to possible changes. Based on these data, management should approve the use of the proposed inventory policies for each product category.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t>Code Comments &amp; Bibliography:</w:t>
      </w:r>
    </w:p>
    <w:p w:rsidR="00000000" w:rsidDel="00000000" w:rsidP="00000000" w:rsidRDefault="00000000" w:rsidRPr="00000000" w14:paraId="00000022">
      <w:pPr>
        <w:rPr/>
      </w:pPr>
      <w:r>
        <w:t>This project is implemented in Python through Jupyter Notebooks and includes quantitative inventory analysis, queueing analysis and project scheduling.</w:t>
      </w:r>
    </w:p>
    <w:p w:rsidR="00000000" w:rsidDel="00000000" w:rsidP="00000000" w:rsidRDefault="00000000" w:rsidRPr="00000000" w14:paraId="00000023">
      <w:pPr>
        <w:rPr/>
      </w:pPr>
      <w:r>
        <w:t>1. Comments on the programs</w:t>
      </w:r>
    </w:p>
    <w:p w:rsidR="00000000" w:rsidDel="00000000" w:rsidP="00000000" w:rsidRDefault="00000000" w:rsidRPr="00000000" w14:paraId="00000024">
      <w:pPr>
        <w:rPr/>
      </w:pPr>
      <w:r>
        <w:t>The project notebooks include:</w:t>
      </w:r>
    </w:p>
    <w:p w:rsidR="00000000" w:rsidDel="00000000" w:rsidP="00000000" w:rsidRDefault="00000000" w:rsidRPr="00000000" w14:paraId="00000025">
      <w:pPr>
        <w:rPr/>
      </w:pPr>
      <w:r>
        <w:t>- Calculations of inventory policies (EOQ, (Q,R), Newsvendor)</w:t>
      </w:r>
    </w:p>
    <w:p w:rsidR="00000000" w:rsidDel="00000000" w:rsidP="00000000" w:rsidRDefault="00000000" w:rsidRPr="00000000" w14:paraId="00000026">
      <w:pPr>
        <w:rPr/>
      </w:pPr>
      <w:r>
        <w:t>- Analysis of the picking–packing system using queueing models</w:t>
      </w:r>
    </w:p>
    <w:p w:rsidR="00000000" w:rsidDel="00000000" w:rsidP="00000000" w:rsidRDefault="00000000" w:rsidRPr="00000000" w14:paraId="00000027">
      <w:pPr>
        <w:rPr/>
      </w:pPr>
      <w:r>
        <w:t>- Supporting calculations for operational decision-making</w:t>
      </w:r>
    </w:p>
    <w:p w:rsidR="00000000" w:rsidDel="00000000" w:rsidP="00000000" w:rsidRDefault="00000000" w:rsidRPr="00000000" w14:paraId="00000028">
      <w:pPr>
        <w:rPr/>
      </w:pPr>
      <w:r>
        <w:t>The code was developed with the aim of ensuring transparency and reproducibility of results. All calculations are based on analytical formulas from operations research theory.</w:t>
      </w:r>
    </w:p>
    <w:p w:rsidR="00000000" w:rsidDel="00000000" w:rsidP="00000000" w:rsidRDefault="00000000" w:rsidRPr="00000000" w14:paraId="00000029">
      <w:pPr>
        <w:rPr/>
      </w:pPr>
      <w:r>
        <w:t>The results are presented either in tables within the Jupyter Notebook or summarized in output files, so that they can be directly used for operational interpretation.</w:t>
      </w:r>
    </w:p>
    <w:p w:rsidR="00000000" w:rsidDel="00000000" w:rsidP="00000000" w:rsidRDefault="00000000" w:rsidRPr="00000000" w14:paraId="0000002A">
      <w:pPr>
        <w:rPr/>
      </w:pPr>
      <w:r>
        <w:t>2. Bibliography</w:t>
      </w:r>
    </w:p>
    <w:p w:rsidR="00000000" w:rsidDel="00000000" w:rsidP="00000000" w:rsidRDefault="00000000" w:rsidRPr="00000000" w14:paraId="0000002B">
      <w:pPr>
        <w:rPr/>
      </w:pPr>
      <w:r>
        <w:t>The theoretical basis of the models and methods used in the project comes from: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t>- Course notes (Inventory Management, Queueing Theory, Project Scheduling)</w:t>
      </w:r>
    </w:p>
    <w:p w:rsidR="00000000" w:rsidDel="00000000" w:rsidP="00000000" w:rsidRDefault="00000000" w:rsidRPr="00000000" w14:paraId="0000002E">
      <w:pPr>
        <w:rPr/>
      </w:pPr>
      <w:r>
        <w:t>- Nahmias, S. and Olsen, T. “Production and Operations Analysis”, McGraw-Hill Education</w:t>
      </w:r>
    </w:p>
    <w:p w:rsidR="00000000" w:rsidDel="00000000" w:rsidP="00000000" w:rsidRDefault="00000000" w:rsidRPr="00000000" w14:paraId="0000002F">
      <w:pPr>
        <w:rPr/>
      </w:pPr>
      <w:r>
        <w:t>The above sources cover:</w:t>
      </w:r>
    </w:p>
    <w:p w:rsidR="00000000" w:rsidDel="00000000" w:rsidP="00000000" w:rsidRDefault="00000000" w:rsidRPr="00000000" w14:paraId="00000030">
      <w:pPr>
        <w:rPr/>
      </w:pPr>
      <w:r>
        <w:t>- EOQ models and (Q,R) policies</w:t>
      </w:r>
    </w:p>
    <w:p w:rsidR="00000000" w:rsidDel="00000000" w:rsidP="00000000" w:rsidRDefault="00000000" w:rsidRPr="00000000" w14:paraId="00000031">
      <w:pPr>
        <w:rPr/>
      </w:pPr>
      <w:r>
        <w:t>- Newsvendor model</w:t>
      </w:r>
    </w:p>
    <w:p w:rsidR="00000000" w:rsidDel="00000000" w:rsidP="00000000" w:rsidRDefault="00000000" w:rsidRPr="00000000" w14:paraId="00000032">
      <w:pPr>
        <w:rPr/>
      </w:pPr>
      <w:r>
        <w:t>- M/M/c queueing models and G/G/1 approximations</w:t>
      </w:r>
    </w:p>
    <w:p w:rsidR="00000000" w:rsidDel="00000000" w:rsidP="00000000" w:rsidRDefault="00000000" w:rsidRPr="00000000" w14:paraId="00000033">
      <w:pPr>
        <w:rPr/>
      </w:pPr>
      <w:r>
        <w:t>- Basic principles of CPM and crashing analysis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07FC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07FC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07FC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07FC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07FC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07FC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07FC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07FC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07FC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07FC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07FC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07FC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07FC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07FC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07FC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07FC6"/>
    <w:rPr>
      <w:i w:val="1"/>
      <w:iCs w:val="1"/>
      <w:color w:val="404040" w:themeColor="text1" w:themeTint="0000BF"/>
    </w:rPr>
  </w:style>
  <w:style w:type="paragraph" w:styleId="ListParagraph">
    <w:name w:val="List Paragraph"/>
    <w:basedOn w:val="Normal"/>
    <w:uiPriority w:val="34"/>
    <w:qFormat w:val="1"/>
    <w:rsid w:val="00E07FC6"/>
    <w:pPr>
      <w:ind w:left="720"/>
      <w:contextualSpacing w:val="1"/>
    </w:pPr>
  </w:style>
  <w:style w:type="character" w:styleId="IntenseEmphasis">
    <w:name w:val="Intense Emphasis"/>
    <w:basedOn w:val="DefaultParagraphFont"/>
    <w:uiPriority w:val="21"/>
    <w:qFormat w:val="1"/>
    <w:rsid w:val="00E07FC6"/>
    <w:rPr>
      <w:i w:val="1"/>
      <w:iCs w:val="1"/>
      <w:color w:val="0f4761" w:themeColor="accent1" w:themeShade="0000BF"/>
    </w:rPr>
  </w:style>
  <w:style w:type="paragraph" w:styleId="IntenseQuote">
    <w:name w:val="Intense Quote"/>
    <w:basedOn w:val="Normal"/>
    <w:next w:val="Normal"/>
    <w:link w:val="IntenseQuoteChar"/>
    <w:uiPriority w:val="30"/>
    <w:qFormat w:val="1"/>
    <w:rsid w:val="00E07FC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07FC6"/>
    <w:rPr>
      <w:i w:val="1"/>
      <w:iCs w:val="1"/>
      <w:color w:val="0f4761" w:themeColor="accent1" w:themeShade="0000BF"/>
    </w:rPr>
  </w:style>
  <w:style w:type="character" w:styleId="IntenseReference">
    <w:name w:val="Intense Reference"/>
    <w:basedOn w:val="DefaultParagraphFont"/>
    <w:uiPriority w:val="32"/>
    <w:qFormat w:val="1"/>
    <w:rsid w:val="00E07FC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RkWVLn3bsN87AYrK4E7lb4/rNg==">CgMxLjA4AHIhMVk5OTZpVGUzU0NIaGUyUkVXZDNTM1JQcGhsZXJKX1RM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2026-01-22T09:52:00Z</dcterms:created>
  <dc:creator>Theodoros Rigogiannis</dc:creator>
</cp:coreProperties>
</file>