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07E1C" w14:textId="50E383ED" w:rsidR="00D0432F" w:rsidRDefault="00D0432F" w:rsidP="00D0432F">
      <w:pPr>
        <w:jc w:val="center"/>
        <w:rPr>
          <w:sz w:val="36"/>
          <w:szCs w:val="36"/>
        </w:rPr>
      </w:pPr>
      <w:proofErr w:type="spellStart"/>
      <w:r w:rsidRPr="00D0432F">
        <w:rPr>
          <w:sz w:val="36"/>
          <w:szCs w:val="36"/>
          <w:u w:val="single"/>
        </w:rPr>
        <w:t>HeroesofPymoli</w:t>
      </w:r>
      <w:proofErr w:type="spellEnd"/>
      <w:r w:rsidRPr="00D0432F">
        <w:rPr>
          <w:sz w:val="36"/>
          <w:szCs w:val="36"/>
          <w:u w:val="single"/>
        </w:rPr>
        <w:t xml:space="preserve"> Observations</w:t>
      </w:r>
    </w:p>
    <w:p w14:paraId="4348FDDA" w14:textId="215DC70B" w:rsidR="00D0432F" w:rsidRDefault="00D0432F" w:rsidP="00D04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observable trend from the data is that Males dominate when it comes to playing/purchasing the game.  Just over 84% of all players are Males.</w:t>
      </w:r>
    </w:p>
    <w:p w14:paraId="6152433D" w14:textId="77777777" w:rsidR="00D0432F" w:rsidRPr="00D0432F" w:rsidRDefault="00D0432F" w:rsidP="00D0432F">
      <w:pPr>
        <w:ind w:left="360"/>
        <w:rPr>
          <w:sz w:val="24"/>
          <w:szCs w:val="24"/>
        </w:rPr>
      </w:pPr>
    </w:p>
    <w:p w14:paraId="02C529B1" w14:textId="66529B0B" w:rsidR="00D0432F" w:rsidRDefault="00D0432F" w:rsidP="00D04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second trend worth noting is that when it comes to purchasing, the Females outweigh the Males on Average Total Purchase per Person.  Although, Other/Non-Disclosed gender leads this category at $4.56 per person.  Females check in at $4.47 per person and Males $4.07.</w:t>
      </w:r>
    </w:p>
    <w:p w14:paraId="1269ED51" w14:textId="283085BE" w:rsidR="00D0432F" w:rsidRDefault="00D0432F" w:rsidP="00D0432F">
      <w:pPr>
        <w:pStyle w:val="ListParagraph"/>
        <w:rPr>
          <w:sz w:val="24"/>
          <w:szCs w:val="24"/>
        </w:rPr>
      </w:pPr>
    </w:p>
    <w:p w14:paraId="68878211" w14:textId="77777777" w:rsidR="00D0432F" w:rsidRPr="00D0432F" w:rsidRDefault="00D0432F" w:rsidP="00D0432F">
      <w:pPr>
        <w:pStyle w:val="ListParagraph"/>
        <w:rPr>
          <w:sz w:val="24"/>
          <w:szCs w:val="24"/>
        </w:rPr>
      </w:pPr>
    </w:p>
    <w:p w14:paraId="0A12E864" w14:textId="6A3B2E2C" w:rsidR="00D0432F" w:rsidRPr="00D0432F" w:rsidRDefault="00D0432F" w:rsidP="00D04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Lastly, the age group from 20-24 account for nearly half of all players/purchasers at 44.79%.  This is an extremely large </w:t>
      </w:r>
      <w:r w:rsidR="00C14A1A">
        <w:rPr>
          <w:sz w:val="24"/>
          <w:szCs w:val="24"/>
        </w:rPr>
        <w:t>percentage, with 15-19 being the second highest at 18.58%,</w:t>
      </w:r>
      <w:r>
        <w:rPr>
          <w:sz w:val="24"/>
          <w:szCs w:val="24"/>
        </w:rPr>
        <w:t xml:space="preserve"> and </w:t>
      </w:r>
      <w:r w:rsidR="00C14A1A">
        <w:rPr>
          <w:sz w:val="24"/>
          <w:szCs w:val="24"/>
        </w:rPr>
        <w:t>can certainly be used when considering target demographics for this industry.</w:t>
      </w:r>
    </w:p>
    <w:sectPr w:rsidR="00D0432F" w:rsidRPr="00D0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23E31"/>
    <w:multiLevelType w:val="hybridMultilevel"/>
    <w:tmpl w:val="23806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2F"/>
    <w:rsid w:val="00C14A1A"/>
    <w:rsid w:val="00D0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2218"/>
  <w15:chartTrackingRefBased/>
  <w15:docId w15:val="{09DAC604-570D-4134-8A9F-2FDD488C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Alread</dc:creator>
  <cp:keywords/>
  <dc:description/>
  <cp:lastModifiedBy>Michael Alread</cp:lastModifiedBy>
  <cp:revision>1</cp:revision>
  <dcterms:created xsi:type="dcterms:W3CDTF">2020-10-11T21:07:00Z</dcterms:created>
  <dcterms:modified xsi:type="dcterms:W3CDTF">2020-10-11T21:20:00Z</dcterms:modified>
</cp:coreProperties>
</file>