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jc w:val="center"/>
      </w:pPr>
      <w:r>
        <w:drawing>
          <wp:inline xmlns:a="http://schemas.openxmlformats.org/drawingml/2006/main" xmlns:pic="http://schemas.openxmlformats.org/drawingml/2006/picture">
            <wp:extent cx="676656" cy="676656"/>
            <wp:docPr id="1" name="Picture 1"/>
            <wp:cNvGraphicFramePr>
              <a:graphicFrameLocks noChangeAspect="1"/>
            </wp:cNvGraphicFramePr>
            <a:graphic>
              <a:graphicData uri="http://schemas.openxmlformats.org/drawingml/2006/picture">
                <pic:pic>
                  <pic:nvPicPr>
                    <pic:cNvPr id="0" name="nbu-mark.png"/>
                    <pic:cNvPicPr/>
                  </pic:nvPicPr>
                  <pic:blipFill>
                    <a:blip r:embed="rId11"/>
                    <a:stretch>
                      <a:fillRect/>
                    </a:stretch>
                  </pic:blipFill>
                  <pic:spPr>
                    <a:xfrm>
                      <a:off x="0" y="0"/>
                      <a:ext cx="676656" cy="676656"/>
                    </a:xfrm>
                    <a:prstGeom prst="rect"/>
                  </pic:spPr>
                </pic:pic>
              </a:graphicData>
            </a:graphic>
          </wp:inline>
        </w:drawing>
      </w:r>
    </w:p>
    <w:p>
      <w:pPr>
        <w:spacing w:after="0"/>
        <w:jc w:val="center"/>
      </w:pPr>
      <w:r>
        <w:rPr>
          <w:rFonts w:ascii="Arial" w:hAnsi="Arial"/>
          <w:b/>
          <w:color w:val="20B6C3"/>
          <w:sz w:val="17"/>
        </w:rPr>
        <w:t>DOCUMENTACIÓN TÉCNICA</w:t>
      </w:r>
    </w:p>
    <w:p>
      <w:pPr>
        <w:pStyle w:val="Title"/>
        <w:spacing w:after="60"/>
        <w:jc w:val="center"/>
      </w:pPr>
      <w:r>
        <w:rPr>
          <w:rFonts w:ascii="Arial" w:hAnsi="Arial"/>
          <w:b/>
          <w:color w:val="092754"/>
          <w:sz w:val="48"/>
        </w:rPr>
        <w:t>NBU</w:t>
      </w:r>
    </w:p>
    <w:p>
      <w:pPr>
        <w:spacing w:after="160"/>
        <w:jc w:val="center"/>
      </w:pPr>
      <w:r>
        <w:rPr>
          <w:rFonts w:ascii="Arial" w:hAnsi="Arial"/>
          <w:b w:val="0"/>
          <w:color w:val="64758A"/>
          <w:sz w:val="19"/>
        </w:rPr>
        <w:t>Cómo está organizado, cómo se conecta y cómo se ejecuta el sistema</w:t>
      </w:r>
    </w:p>
    <w:p>
      <w:pPr>
        <w:pStyle w:val="Heading1"/>
      </w:pPr>
      <w:r>
        <w:t>1. Propósito y alcance</w:t>
      </w:r>
    </w:p>
    <w:p>
      <w:pPr>
        <w:widowControl/>
      </w:pPr>
      <w:r>
        <w:rPr>
          <w:rFonts w:ascii="Arial" w:hAnsi="Arial"/>
          <w:b w:val="0"/>
          <w:color w:val="182B43"/>
          <w:sz w:val="18"/>
        </w:rPr>
        <w:t>NBU reúne la gestión administrativa de becas universitarias con un portal para estudiantes. El estudiante puede solicitar acceso por internet, esperar la revisión del personal y, una vez aprobado, consultar las convocatorias, sus solicitudes, depósitos registrados, noticias y avisos.</w:t>
      </w:r>
    </w:p>
    <w:p>
      <w:pPr>
        <w:widowControl/>
      </w:pPr>
      <w:r>
        <w:rPr>
          <w:rFonts w:ascii="Arial" w:hAnsi="Arial"/>
          <w:b w:val="0"/>
          <w:color w:val="182B43"/>
          <w:sz w:val="18"/>
        </w:rPr>
        <w:t>La solución contiene dos programas .NET 8: un sitio web ASP.NET Core MVC y una aplicación de escritorio Windows Forms. Ambos usan el proyecto NBU.Data y la misma base de datos SQL Server.</w:t>
      </w:r>
    </w:p>
    <w:p>
      <w:pPr>
        <w:pStyle w:val="Heading1"/>
      </w:pPr>
      <w:r>
        <w:t>2. Organización de la solución</w:t>
      </w:r>
    </w:p>
    <w:tbl>
      <w:tblPr>
        <w:tblStyle w:val="TableGrid"/>
        <w:tblW w:type="auto" w:w="0"/>
        <w:jc w:val="center"/>
        <w:tblLayout w:type="fixed"/>
        <w:tblLook w:firstColumn="1" w:firstRow="1" w:lastColumn="0" w:lastRow="0" w:noHBand="0" w:noVBand="1" w:val="04A0"/>
      </w:tblPr>
      <w:tblGrid>
        <w:gridCol w:w="3816"/>
        <w:gridCol w:w="6077"/>
      </w:tblGrid>
      <w:tr>
        <w:trPr>
          <w:tblHeader w:val="true"/>
        </w:trPr>
        <w:tc>
          <w:tcPr>
            <w:tcW w:type="dxa" w:w="3816"/>
            <w:vAlign w:val="center"/>
            <w:shd w:fill="092754"/>
            <w:tcMar>
              <w:top w:w="80" w:type="dxa"/>
              <w:start w:w="100" w:type="dxa"/>
              <w:bottom w:w="80" w:type="dxa"/>
              <w:end w:w="100" w:type="dxa"/>
            </w:tcMar>
          </w:tcPr>
          <w:p>
            <w:pPr>
              <w:spacing w:after="0" w:line="245" w:lineRule="auto"/>
            </w:pPr>
            <w:r/>
            <w:r>
              <w:rPr>
                <w:rFonts w:ascii="Arial" w:hAnsi="Arial"/>
                <w:b/>
                <w:color w:val="FFFFFF"/>
                <w:sz w:val="15"/>
              </w:rPr>
              <w:t>Proyecto/carpeta</w:t>
            </w:r>
          </w:p>
        </w:tc>
        <w:tc>
          <w:tcPr>
            <w:tcW w:type="dxa" w:w="6077"/>
            <w:vAlign w:val="center"/>
            <w:shd w:fill="092754"/>
            <w:tcMar>
              <w:top w:w="80" w:type="dxa"/>
              <w:start w:w="100" w:type="dxa"/>
              <w:bottom w:w="80" w:type="dxa"/>
              <w:end w:w="100" w:type="dxa"/>
            </w:tcMar>
          </w:tcPr>
          <w:p>
            <w:pPr>
              <w:spacing w:after="0" w:line="245" w:lineRule="auto"/>
            </w:pPr>
            <w:r/>
            <w:r>
              <w:rPr>
                <w:rFonts w:ascii="Arial" w:hAnsi="Arial"/>
                <w:b/>
                <w:color w:val="FFFFFF"/>
                <w:sz w:val="15"/>
              </w:rPr>
              <w:t>Responsabilidad</w:t>
            </w:r>
          </w:p>
        </w:tc>
      </w:tr>
      <w:tr>
        <w:tc>
          <w:tcPr>
            <w:tcW w:type="dxa" w:w="3816"/>
            <w:vAlign w:val="center"/>
            <w:shd w:fill="EFF5FA"/>
            <w:tcMar>
              <w:top w:w="80" w:type="dxa"/>
              <w:start w:w="100" w:type="dxa"/>
              <w:bottom w:w="80" w:type="dxa"/>
              <w:end w:w="100" w:type="dxa"/>
            </w:tcMar>
          </w:tcPr>
          <w:p>
            <w:pPr>
              <w:spacing w:after="0" w:line="245" w:lineRule="auto"/>
            </w:pPr>
            <w:r/>
            <w:r>
              <w:rPr>
                <w:rFonts w:ascii="Arial" w:hAnsi="Arial"/>
                <w:b/>
                <w:color w:val="182B43"/>
                <w:sz w:val="15"/>
              </w:rPr>
              <w:t>NBU.Web/Controllers</w:t>
            </w:r>
          </w:p>
        </w:tc>
        <w:tc>
          <w:tcPr>
            <w:tcW w:type="dxa" w:w="6077"/>
            <w:vAlign w:val="center"/>
            <w:shd w:fill="EFF5FA"/>
            <w:tcMar>
              <w:top w:w="80" w:type="dxa"/>
              <w:start w:w="100" w:type="dxa"/>
              <w:bottom w:w="80" w:type="dxa"/>
              <w:end w:w="100" w:type="dxa"/>
            </w:tcMar>
          </w:tcPr>
          <w:p>
            <w:pPr>
              <w:spacing w:after="0" w:line="245" w:lineRule="auto"/>
            </w:pPr>
            <w:r/>
            <w:r>
              <w:rPr>
                <w:rFonts w:ascii="Arial" w:hAnsi="Arial"/>
                <w:b w:val="0"/>
                <w:color w:val="182B43"/>
                <w:sz w:val="15"/>
              </w:rPr>
              <w:t>Procesa el inicio de sesión, el portal estudiantil y las acciones administrativas.</w:t>
            </w:r>
          </w:p>
        </w:tc>
      </w:tr>
      <w:tr>
        <w:tc>
          <w:tcPr>
            <w:tcW w:type="dxa" w:w="3816"/>
            <w:vAlign w:val="center"/>
            <w:shd w:fill="FFFFFF"/>
            <w:tcMar>
              <w:top w:w="80" w:type="dxa"/>
              <w:start w:w="100" w:type="dxa"/>
              <w:bottom w:w="80" w:type="dxa"/>
              <w:end w:w="100" w:type="dxa"/>
            </w:tcMar>
          </w:tcPr>
          <w:p>
            <w:pPr>
              <w:spacing w:after="0" w:line="245" w:lineRule="auto"/>
            </w:pPr>
            <w:r/>
            <w:r>
              <w:rPr>
                <w:rFonts w:ascii="Arial" w:hAnsi="Arial"/>
                <w:b/>
                <w:color w:val="182B43"/>
                <w:sz w:val="15"/>
              </w:rPr>
              <w:t>NBU.Web/Models</w:t>
            </w:r>
          </w:p>
        </w:tc>
        <w:tc>
          <w:tcPr>
            <w:tcW w:type="dxa" w:w="6077"/>
            <w:vAlign w:val="center"/>
            <w:shd w:fill="FFFFFF"/>
            <w:tcMar>
              <w:top w:w="80" w:type="dxa"/>
              <w:start w:w="100" w:type="dxa"/>
              <w:bottom w:w="80" w:type="dxa"/>
              <w:end w:w="100" w:type="dxa"/>
            </w:tcMar>
          </w:tcPr>
          <w:p>
            <w:pPr>
              <w:spacing w:after="0" w:line="245" w:lineRule="auto"/>
            </w:pPr>
            <w:r/>
            <w:r>
              <w:rPr>
                <w:rFonts w:ascii="Arial" w:hAnsi="Arial"/>
                <w:b w:val="0"/>
                <w:color w:val="182B43"/>
                <w:sz w:val="15"/>
              </w:rPr>
              <w:t>Define modelos de pantalla y reglas de validación.</w:t>
            </w:r>
          </w:p>
        </w:tc>
      </w:tr>
      <w:tr>
        <w:tc>
          <w:tcPr>
            <w:tcW w:type="dxa" w:w="3816"/>
            <w:vAlign w:val="center"/>
            <w:shd w:fill="EFF5FA"/>
            <w:tcMar>
              <w:top w:w="80" w:type="dxa"/>
              <w:start w:w="100" w:type="dxa"/>
              <w:bottom w:w="80" w:type="dxa"/>
              <w:end w:w="100" w:type="dxa"/>
            </w:tcMar>
          </w:tcPr>
          <w:p>
            <w:pPr>
              <w:spacing w:after="0" w:line="245" w:lineRule="auto"/>
            </w:pPr>
            <w:r/>
            <w:r>
              <w:rPr>
                <w:rFonts w:ascii="Arial" w:hAnsi="Arial"/>
                <w:b/>
                <w:color w:val="182B43"/>
                <w:sz w:val="15"/>
              </w:rPr>
              <w:t>NBU.Web/Views</w:t>
            </w:r>
          </w:p>
        </w:tc>
        <w:tc>
          <w:tcPr>
            <w:tcW w:type="dxa" w:w="6077"/>
            <w:vAlign w:val="center"/>
            <w:shd w:fill="EFF5FA"/>
            <w:tcMar>
              <w:top w:w="80" w:type="dxa"/>
              <w:start w:w="100" w:type="dxa"/>
              <w:bottom w:w="80" w:type="dxa"/>
              <w:end w:w="100" w:type="dxa"/>
            </w:tcMar>
          </w:tcPr>
          <w:p>
            <w:pPr>
              <w:spacing w:after="0" w:line="245" w:lineRule="auto"/>
            </w:pPr>
            <w:r/>
            <w:r>
              <w:rPr>
                <w:rFonts w:ascii="Arial" w:hAnsi="Arial"/>
                <w:b w:val="0"/>
                <w:color w:val="182B43"/>
                <w:sz w:val="15"/>
              </w:rPr>
              <w:t>Contiene las páginas Razor; StudentPortal reúne las páginas del estudiante.</w:t>
            </w:r>
          </w:p>
        </w:tc>
      </w:tr>
      <w:tr>
        <w:tc>
          <w:tcPr>
            <w:tcW w:type="dxa" w:w="3816"/>
            <w:vAlign w:val="center"/>
            <w:shd w:fill="FFFFFF"/>
            <w:tcMar>
              <w:top w:w="80" w:type="dxa"/>
              <w:start w:w="100" w:type="dxa"/>
              <w:bottom w:w="80" w:type="dxa"/>
              <w:end w:w="100" w:type="dxa"/>
            </w:tcMar>
          </w:tcPr>
          <w:p>
            <w:pPr>
              <w:spacing w:after="0" w:line="245" w:lineRule="auto"/>
            </w:pPr>
            <w:r/>
            <w:r>
              <w:rPr>
                <w:rFonts w:ascii="Arial" w:hAnsi="Arial"/>
                <w:b/>
                <w:color w:val="182B43"/>
                <w:sz w:val="15"/>
              </w:rPr>
              <w:t>NBU.Web/wwwroot</w:t>
            </w:r>
          </w:p>
        </w:tc>
        <w:tc>
          <w:tcPr>
            <w:tcW w:type="dxa" w:w="6077"/>
            <w:vAlign w:val="center"/>
            <w:shd w:fill="FFFFFF"/>
            <w:tcMar>
              <w:top w:w="80" w:type="dxa"/>
              <w:start w:w="100" w:type="dxa"/>
              <w:bottom w:w="80" w:type="dxa"/>
              <w:end w:w="100" w:type="dxa"/>
            </w:tcMar>
          </w:tcPr>
          <w:p>
            <w:pPr>
              <w:spacing w:after="0" w:line="245" w:lineRule="auto"/>
            </w:pPr>
            <w:r/>
            <w:r>
              <w:rPr>
                <w:rFonts w:ascii="Arial" w:hAnsi="Arial"/>
                <w:b w:val="0"/>
                <w:color w:val="182B43"/>
                <w:sz w:val="15"/>
              </w:rPr>
              <w:t>Guarda CSS, JavaScript, recursos Bootstrap e imágenes, incluido el símbolo NBU.</w:t>
            </w:r>
          </w:p>
        </w:tc>
      </w:tr>
      <w:tr>
        <w:tc>
          <w:tcPr>
            <w:tcW w:type="dxa" w:w="3816"/>
            <w:vAlign w:val="center"/>
            <w:shd w:fill="EFF5FA"/>
            <w:tcMar>
              <w:top w:w="80" w:type="dxa"/>
              <w:start w:w="100" w:type="dxa"/>
              <w:bottom w:w="80" w:type="dxa"/>
              <w:end w:w="100" w:type="dxa"/>
            </w:tcMar>
          </w:tcPr>
          <w:p>
            <w:pPr>
              <w:spacing w:after="0" w:line="245" w:lineRule="auto"/>
            </w:pPr>
            <w:r/>
            <w:r>
              <w:rPr>
                <w:rFonts w:ascii="Arial" w:hAnsi="Arial"/>
                <w:b/>
                <w:color w:val="182B43"/>
                <w:sz w:val="15"/>
              </w:rPr>
              <w:t>NBU.Desktop</w:t>
            </w:r>
          </w:p>
        </w:tc>
        <w:tc>
          <w:tcPr>
            <w:tcW w:type="dxa" w:w="6077"/>
            <w:vAlign w:val="center"/>
            <w:shd w:fill="EFF5FA"/>
            <w:tcMar>
              <w:top w:w="80" w:type="dxa"/>
              <w:start w:w="100" w:type="dxa"/>
              <w:bottom w:w="80" w:type="dxa"/>
              <w:end w:w="100" w:type="dxa"/>
            </w:tcMar>
          </w:tcPr>
          <w:p>
            <w:pPr>
              <w:spacing w:after="0" w:line="245" w:lineRule="auto"/>
            </w:pPr>
            <w:r/>
            <w:r>
              <w:rPr>
                <w:rFonts w:ascii="Arial" w:hAnsi="Arial"/>
                <w:b w:val="0"/>
                <w:color w:val="182B43"/>
                <w:sz w:val="15"/>
              </w:rPr>
              <w:t>Aplicación Windows Forms, formularios, navegación y operaciones CRUD.</w:t>
            </w:r>
          </w:p>
        </w:tc>
      </w:tr>
      <w:tr>
        <w:tc>
          <w:tcPr>
            <w:tcW w:type="dxa" w:w="3816"/>
            <w:vAlign w:val="center"/>
            <w:shd w:fill="FFFFFF"/>
            <w:tcMar>
              <w:top w:w="80" w:type="dxa"/>
              <w:start w:w="100" w:type="dxa"/>
              <w:bottom w:w="80" w:type="dxa"/>
              <w:end w:w="100" w:type="dxa"/>
            </w:tcMar>
          </w:tcPr>
          <w:p>
            <w:pPr>
              <w:spacing w:after="0" w:line="245" w:lineRule="auto"/>
            </w:pPr>
            <w:r/>
            <w:r>
              <w:rPr>
                <w:rFonts w:ascii="Arial" w:hAnsi="Arial"/>
                <w:b/>
                <w:color w:val="182B43"/>
                <w:sz w:val="15"/>
              </w:rPr>
              <w:t>NBU.Data/Models</w:t>
            </w:r>
          </w:p>
        </w:tc>
        <w:tc>
          <w:tcPr>
            <w:tcW w:type="dxa" w:w="6077"/>
            <w:vAlign w:val="center"/>
            <w:shd w:fill="FFFFFF"/>
            <w:tcMar>
              <w:top w:w="80" w:type="dxa"/>
              <w:start w:w="100" w:type="dxa"/>
              <w:bottom w:w="80" w:type="dxa"/>
              <w:end w:w="100" w:type="dxa"/>
            </w:tcMar>
          </w:tcPr>
          <w:p>
            <w:pPr>
              <w:spacing w:after="0" w:line="245" w:lineRule="auto"/>
            </w:pPr>
            <w:r/>
            <w:r>
              <w:rPr>
                <w:rFonts w:ascii="Arial" w:hAnsi="Arial"/>
                <w:b w:val="0"/>
                <w:color w:val="182B43"/>
                <w:sz w:val="15"/>
              </w:rPr>
              <w:t>Entidades compartidas entre web y escritorio.</w:t>
            </w:r>
          </w:p>
        </w:tc>
      </w:tr>
      <w:tr>
        <w:tc>
          <w:tcPr>
            <w:tcW w:type="dxa" w:w="3816"/>
            <w:vAlign w:val="center"/>
            <w:shd w:fill="EFF5FA"/>
            <w:tcMar>
              <w:top w:w="80" w:type="dxa"/>
              <w:start w:w="100" w:type="dxa"/>
              <w:bottom w:w="80" w:type="dxa"/>
              <w:end w:w="100" w:type="dxa"/>
            </w:tcMar>
          </w:tcPr>
          <w:p>
            <w:pPr>
              <w:spacing w:after="0" w:line="245" w:lineRule="auto"/>
            </w:pPr>
            <w:r/>
            <w:r>
              <w:rPr>
                <w:rFonts w:ascii="Arial" w:hAnsi="Arial"/>
                <w:b/>
                <w:color w:val="182B43"/>
                <w:sz w:val="15"/>
              </w:rPr>
              <w:t>NBU.Data/AppDbContext.cs</w:t>
            </w:r>
          </w:p>
        </w:tc>
        <w:tc>
          <w:tcPr>
            <w:tcW w:type="dxa" w:w="6077"/>
            <w:vAlign w:val="center"/>
            <w:shd w:fill="EFF5FA"/>
            <w:tcMar>
              <w:top w:w="80" w:type="dxa"/>
              <w:start w:w="100" w:type="dxa"/>
              <w:bottom w:w="80" w:type="dxa"/>
              <w:end w:w="100" w:type="dxa"/>
            </w:tcMar>
          </w:tcPr>
          <w:p>
            <w:pPr>
              <w:spacing w:after="0" w:line="245" w:lineRule="auto"/>
            </w:pPr>
            <w:r/>
            <w:r>
              <w:rPr>
                <w:rFonts w:ascii="Arial" w:hAnsi="Arial"/>
                <w:b w:val="0"/>
                <w:color w:val="182B43"/>
                <w:sz w:val="15"/>
              </w:rPr>
              <w:t>Configura Entity Framework Core, índices y relaciones.</w:t>
            </w:r>
          </w:p>
        </w:tc>
      </w:tr>
      <w:tr>
        <w:tc>
          <w:tcPr>
            <w:tcW w:type="dxa" w:w="3816"/>
            <w:vAlign w:val="center"/>
            <w:shd w:fill="FFFFFF"/>
            <w:tcMar>
              <w:top w:w="80" w:type="dxa"/>
              <w:start w:w="100" w:type="dxa"/>
              <w:bottom w:w="80" w:type="dxa"/>
              <w:end w:w="100" w:type="dxa"/>
            </w:tcMar>
          </w:tcPr>
          <w:p>
            <w:pPr>
              <w:spacing w:after="0" w:line="245" w:lineRule="auto"/>
            </w:pPr>
            <w:r/>
            <w:r>
              <w:rPr>
                <w:rFonts w:ascii="Arial" w:hAnsi="Arial"/>
                <w:b/>
                <w:color w:val="182B43"/>
                <w:sz w:val="15"/>
              </w:rPr>
              <w:t>NBU.Data/Migrations + database/NBU.sql</w:t>
            </w:r>
          </w:p>
        </w:tc>
        <w:tc>
          <w:tcPr>
            <w:tcW w:type="dxa" w:w="6077"/>
            <w:vAlign w:val="center"/>
            <w:shd w:fill="FFFFFF"/>
            <w:tcMar>
              <w:top w:w="80" w:type="dxa"/>
              <w:start w:w="100" w:type="dxa"/>
              <w:bottom w:w="80" w:type="dxa"/>
              <w:end w:w="100" w:type="dxa"/>
            </w:tcMar>
          </w:tcPr>
          <w:p>
            <w:pPr>
              <w:spacing w:after="0" w:line="245" w:lineRule="auto"/>
            </w:pPr>
            <w:r/>
            <w:r>
              <w:rPr>
                <w:rFonts w:ascii="Arial" w:hAnsi="Arial"/>
                <w:b w:val="0"/>
                <w:color w:val="182B43"/>
                <w:sz w:val="15"/>
              </w:rPr>
              <w:t>Historial del esquema y script SQL para crear/actualizar la base.</w:t>
            </w:r>
          </w:p>
        </w:tc>
      </w:tr>
    </w:tbl>
    <w:p>
      <w:pPr>
        <w:pStyle w:val="Heading2"/>
      </w:pPr>
      <w:r>
        <w:t>Qué significa MVC en este proyecto</w:t>
      </w:r>
    </w:p>
    <w:tbl>
      <w:tblPr>
        <w:tblStyle w:val="TableGrid"/>
        <w:tblW w:type="auto" w:w="0"/>
        <w:jc w:val="center"/>
        <w:tblLayout w:type="fixed"/>
        <w:tblLook w:firstColumn="1" w:firstRow="1" w:lastColumn="0" w:lastRow="0" w:noHBand="0" w:noVBand="1" w:val="04A0"/>
      </w:tblPr>
      <w:tblGrid>
        <w:gridCol w:w="1800"/>
        <w:gridCol w:w="8093"/>
      </w:tblGrid>
      <w:tr>
        <w:trPr>
          <w:tblHeader w:val="true"/>
        </w:trPr>
        <w:tc>
          <w:tcPr>
            <w:tcW w:type="dxa" w:w="1800"/>
            <w:vAlign w:val="center"/>
            <w:shd w:fill="092754"/>
            <w:tcMar>
              <w:top w:w="80" w:type="dxa"/>
              <w:start w:w="100" w:type="dxa"/>
              <w:bottom w:w="80" w:type="dxa"/>
              <w:end w:w="100" w:type="dxa"/>
            </w:tcMar>
          </w:tcPr>
          <w:p>
            <w:pPr>
              <w:spacing w:after="0" w:line="245" w:lineRule="auto"/>
            </w:pPr>
            <w:r/>
            <w:r>
              <w:rPr>
                <w:rFonts w:ascii="Arial" w:hAnsi="Arial"/>
                <w:b/>
                <w:color w:val="FFFFFF"/>
                <w:sz w:val="16"/>
              </w:rPr>
              <w:t>Parte</w:t>
            </w:r>
          </w:p>
        </w:tc>
        <w:tc>
          <w:tcPr>
            <w:tcW w:type="dxa" w:w="8093"/>
            <w:vAlign w:val="center"/>
            <w:shd w:fill="092754"/>
            <w:tcMar>
              <w:top w:w="80" w:type="dxa"/>
              <w:start w:w="100" w:type="dxa"/>
              <w:bottom w:w="80" w:type="dxa"/>
              <w:end w:w="100" w:type="dxa"/>
            </w:tcMar>
          </w:tcPr>
          <w:p>
            <w:pPr>
              <w:spacing w:after="0" w:line="245" w:lineRule="auto"/>
            </w:pPr>
            <w:r/>
            <w:r>
              <w:rPr>
                <w:rFonts w:ascii="Arial" w:hAnsi="Arial"/>
                <w:b/>
                <w:color w:val="FFFFFF"/>
                <w:sz w:val="16"/>
              </w:rPr>
              <w:t>Explicación aplicada a NBU</w:t>
            </w:r>
          </w:p>
        </w:tc>
      </w:tr>
      <w:tr>
        <w:tc>
          <w:tcPr>
            <w:tcW w:type="dxa" w:w="1800"/>
            <w:vAlign w:val="center"/>
            <w:shd w:fill="EFF5FA"/>
            <w:tcMar>
              <w:top w:w="80" w:type="dxa"/>
              <w:start w:w="100" w:type="dxa"/>
              <w:bottom w:w="80" w:type="dxa"/>
              <w:end w:w="100" w:type="dxa"/>
            </w:tcMar>
          </w:tcPr>
          <w:p>
            <w:pPr>
              <w:spacing w:after="0" w:line="245" w:lineRule="auto"/>
            </w:pPr>
            <w:r/>
            <w:r>
              <w:rPr>
                <w:rFonts w:ascii="Arial" w:hAnsi="Arial"/>
                <w:b/>
                <w:color w:val="182B43"/>
                <w:sz w:val="16"/>
              </w:rPr>
              <w:t>Modelo</w:t>
            </w:r>
          </w:p>
        </w:tc>
        <w:tc>
          <w:tcPr>
            <w:tcW w:type="dxa" w:w="8093"/>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Describe estudiantes, becas, solicitudes, depósitos y publicaciones.</w:t>
            </w:r>
          </w:p>
        </w:tc>
      </w:tr>
      <w:tr>
        <w:tc>
          <w:tcPr>
            <w:tcW w:type="dxa" w:w="1800"/>
            <w:vAlign w:val="center"/>
            <w:shd w:fill="FFFFFF"/>
            <w:tcMar>
              <w:top w:w="80" w:type="dxa"/>
              <w:start w:w="100" w:type="dxa"/>
              <w:bottom w:w="80" w:type="dxa"/>
              <w:end w:w="100" w:type="dxa"/>
            </w:tcMar>
          </w:tcPr>
          <w:p>
            <w:pPr>
              <w:spacing w:after="0" w:line="245" w:lineRule="auto"/>
            </w:pPr>
            <w:r/>
            <w:r>
              <w:rPr>
                <w:rFonts w:ascii="Arial" w:hAnsi="Arial"/>
                <w:b/>
                <w:color w:val="182B43"/>
                <w:sz w:val="16"/>
              </w:rPr>
              <w:t>Vista</w:t>
            </w:r>
          </w:p>
        </w:tc>
        <w:tc>
          <w:tcPr>
            <w:tcW w:type="dxa" w:w="8093"/>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Muestra pantallas Razor y formularios web.</w:t>
            </w:r>
          </w:p>
        </w:tc>
      </w:tr>
      <w:tr>
        <w:tc>
          <w:tcPr>
            <w:tcW w:type="dxa" w:w="1800"/>
            <w:vAlign w:val="center"/>
            <w:shd w:fill="EFF5FA"/>
            <w:tcMar>
              <w:top w:w="80" w:type="dxa"/>
              <w:start w:w="100" w:type="dxa"/>
              <w:bottom w:w="80" w:type="dxa"/>
              <w:end w:w="100" w:type="dxa"/>
            </w:tcMar>
          </w:tcPr>
          <w:p>
            <w:pPr>
              <w:spacing w:after="0" w:line="245" w:lineRule="auto"/>
            </w:pPr>
            <w:r/>
            <w:r>
              <w:rPr>
                <w:rFonts w:ascii="Arial" w:hAnsi="Arial"/>
                <w:b/>
                <w:color w:val="182B43"/>
                <w:sz w:val="16"/>
              </w:rPr>
              <w:t>Controlador</w:t>
            </w:r>
          </w:p>
        </w:tc>
        <w:tc>
          <w:tcPr>
            <w:tcW w:type="dxa" w:w="8093"/>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Recibe la acción, valida los datos y coordina la lectura o escritura.</w:t>
            </w:r>
          </w:p>
        </w:tc>
      </w:tr>
    </w:tbl>
    <w:tbl>
      <w:tblPr>
        <w:tblStyle w:val="TableGrid"/>
        <w:tblW w:type="auto" w:w="0"/>
        <w:tblLook w:firstColumn="1" w:firstRow="1" w:lastColumn="0" w:lastRow="0" w:noHBand="0" w:noVBand="1" w:val="04A0"/>
      </w:tblPr>
      <w:tblGrid>
        <w:gridCol w:w="9893"/>
      </w:tblGrid>
      <w:tr>
        <w:tc>
          <w:tcPr>
            <w:tcW w:type="dxa" w:w="9893"/>
            <w:vAlign w:val="center"/>
            <w:shd w:fill="EAF8F8"/>
            <w:tcMar>
              <w:top w:w="80" w:type="dxa"/>
              <w:start w:w="100" w:type="dxa"/>
              <w:bottom w:w="80" w:type="dxa"/>
              <w:end w:w="100" w:type="dxa"/>
            </w:tcMar>
          </w:tcPr>
          <w:p>
            <w:pPr>
              <w:spacing w:after="0" w:line="245" w:lineRule="auto"/>
            </w:pPr>
            <w:r>
              <w:rPr>
                <w:b/>
              </w:rPr>
            </w:r>
            <w:r>
              <w:rPr>
                <w:rFonts w:ascii="Arial" w:hAnsi="Arial"/>
                <w:b w:val="0"/>
                <w:color w:val="092754"/>
                <w:sz w:val="18"/>
              </w:rPr>
              <w:t>La idea importante</w:t>
            </w:r>
            <w:r>
              <w:br/>
            </w:r>
            <w:r>
              <w:rPr>
                <w:rFonts w:ascii="Arial" w:hAnsi="Arial"/>
                <w:b w:val="0"/>
                <w:color w:val="092754"/>
                <w:sz w:val="18"/>
              </w:rPr>
              <w:t>La web y el programa de escritorio son dos puertas para trabajar con la misma información guardada en SQL Server.</w:t>
            </w:r>
          </w:p>
        </w:tc>
      </w:tr>
    </w:tbl>
    <w:p>
      <w:r>
        <w:br w:type="page"/>
      </w:r>
    </w:p>
    <w:p>
      <w:pPr>
        <w:pStyle w:val="Heading1"/>
      </w:pPr>
      <w:r>
        <w:t>3. Base de datos y relaciones</w:t>
      </w:r>
    </w:p>
    <w:tbl>
      <w:tblPr>
        <w:tblStyle w:val="TableGrid"/>
        <w:tblW w:type="auto" w:w="0"/>
        <w:jc w:val="center"/>
        <w:tblLayout w:type="fixed"/>
        <w:tblLook w:firstColumn="1" w:firstRow="1" w:lastColumn="0" w:lastRow="0" w:noHBand="0" w:noVBand="1" w:val="04A0"/>
      </w:tblPr>
      <w:tblGrid>
        <w:gridCol w:w="3096"/>
        <w:gridCol w:w="6797"/>
      </w:tblGrid>
      <w:tr>
        <w:trPr>
          <w:tblHeader w:val="true"/>
        </w:trPr>
        <w:tc>
          <w:tcPr>
            <w:tcW w:type="dxa" w:w="3096"/>
            <w:vAlign w:val="center"/>
            <w:shd w:fill="092754"/>
            <w:tcMar>
              <w:top w:w="80" w:type="dxa"/>
              <w:start w:w="100" w:type="dxa"/>
              <w:bottom w:w="80" w:type="dxa"/>
              <w:end w:w="100" w:type="dxa"/>
            </w:tcMar>
          </w:tcPr>
          <w:p>
            <w:pPr>
              <w:spacing w:after="0" w:line="245" w:lineRule="auto"/>
            </w:pPr>
            <w:r/>
            <w:r>
              <w:rPr>
                <w:rFonts w:ascii="Arial" w:hAnsi="Arial"/>
                <w:b/>
                <w:color w:val="FFFFFF"/>
                <w:sz w:val="16"/>
              </w:rPr>
              <w:t>Tabla/entidad</w:t>
            </w:r>
          </w:p>
        </w:tc>
        <w:tc>
          <w:tcPr>
            <w:tcW w:type="dxa" w:w="6797"/>
            <w:vAlign w:val="center"/>
            <w:shd w:fill="092754"/>
            <w:tcMar>
              <w:top w:w="80" w:type="dxa"/>
              <w:start w:w="100" w:type="dxa"/>
              <w:bottom w:w="80" w:type="dxa"/>
              <w:end w:w="100" w:type="dxa"/>
            </w:tcMar>
          </w:tcPr>
          <w:p>
            <w:pPr>
              <w:spacing w:after="0" w:line="245" w:lineRule="auto"/>
            </w:pPr>
            <w:r/>
            <w:r>
              <w:rPr>
                <w:rFonts w:ascii="Arial" w:hAnsi="Arial"/>
                <w:b/>
                <w:color w:val="FFFFFF"/>
                <w:sz w:val="16"/>
              </w:rPr>
              <w:t>Datos que representa</w:t>
            </w:r>
          </w:p>
        </w:tc>
      </w:tr>
      <w:tr>
        <w:tc>
          <w:tcPr>
            <w:tcW w:type="dxa" w:w="3096"/>
            <w:vAlign w:val="center"/>
            <w:shd w:fill="EFF5FA"/>
            <w:tcMar>
              <w:top w:w="80" w:type="dxa"/>
              <w:start w:w="100" w:type="dxa"/>
              <w:bottom w:w="80" w:type="dxa"/>
              <w:end w:w="100" w:type="dxa"/>
            </w:tcMar>
          </w:tcPr>
          <w:p>
            <w:pPr>
              <w:spacing w:after="0" w:line="245" w:lineRule="auto"/>
            </w:pPr>
            <w:r/>
            <w:r>
              <w:rPr>
                <w:rFonts w:ascii="Arial" w:hAnsi="Arial"/>
                <w:b/>
                <w:color w:val="182B43"/>
                <w:sz w:val="16"/>
              </w:rPr>
              <w:t>Students</w:t>
            </w:r>
          </w:p>
        </w:tc>
        <w:tc>
          <w:tcPr>
            <w:tcW w:type="dxa" w:w="679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Perfil, código, cédula, correo, carrera, universidad y estado del estudiante.</w:t>
            </w:r>
          </w:p>
        </w:tc>
      </w:tr>
      <w:tr>
        <w:tc>
          <w:tcPr>
            <w:tcW w:type="dxa" w:w="3096"/>
            <w:vAlign w:val="center"/>
            <w:shd w:fill="FFFFFF"/>
            <w:tcMar>
              <w:top w:w="80" w:type="dxa"/>
              <w:start w:w="100" w:type="dxa"/>
              <w:bottom w:w="80" w:type="dxa"/>
              <w:end w:w="100" w:type="dxa"/>
            </w:tcMar>
          </w:tcPr>
          <w:p>
            <w:pPr>
              <w:spacing w:after="0" w:line="245" w:lineRule="auto"/>
            </w:pPr>
            <w:r/>
            <w:r>
              <w:rPr>
                <w:rFonts w:ascii="Arial" w:hAnsi="Arial"/>
                <w:b/>
                <w:color w:val="182B43"/>
                <w:sz w:val="16"/>
              </w:rPr>
              <w:t>Scholarships</w:t>
            </w:r>
          </w:p>
        </w:tc>
        <w:tc>
          <w:tcPr>
            <w:tcW w:type="dxa" w:w="6797"/>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Convocatorias, montos, requisitos y fechas.</w:t>
            </w:r>
          </w:p>
        </w:tc>
      </w:tr>
      <w:tr>
        <w:tc>
          <w:tcPr>
            <w:tcW w:type="dxa" w:w="3096"/>
            <w:vAlign w:val="center"/>
            <w:shd w:fill="EFF5FA"/>
            <w:tcMar>
              <w:top w:w="80" w:type="dxa"/>
              <w:start w:w="100" w:type="dxa"/>
              <w:bottom w:w="80" w:type="dxa"/>
              <w:end w:w="100" w:type="dxa"/>
            </w:tcMar>
          </w:tcPr>
          <w:p>
            <w:pPr>
              <w:spacing w:after="0" w:line="245" w:lineRule="auto"/>
            </w:pPr>
            <w:r/>
            <w:r>
              <w:rPr>
                <w:rFonts w:ascii="Arial" w:hAnsi="Arial"/>
                <w:b/>
                <w:color w:val="182B43"/>
                <w:sz w:val="16"/>
              </w:rPr>
              <w:t>ScholarshipApplications</w:t>
            </w:r>
          </w:p>
        </w:tc>
        <w:tc>
          <w:tcPr>
            <w:tcW w:type="dxa" w:w="679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Solicitud de una persona para una convocatoria; estado, observación y documento opcional.</w:t>
            </w:r>
          </w:p>
        </w:tc>
      </w:tr>
      <w:tr>
        <w:tc>
          <w:tcPr>
            <w:tcW w:type="dxa" w:w="3096"/>
            <w:vAlign w:val="center"/>
            <w:shd w:fill="FFFFFF"/>
            <w:tcMar>
              <w:top w:w="80" w:type="dxa"/>
              <w:start w:w="100" w:type="dxa"/>
              <w:bottom w:w="80" w:type="dxa"/>
              <w:end w:w="100" w:type="dxa"/>
            </w:tcMar>
          </w:tcPr>
          <w:p>
            <w:pPr>
              <w:spacing w:after="0" w:line="245" w:lineRule="auto"/>
            </w:pPr>
            <w:r/>
            <w:r>
              <w:rPr>
                <w:rFonts w:ascii="Arial" w:hAnsi="Arial"/>
                <w:b/>
                <w:color w:val="182B43"/>
                <w:sz w:val="16"/>
              </w:rPr>
              <w:t>Payments</w:t>
            </w:r>
          </w:p>
        </w:tc>
        <w:tc>
          <w:tcPr>
            <w:tcW w:type="dxa" w:w="6797"/>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Depósitos registrados para solicitudes aceptadas; monto, fecha, período y estado.</w:t>
            </w:r>
          </w:p>
        </w:tc>
      </w:tr>
      <w:tr>
        <w:tc>
          <w:tcPr>
            <w:tcW w:type="dxa" w:w="3096"/>
            <w:vAlign w:val="center"/>
            <w:shd w:fill="EFF5FA"/>
            <w:tcMar>
              <w:top w:w="80" w:type="dxa"/>
              <w:start w:w="100" w:type="dxa"/>
              <w:bottom w:w="80" w:type="dxa"/>
              <w:end w:w="100" w:type="dxa"/>
            </w:tcMar>
          </w:tcPr>
          <w:p>
            <w:pPr>
              <w:spacing w:after="0" w:line="245" w:lineRule="auto"/>
            </w:pPr>
            <w:r/>
            <w:r>
              <w:rPr>
                <w:rFonts w:ascii="Arial" w:hAnsi="Arial"/>
                <w:b/>
                <w:color w:val="182B43"/>
                <w:sz w:val="16"/>
              </w:rPr>
              <w:t>Publications</w:t>
            </w:r>
          </w:p>
        </w:tc>
        <w:tc>
          <w:tcPr>
            <w:tcW w:type="dxa" w:w="679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Noticias, eventos y avisos publicados por el equipo administrativo.</w:t>
            </w:r>
          </w:p>
        </w:tc>
      </w:tr>
      <w:tr>
        <w:tc>
          <w:tcPr>
            <w:tcW w:type="dxa" w:w="3096"/>
            <w:vAlign w:val="center"/>
            <w:shd w:fill="FFFFFF"/>
            <w:tcMar>
              <w:top w:w="80" w:type="dxa"/>
              <w:start w:w="100" w:type="dxa"/>
              <w:bottom w:w="80" w:type="dxa"/>
              <w:end w:w="100" w:type="dxa"/>
            </w:tcMar>
          </w:tcPr>
          <w:p>
            <w:pPr>
              <w:spacing w:after="0" w:line="245" w:lineRule="auto"/>
            </w:pPr>
            <w:r/>
            <w:r>
              <w:rPr>
                <w:rFonts w:ascii="Arial" w:hAnsi="Arial"/>
                <w:b/>
                <w:color w:val="182B43"/>
                <w:sz w:val="16"/>
              </w:rPr>
              <w:t>Notifications</w:t>
            </w:r>
          </w:p>
        </w:tc>
        <w:tc>
          <w:tcPr>
            <w:tcW w:type="dxa" w:w="6797"/>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Avisos destinados a un estudiante y su estado de lectura.</w:t>
            </w:r>
          </w:p>
        </w:tc>
      </w:tr>
      <w:tr>
        <w:tc>
          <w:tcPr>
            <w:tcW w:type="dxa" w:w="3096"/>
            <w:vAlign w:val="center"/>
            <w:shd w:fill="EFF5FA"/>
            <w:tcMar>
              <w:top w:w="80" w:type="dxa"/>
              <w:start w:w="100" w:type="dxa"/>
              <w:bottom w:w="80" w:type="dxa"/>
              <w:end w:w="100" w:type="dxa"/>
            </w:tcMar>
          </w:tcPr>
          <w:p>
            <w:pPr>
              <w:spacing w:after="0" w:line="245" w:lineRule="auto"/>
            </w:pPr>
            <w:r/>
            <w:r>
              <w:rPr>
                <w:rFonts w:ascii="Arial" w:hAnsi="Arial"/>
                <w:b/>
                <w:color w:val="182B43"/>
                <w:sz w:val="16"/>
              </w:rPr>
              <w:t>AspNetUsers / AspNetRoles</w:t>
            </w:r>
          </w:p>
        </w:tc>
        <w:tc>
          <w:tcPr>
            <w:tcW w:type="dxa" w:w="679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Cuentas, contraseñas protegidas y roles Admin/Student.</w:t>
            </w:r>
          </w:p>
        </w:tc>
      </w:tr>
    </w:tbl>
    <w:p>
      <w:pPr>
        <w:pStyle w:val="ListBullet"/>
        <w:widowControl/>
        <w:spacing w:after="40"/>
        <w:ind w:left="360" w:hanging="173"/>
      </w:pPr>
      <w:r>
        <w:rPr>
          <w:rFonts w:ascii="Arial" w:hAnsi="Arial"/>
          <w:b w:val="0"/>
          <w:color w:val="182B43"/>
          <w:sz w:val="18"/>
        </w:rPr>
        <w:t>Cada solicitud relaciona un estudiante con una beca. Un índice único evita repetir la misma solicitud para la misma convocatoria.</w:t>
      </w:r>
    </w:p>
    <w:p>
      <w:pPr>
        <w:pStyle w:val="ListBullet"/>
        <w:widowControl/>
        <w:spacing w:after="40"/>
        <w:ind w:left="360" w:hanging="173"/>
      </w:pPr>
      <w:r>
        <w:rPr>
          <w:rFonts w:ascii="Arial" w:hAnsi="Arial"/>
          <w:b w:val="0"/>
          <w:color w:val="182B43"/>
          <w:sz w:val="18"/>
        </w:rPr>
        <w:t>Los pagos se relacionan con una solicitud aceptada; las claves foráneas protegen la información vinculada.</w:t>
      </w:r>
    </w:p>
    <w:p>
      <w:pPr>
        <w:pStyle w:val="ListBullet"/>
        <w:widowControl/>
        <w:spacing w:after="40"/>
        <w:ind w:left="360" w:hanging="173"/>
      </w:pPr>
      <w:r>
        <w:rPr>
          <w:rFonts w:ascii="Arial" w:hAnsi="Arial"/>
          <w:b w:val="0"/>
          <w:color w:val="182B43"/>
          <w:sz w:val="18"/>
        </w:rPr>
        <w:t>La cuenta Student queda asociada a un solo expediente. Las páginas del portal filtran los datos por la cuenta que inició sesión.</w:t>
      </w:r>
    </w:p>
    <w:p>
      <w:pPr>
        <w:pStyle w:val="Heading1"/>
      </w:pPr>
      <w:r>
        <w:t>4. Flujo principal de información</w:t>
      </w:r>
    </w:p>
    <w:tbl>
      <w:tblPr>
        <w:tblStyle w:val="TableGrid"/>
        <w:tblW w:type="auto" w:w="0"/>
        <w:jc w:val="center"/>
        <w:tblLayout w:type="fixed"/>
        <w:tblLook w:firstColumn="1" w:firstRow="1" w:lastColumn="0" w:lastRow="0" w:noHBand="0" w:noVBand="1" w:val="04A0"/>
      </w:tblPr>
      <w:tblGrid>
        <w:gridCol w:w="792"/>
        <w:gridCol w:w="9101"/>
      </w:tblGrid>
      <w:tr>
        <w:trPr>
          <w:tblHeader w:val="true"/>
        </w:trPr>
        <w:tc>
          <w:tcPr>
            <w:tcW w:type="dxa" w:w="792"/>
            <w:vAlign w:val="center"/>
            <w:shd w:fill="092754"/>
            <w:tcMar>
              <w:top w:w="80" w:type="dxa"/>
              <w:start w:w="100" w:type="dxa"/>
              <w:bottom w:w="80" w:type="dxa"/>
              <w:end w:w="100" w:type="dxa"/>
            </w:tcMar>
          </w:tcPr>
          <w:p>
            <w:pPr>
              <w:spacing w:after="0" w:line="245" w:lineRule="auto"/>
            </w:pPr>
            <w:r/>
            <w:r>
              <w:rPr>
                <w:rFonts w:ascii="Arial" w:hAnsi="Arial"/>
                <w:b/>
                <w:color w:val="FFFFFF"/>
                <w:sz w:val="16"/>
              </w:rPr>
              <w:t>Paso</w:t>
            </w:r>
          </w:p>
        </w:tc>
        <w:tc>
          <w:tcPr>
            <w:tcW w:type="dxa" w:w="9101"/>
            <w:vAlign w:val="center"/>
            <w:shd w:fill="092754"/>
            <w:tcMar>
              <w:top w:w="80" w:type="dxa"/>
              <w:start w:w="100" w:type="dxa"/>
              <w:bottom w:w="80" w:type="dxa"/>
              <w:end w:w="100" w:type="dxa"/>
            </w:tcMar>
          </w:tcPr>
          <w:p>
            <w:pPr>
              <w:spacing w:after="0" w:line="245" w:lineRule="auto"/>
            </w:pPr>
            <w:r/>
            <w:r>
              <w:rPr>
                <w:rFonts w:ascii="Arial" w:hAnsi="Arial"/>
                <w:b/>
                <w:color w:val="FFFFFF"/>
                <w:sz w:val="16"/>
              </w:rPr>
              <w:t>Qué ocurre</w:t>
            </w:r>
          </w:p>
        </w:tc>
      </w:tr>
      <w:tr>
        <w:tc>
          <w:tcPr>
            <w:tcW w:type="dxa" w:w="792"/>
            <w:vAlign w:val="center"/>
            <w:shd w:fill="EFF5FA"/>
            <w:tcMar>
              <w:top w:w="80" w:type="dxa"/>
              <w:start w:w="100" w:type="dxa"/>
              <w:bottom w:w="80" w:type="dxa"/>
              <w:end w:w="100" w:type="dxa"/>
            </w:tcMar>
          </w:tcPr>
          <w:p>
            <w:pPr>
              <w:spacing w:after="0" w:line="245" w:lineRule="auto"/>
            </w:pPr>
            <w:r/>
            <w:r>
              <w:rPr>
                <w:rFonts w:ascii="Arial" w:hAnsi="Arial"/>
                <w:b/>
                <w:color w:val="182B43"/>
                <w:sz w:val="16"/>
              </w:rPr>
              <w:t>1</w:t>
            </w:r>
          </w:p>
        </w:tc>
        <w:tc>
          <w:tcPr>
            <w:tcW w:type="dxa" w:w="9101"/>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La persona completa el registro público con datos personales y correo.</w:t>
            </w:r>
          </w:p>
        </w:tc>
      </w:tr>
      <w:tr>
        <w:tc>
          <w:tcPr>
            <w:tcW w:type="dxa" w:w="792"/>
            <w:vAlign w:val="center"/>
            <w:shd w:fill="FFFFFF"/>
            <w:tcMar>
              <w:top w:w="80" w:type="dxa"/>
              <w:start w:w="100" w:type="dxa"/>
              <w:bottom w:w="80" w:type="dxa"/>
              <w:end w:w="100" w:type="dxa"/>
            </w:tcMar>
          </w:tcPr>
          <w:p>
            <w:pPr>
              <w:spacing w:after="0" w:line="245" w:lineRule="auto"/>
            </w:pPr>
            <w:r/>
            <w:r>
              <w:rPr>
                <w:rFonts w:ascii="Arial" w:hAnsi="Arial"/>
                <w:b/>
                <w:color w:val="182B43"/>
                <w:sz w:val="16"/>
              </w:rPr>
              <w:t>2</w:t>
            </w:r>
          </w:p>
        </w:tc>
        <w:tc>
          <w:tcPr>
            <w:tcW w:type="dxa" w:w="9101"/>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NBU guarda el estudiante y la cuenta con estado pendiente; todavía no permite entrar al portal.</w:t>
            </w:r>
          </w:p>
        </w:tc>
      </w:tr>
      <w:tr>
        <w:tc>
          <w:tcPr>
            <w:tcW w:type="dxa" w:w="792"/>
            <w:vAlign w:val="center"/>
            <w:shd w:fill="EFF5FA"/>
            <w:tcMar>
              <w:top w:w="80" w:type="dxa"/>
              <w:start w:w="100" w:type="dxa"/>
              <w:bottom w:w="80" w:type="dxa"/>
              <w:end w:w="100" w:type="dxa"/>
            </w:tcMar>
          </w:tcPr>
          <w:p>
            <w:pPr>
              <w:spacing w:after="0" w:line="245" w:lineRule="auto"/>
            </w:pPr>
            <w:r/>
            <w:r>
              <w:rPr>
                <w:rFonts w:ascii="Arial" w:hAnsi="Arial"/>
                <w:b/>
                <w:color w:val="182B43"/>
                <w:sz w:val="16"/>
              </w:rPr>
              <w:t>3</w:t>
            </w:r>
          </w:p>
        </w:tc>
        <w:tc>
          <w:tcPr>
            <w:tcW w:type="dxa" w:w="9101"/>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Administración revisa la bandeja Registros pendientes y acepta o rechaza. El rechazo necesita un motivo.</w:t>
            </w:r>
          </w:p>
        </w:tc>
      </w:tr>
      <w:tr>
        <w:tc>
          <w:tcPr>
            <w:tcW w:type="dxa" w:w="792"/>
            <w:vAlign w:val="center"/>
            <w:shd w:fill="FFFFFF"/>
            <w:tcMar>
              <w:top w:w="80" w:type="dxa"/>
              <w:start w:w="100" w:type="dxa"/>
              <w:bottom w:w="80" w:type="dxa"/>
              <w:end w:w="100" w:type="dxa"/>
            </w:tcMar>
          </w:tcPr>
          <w:p>
            <w:pPr>
              <w:spacing w:after="0" w:line="245" w:lineRule="auto"/>
            </w:pPr>
            <w:r/>
            <w:r>
              <w:rPr>
                <w:rFonts w:ascii="Arial" w:hAnsi="Arial"/>
                <w:b/>
                <w:color w:val="182B43"/>
                <w:sz w:val="16"/>
              </w:rPr>
              <w:t>4</w:t>
            </w:r>
          </w:p>
        </w:tc>
        <w:tc>
          <w:tcPr>
            <w:tcW w:type="dxa" w:w="9101"/>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Después de aceptar, la persona inicia sesión, ve las becas y envía una solicitud.</w:t>
            </w:r>
          </w:p>
        </w:tc>
      </w:tr>
      <w:tr>
        <w:tc>
          <w:tcPr>
            <w:tcW w:type="dxa" w:w="792"/>
            <w:vAlign w:val="center"/>
            <w:shd w:fill="EFF5FA"/>
            <w:tcMar>
              <w:top w:w="80" w:type="dxa"/>
              <w:start w:w="100" w:type="dxa"/>
              <w:bottom w:w="80" w:type="dxa"/>
              <w:end w:w="100" w:type="dxa"/>
            </w:tcMar>
          </w:tcPr>
          <w:p>
            <w:pPr>
              <w:spacing w:after="0" w:line="245" w:lineRule="auto"/>
            </w:pPr>
            <w:r/>
            <w:r>
              <w:rPr>
                <w:rFonts w:ascii="Arial" w:hAnsi="Arial"/>
                <w:b/>
                <w:color w:val="182B43"/>
                <w:sz w:val="16"/>
              </w:rPr>
              <w:t>5</w:t>
            </w:r>
          </w:p>
        </w:tc>
        <w:tc>
          <w:tcPr>
            <w:tcW w:type="dxa" w:w="9101"/>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Personal registra el resultado de la solicitud y los depósitos externos que ya ocurrieron.</w:t>
            </w:r>
          </w:p>
        </w:tc>
      </w:tr>
      <w:tr>
        <w:tc>
          <w:tcPr>
            <w:tcW w:type="dxa" w:w="792"/>
            <w:vAlign w:val="center"/>
            <w:shd w:fill="FFFFFF"/>
            <w:tcMar>
              <w:top w:w="80" w:type="dxa"/>
              <w:start w:w="100" w:type="dxa"/>
              <w:bottom w:w="80" w:type="dxa"/>
              <w:end w:w="100" w:type="dxa"/>
            </w:tcMar>
          </w:tcPr>
          <w:p>
            <w:pPr>
              <w:spacing w:after="0" w:line="245" w:lineRule="auto"/>
            </w:pPr>
            <w:r/>
            <w:r>
              <w:rPr>
                <w:rFonts w:ascii="Arial" w:hAnsi="Arial"/>
                <w:b/>
                <w:color w:val="182B43"/>
                <w:sz w:val="16"/>
              </w:rPr>
              <w:t>6</w:t>
            </w:r>
          </w:p>
        </w:tc>
        <w:tc>
          <w:tcPr>
            <w:tcW w:type="dxa" w:w="9101"/>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El estudiante consulta sus propios estados, pagos, noticias y notificaciones en el portal.</w:t>
            </w:r>
          </w:p>
        </w:tc>
      </w:tr>
    </w:tbl>
    <w:p>
      <w:r>
        <w:br w:type="page"/>
      </w:r>
    </w:p>
    <w:p>
      <w:pPr>
        <w:pStyle w:val="Heading1"/>
      </w:pPr>
      <w:r>
        <w:t>5. Perfiles, validación y seguridad</w:t>
      </w:r>
    </w:p>
    <w:tbl>
      <w:tblPr>
        <w:tblStyle w:val="TableGrid"/>
        <w:tblW w:type="auto" w:w="0"/>
        <w:jc w:val="center"/>
        <w:tblLayout w:type="fixed"/>
        <w:tblLook w:firstColumn="1" w:firstRow="1" w:lastColumn="0" w:lastRow="0" w:noHBand="0" w:noVBand="1" w:val="04A0"/>
      </w:tblPr>
      <w:tblGrid>
        <w:gridCol w:w="1872"/>
        <w:gridCol w:w="8021"/>
      </w:tblGrid>
      <w:tr>
        <w:trPr>
          <w:tblHeader w:val="true"/>
        </w:trPr>
        <w:tc>
          <w:tcPr>
            <w:tcW w:type="dxa" w:w="1872"/>
            <w:vAlign w:val="center"/>
            <w:shd w:fill="092754"/>
            <w:tcMar>
              <w:top w:w="80" w:type="dxa"/>
              <w:start w:w="100" w:type="dxa"/>
              <w:bottom w:w="80" w:type="dxa"/>
              <w:end w:w="100" w:type="dxa"/>
            </w:tcMar>
          </w:tcPr>
          <w:p>
            <w:pPr>
              <w:spacing w:after="0" w:line="245" w:lineRule="auto"/>
            </w:pPr>
            <w:r/>
            <w:r>
              <w:rPr>
                <w:rFonts w:ascii="Arial" w:hAnsi="Arial"/>
                <w:b/>
                <w:color w:val="FFFFFF"/>
                <w:sz w:val="16"/>
              </w:rPr>
              <w:t>Perfil</w:t>
            </w:r>
          </w:p>
        </w:tc>
        <w:tc>
          <w:tcPr>
            <w:tcW w:type="dxa" w:w="8021"/>
            <w:vAlign w:val="center"/>
            <w:shd w:fill="092754"/>
            <w:tcMar>
              <w:top w:w="80" w:type="dxa"/>
              <w:start w:w="100" w:type="dxa"/>
              <w:bottom w:w="80" w:type="dxa"/>
              <w:end w:w="100" w:type="dxa"/>
            </w:tcMar>
          </w:tcPr>
          <w:p>
            <w:pPr>
              <w:spacing w:after="0" w:line="245" w:lineRule="auto"/>
            </w:pPr>
            <w:r/>
            <w:r>
              <w:rPr>
                <w:rFonts w:ascii="Arial" w:hAnsi="Arial"/>
                <w:b/>
                <w:color w:val="FFFFFF"/>
                <w:sz w:val="16"/>
              </w:rPr>
              <w:t>Permisos principales</w:t>
            </w:r>
          </w:p>
        </w:tc>
      </w:tr>
      <w:tr>
        <w:tc>
          <w:tcPr>
            <w:tcW w:type="dxa" w:w="1872"/>
            <w:vAlign w:val="center"/>
            <w:shd w:fill="EFF5FA"/>
            <w:tcMar>
              <w:top w:w="80" w:type="dxa"/>
              <w:start w:w="100" w:type="dxa"/>
              <w:bottom w:w="80" w:type="dxa"/>
              <w:end w:w="100" w:type="dxa"/>
            </w:tcMar>
          </w:tcPr>
          <w:p>
            <w:pPr>
              <w:spacing w:after="0" w:line="245" w:lineRule="auto"/>
            </w:pPr>
            <w:r/>
            <w:r>
              <w:rPr>
                <w:rFonts w:ascii="Arial" w:hAnsi="Arial"/>
                <w:b/>
                <w:color w:val="182B43"/>
                <w:sz w:val="16"/>
              </w:rPr>
              <w:t>Admin</w:t>
            </w:r>
          </w:p>
        </w:tc>
        <w:tc>
          <w:tcPr>
            <w:tcW w:type="dxa" w:w="8021"/>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Administra módulos en web y escritorio; revisa los registros pendientes.</w:t>
            </w:r>
          </w:p>
        </w:tc>
      </w:tr>
      <w:tr>
        <w:tc>
          <w:tcPr>
            <w:tcW w:type="dxa" w:w="1872"/>
            <w:vAlign w:val="center"/>
            <w:shd w:fill="FFFFFF"/>
            <w:tcMar>
              <w:top w:w="80" w:type="dxa"/>
              <w:start w:w="100" w:type="dxa"/>
              <w:bottom w:w="80" w:type="dxa"/>
              <w:end w:w="100" w:type="dxa"/>
            </w:tcMar>
          </w:tcPr>
          <w:p>
            <w:pPr>
              <w:spacing w:after="0" w:line="245" w:lineRule="auto"/>
            </w:pPr>
            <w:r/>
            <w:r>
              <w:rPr>
                <w:rFonts w:ascii="Arial" w:hAnsi="Arial"/>
                <w:b/>
                <w:color w:val="182B43"/>
                <w:sz w:val="16"/>
              </w:rPr>
              <w:t>Student</w:t>
            </w:r>
          </w:p>
        </w:tc>
        <w:tc>
          <w:tcPr>
            <w:tcW w:type="dxa" w:w="8021"/>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Consulta convocatorias y sus propios datos; presenta solicitudes y ve sus estados, depósitos y avisos.</w:t>
            </w:r>
          </w:p>
        </w:tc>
      </w:tr>
    </w:tbl>
    <w:p>
      <w:pPr>
        <w:pStyle w:val="ListBullet"/>
        <w:widowControl/>
        <w:spacing w:after="40"/>
        <w:ind w:left="360" w:hanging="173"/>
      </w:pPr>
      <w:r>
        <w:rPr>
          <w:rFonts w:ascii="Arial" w:hAnsi="Arial"/>
          <w:b w:val="0"/>
          <w:color w:val="182B43"/>
          <w:sz w:val="18"/>
        </w:rPr>
        <w:t>Las contraseñas se guardan con el mecanismo de hash de ASP.NET Core Identity.</w:t>
      </w:r>
    </w:p>
    <w:p>
      <w:pPr>
        <w:pStyle w:val="ListBullet"/>
        <w:widowControl/>
        <w:spacing w:after="40"/>
        <w:ind w:left="360" w:hanging="173"/>
      </w:pPr>
      <w:r>
        <w:rPr>
          <w:rFonts w:ascii="Arial" w:hAnsi="Arial"/>
          <w:b w:val="0"/>
          <w:color w:val="182B43"/>
          <w:sz w:val="18"/>
        </w:rPr>
        <w:t>El registro web pide nombres, apellidos, cédula, correo, teléfono, universidad, carrera y contraseña; el código de recomendación es opcional.</w:t>
      </w:r>
    </w:p>
    <w:p>
      <w:pPr>
        <w:pStyle w:val="ListBullet"/>
        <w:widowControl/>
        <w:spacing w:after="40"/>
        <w:ind w:left="360" w:hanging="173"/>
      </w:pPr>
      <w:r>
        <w:rPr>
          <w:rFonts w:ascii="Arial" w:hAnsi="Arial"/>
          <w:b w:val="0"/>
          <w:color w:val="182B43"/>
          <w:sz w:val="18"/>
        </w:rPr>
        <w:t>La contraseña del registro acepta solo letras y números y requiere al menos 8 caracteres. El formulario puede mostrarla u ocultarla.</w:t>
      </w:r>
    </w:p>
    <w:p>
      <w:pPr>
        <w:pStyle w:val="ListBullet"/>
        <w:widowControl/>
        <w:spacing w:after="40"/>
        <w:ind w:left="360" w:hanging="173"/>
      </w:pPr>
      <w:r>
        <w:rPr>
          <w:rFonts w:ascii="Arial" w:hAnsi="Arial"/>
          <w:b w:val="0"/>
          <w:color w:val="182B43"/>
          <w:sz w:val="18"/>
        </w:rPr>
        <w:t>Un registro nuevo queda pendiente. La persona puede volver a enviar la información si se rechaza, usando el mismo correo y cédula original.</w:t>
      </w:r>
    </w:p>
    <w:p>
      <w:pPr>
        <w:pStyle w:val="ListBullet"/>
        <w:widowControl/>
        <w:spacing w:after="40"/>
        <w:ind w:left="360" w:hanging="173"/>
      </w:pPr>
      <w:r>
        <w:rPr>
          <w:rFonts w:ascii="Arial" w:hAnsi="Arial"/>
          <w:b w:val="0"/>
          <w:color w:val="182B43"/>
          <w:sz w:val="18"/>
        </w:rPr>
        <w:t>Los campos únicos impiden duplicar el código estudiantil, la cédula, el correo y la combinación estudiante-beca.</w:t>
      </w:r>
    </w:p>
    <w:p>
      <w:pPr>
        <w:pStyle w:val="ListBullet"/>
        <w:widowControl/>
        <w:spacing w:after="40"/>
        <w:ind w:left="360" w:hanging="173"/>
      </w:pPr>
      <w:r>
        <w:rPr>
          <w:rFonts w:ascii="Arial" w:hAnsi="Arial"/>
          <w:b w:val="0"/>
          <w:color w:val="182B43"/>
          <w:sz w:val="18"/>
        </w:rPr>
        <w:t>El respaldo de una solicitud acepta PDF, PNG o JPG y tiene un límite de 5 MB.</w:t>
      </w:r>
    </w:p>
    <w:p>
      <w:pPr>
        <w:pStyle w:val="Heading1"/>
      </w:pPr>
      <w:r>
        <w:t>6. Alcance del módulo de pagos</w:t>
      </w:r>
    </w:p>
    <w:tbl>
      <w:tblPr>
        <w:tblStyle w:val="TableGrid"/>
        <w:tblW w:type="auto" w:w="0"/>
        <w:tblLook w:firstColumn="1" w:firstRow="1" w:lastColumn="0" w:lastRow="0" w:noHBand="0" w:noVBand="1" w:val="04A0"/>
      </w:tblPr>
      <w:tblGrid>
        <w:gridCol w:w="9893"/>
      </w:tblGrid>
      <w:tr>
        <w:tc>
          <w:tcPr>
            <w:tcW w:type="dxa" w:w="9893"/>
            <w:vAlign w:val="center"/>
            <w:shd w:fill="EAF8F8"/>
            <w:tcMar>
              <w:top w:w="80" w:type="dxa"/>
              <w:start w:w="100" w:type="dxa"/>
              <w:bottom w:w="80" w:type="dxa"/>
              <w:end w:w="100" w:type="dxa"/>
            </w:tcMar>
          </w:tcPr>
          <w:p>
            <w:pPr>
              <w:spacing w:after="0" w:line="245" w:lineRule="auto"/>
            </w:pPr>
            <w:r>
              <w:rPr>
                <w:b/>
              </w:rPr>
            </w:r>
            <w:r>
              <w:rPr>
                <w:rFonts w:ascii="Arial" w:hAnsi="Arial"/>
                <w:b w:val="0"/>
                <w:color w:val="092754"/>
                <w:sz w:val="18"/>
              </w:rPr>
              <w:t>No hay movimientos bancarios</w:t>
            </w:r>
            <w:r>
              <w:br/>
            </w:r>
            <w:r>
              <w:rPr>
                <w:rFonts w:ascii="Arial" w:hAnsi="Arial"/>
                <w:b w:val="0"/>
                <w:color w:val="092754"/>
                <w:sz w:val="18"/>
              </w:rPr>
              <w:t>El módulo permite registrar depósitos que se hicieron por fuera de NBU. La tarjeta de transferencias del portal está deshabilitada y no envía ni recibe dinero.</w:t>
            </w:r>
          </w:p>
        </w:tc>
      </w:tr>
    </w:tbl>
    <w:p>
      <w:pPr>
        <w:pStyle w:val="Heading1"/>
      </w:pPr>
      <w:r>
        <w:t>7. Tecnologías</w:t>
      </w:r>
    </w:p>
    <w:tbl>
      <w:tblPr>
        <w:tblStyle w:val="TableGrid"/>
        <w:tblW w:type="auto" w:w="0"/>
        <w:jc w:val="center"/>
        <w:tblLayout w:type="fixed"/>
        <w:tblLook w:firstColumn="1" w:firstRow="1" w:lastColumn="0" w:lastRow="0" w:noHBand="0" w:noVBand="1" w:val="04A0"/>
      </w:tblPr>
      <w:tblGrid>
        <w:gridCol w:w="3096"/>
        <w:gridCol w:w="6797"/>
      </w:tblGrid>
      <w:tr>
        <w:trPr>
          <w:tblHeader w:val="true"/>
        </w:trPr>
        <w:tc>
          <w:tcPr>
            <w:tcW w:type="dxa" w:w="3096"/>
            <w:vAlign w:val="center"/>
            <w:shd w:fill="092754"/>
            <w:tcMar>
              <w:top w:w="80" w:type="dxa"/>
              <w:start w:w="100" w:type="dxa"/>
              <w:bottom w:w="80" w:type="dxa"/>
              <w:end w:w="100" w:type="dxa"/>
            </w:tcMar>
          </w:tcPr>
          <w:p>
            <w:pPr>
              <w:spacing w:after="0" w:line="245" w:lineRule="auto"/>
            </w:pPr>
            <w:r/>
            <w:r>
              <w:rPr>
                <w:rFonts w:ascii="Arial" w:hAnsi="Arial"/>
                <w:b/>
                <w:color w:val="FFFFFF"/>
                <w:sz w:val="16"/>
              </w:rPr>
              <w:t>Componente</w:t>
            </w:r>
          </w:p>
        </w:tc>
        <w:tc>
          <w:tcPr>
            <w:tcW w:type="dxa" w:w="6797"/>
            <w:vAlign w:val="center"/>
            <w:shd w:fill="092754"/>
            <w:tcMar>
              <w:top w:w="80" w:type="dxa"/>
              <w:start w:w="100" w:type="dxa"/>
              <w:bottom w:w="80" w:type="dxa"/>
              <w:end w:w="100" w:type="dxa"/>
            </w:tcMar>
          </w:tcPr>
          <w:p>
            <w:pPr>
              <w:spacing w:after="0" w:line="245" w:lineRule="auto"/>
            </w:pPr>
            <w:r/>
            <w:r>
              <w:rPr>
                <w:rFonts w:ascii="Arial" w:hAnsi="Arial"/>
                <w:b/>
                <w:color w:val="FFFFFF"/>
                <w:sz w:val="16"/>
              </w:rPr>
              <w:t>Versión/uso</w:t>
            </w:r>
          </w:p>
        </w:tc>
      </w:tr>
      <w:tr>
        <w:tc>
          <w:tcPr>
            <w:tcW w:type="dxa" w:w="3096"/>
            <w:vAlign w:val="center"/>
            <w:shd w:fill="EFF5FA"/>
            <w:tcMar>
              <w:top w:w="80" w:type="dxa"/>
              <w:start w:w="100" w:type="dxa"/>
              <w:bottom w:w="80" w:type="dxa"/>
              <w:end w:w="100" w:type="dxa"/>
            </w:tcMar>
          </w:tcPr>
          <w:p>
            <w:pPr>
              <w:spacing w:after="0" w:line="245" w:lineRule="auto"/>
            </w:pPr>
            <w:r/>
            <w:r>
              <w:rPr>
                <w:rFonts w:ascii="Arial" w:hAnsi="Arial"/>
                <w:b/>
                <w:color w:val="182B43"/>
                <w:sz w:val="16"/>
              </w:rPr>
              <w:t>C# / .NET</w:t>
            </w:r>
          </w:p>
        </w:tc>
        <w:tc>
          <w:tcPr>
            <w:tcW w:type="dxa" w:w="679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C# 12 y .NET 8</w:t>
            </w:r>
          </w:p>
        </w:tc>
      </w:tr>
      <w:tr>
        <w:tc>
          <w:tcPr>
            <w:tcW w:type="dxa" w:w="3096"/>
            <w:vAlign w:val="center"/>
            <w:shd w:fill="FFFFFF"/>
            <w:tcMar>
              <w:top w:w="80" w:type="dxa"/>
              <w:start w:w="100" w:type="dxa"/>
              <w:bottom w:w="80" w:type="dxa"/>
              <w:end w:w="100" w:type="dxa"/>
            </w:tcMar>
          </w:tcPr>
          <w:p>
            <w:pPr>
              <w:spacing w:after="0" w:line="245" w:lineRule="auto"/>
            </w:pPr>
            <w:r/>
            <w:r>
              <w:rPr>
                <w:rFonts w:ascii="Arial" w:hAnsi="Arial"/>
                <w:b/>
                <w:color w:val="182B43"/>
                <w:sz w:val="16"/>
              </w:rPr>
              <w:t>Aplicación web</w:t>
            </w:r>
          </w:p>
        </w:tc>
        <w:tc>
          <w:tcPr>
            <w:tcW w:type="dxa" w:w="6797"/>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ASP.NET Core MVC y Razor</w:t>
            </w:r>
          </w:p>
        </w:tc>
      </w:tr>
      <w:tr>
        <w:tc>
          <w:tcPr>
            <w:tcW w:type="dxa" w:w="3096"/>
            <w:vAlign w:val="center"/>
            <w:shd w:fill="EFF5FA"/>
            <w:tcMar>
              <w:top w:w="80" w:type="dxa"/>
              <w:start w:w="100" w:type="dxa"/>
              <w:bottom w:w="80" w:type="dxa"/>
              <w:end w:w="100" w:type="dxa"/>
            </w:tcMar>
          </w:tcPr>
          <w:p>
            <w:pPr>
              <w:spacing w:after="0" w:line="245" w:lineRule="auto"/>
            </w:pPr>
            <w:r/>
            <w:r>
              <w:rPr>
                <w:rFonts w:ascii="Arial" w:hAnsi="Arial"/>
                <w:b/>
                <w:color w:val="182B43"/>
                <w:sz w:val="16"/>
              </w:rPr>
              <w:t>Aplicación de escritorio</w:t>
            </w:r>
          </w:p>
        </w:tc>
        <w:tc>
          <w:tcPr>
            <w:tcW w:type="dxa" w:w="679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Windows Forms</w:t>
            </w:r>
          </w:p>
        </w:tc>
      </w:tr>
      <w:tr>
        <w:tc>
          <w:tcPr>
            <w:tcW w:type="dxa" w:w="3096"/>
            <w:vAlign w:val="center"/>
            <w:shd w:fill="FFFFFF"/>
            <w:tcMar>
              <w:top w:w="80" w:type="dxa"/>
              <w:start w:w="100" w:type="dxa"/>
              <w:bottom w:w="80" w:type="dxa"/>
              <w:end w:w="100" w:type="dxa"/>
            </w:tcMar>
          </w:tcPr>
          <w:p>
            <w:pPr>
              <w:spacing w:after="0" w:line="245" w:lineRule="auto"/>
            </w:pPr>
            <w:r/>
            <w:r>
              <w:rPr>
                <w:rFonts w:ascii="Arial" w:hAnsi="Arial"/>
                <w:b/>
                <w:color w:val="182B43"/>
                <w:sz w:val="16"/>
              </w:rPr>
              <w:t>ORM</w:t>
            </w:r>
          </w:p>
        </w:tc>
        <w:tc>
          <w:tcPr>
            <w:tcW w:type="dxa" w:w="6797"/>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Entity Framework Core 8</w:t>
            </w:r>
          </w:p>
        </w:tc>
      </w:tr>
      <w:tr>
        <w:tc>
          <w:tcPr>
            <w:tcW w:type="dxa" w:w="3096"/>
            <w:vAlign w:val="center"/>
            <w:shd w:fill="EFF5FA"/>
            <w:tcMar>
              <w:top w:w="80" w:type="dxa"/>
              <w:start w:w="100" w:type="dxa"/>
              <w:bottom w:w="80" w:type="dxa"/>
              <w:end w:w="100" w:type="dxa"/>
            </w:tcMar>
          </w:tcPr>
          <w:p>
            <w:pPr>
              <w:spacing w:after="0" w:line="245" w:lineRule="auto"/>
            </w:pPr>
            <w:r/>
            <w:r>
              <w:rPr>
                <w:rFonts w:ascii="Arial" w:hAnsi="Arial"/>
                <w:b/>
                <w:color w:val="182B43"/>
                <w:sz w:val="16"/>
              </w:rPr>
              <w:t>Base de datos</w:t>
            </w:r>
          </w:p>
        </w:tc>
        <w:tc>
          <w:tcPr>
            <w:tcW w:type="dxa" w:w="679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SQL Server 2022 Express</w:t>
            </w:r>
          </w:p>
        </w:tc>
      </w:tr>
      <w:tr>
        <w:tc>
          <w:tcPr>
            <w:tcW w:type="dxa" w:w="3096"/>
            <w:vAlign w:val="center"/>
            <w:shd w:fill="FFFFFF"/>
            <w:tcMar>
              <w:top w:w="80" w:type="dxa"/>
              <w:start w:w="100" w:type="dxa"/>
              <w:bottom w:w="80" w:type="dxa"/>
              <w:end w:w="100" w:type="dxa"/>
            </w:tcMar>
          </w:tcPr>
          <w:p>
            <w:pPr>
              <w:spacing w:after="0" w:line="245" w:lineRule="auto"/>
            </w:pPr>
            <w:r/>
            <w:r>
              <w:rPr>
                <w:rFonts w:ascii="Arial" w:hAnsi="Arial"/>
                <w:b/>
                <w:color w:val="182B43"/>
                <w:sz w:val="16"/>
              </w:rPr>
              <w:t>Interfaz web</w:t>
            </w:r>
          </w:p>
        </w:tc>
        <w:tc>
          <w:tcPr>
            <w:tcW w:type="dxa" w:w="6797"/>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Bootstrap y CSS adaptable a pantallas pequeñas</w:t>
            </w:r>
          </w:p>
        </w:tc>
      </w:tr>
      <w:tr>
        <w:tc>
          <w:tcPr>
            <w:tcW w:type="dxa" w:w="3096"/>
            <w:vAlign w:val="center"/>
            <w:shd w:fill="EFF5FA"/>
            <w:tcMar>
              <w:top w:w="80" w:type="dxa"/>
              <w:start w:w="100" w:type="dxa"/>
              <w:bottom w:w="80" w:type="dxa"/>
              <w:end w:w="100" w:type="dxa"/>
            </w:tcMar>
          </w:tcPr>
          <w:p>
            <w:pPr>
              <w:spacing w:after="0" w:line="245" w:lineRule="auto"/>
            </w:pPr>
            <w:r/>
            <w:r>
              <w:rPr>
                <w:rFonts w:ascii="Arial" w:hAnsi="Arial"/>
                <w:b/>
                <w:color w:val="182B43"/>
                <w:sz w:val="16"/>
              </w:rPr>
              <w:t>IDE y control de versiones</w:t>
            </w:r>
          </w:p>
        </w:tc>
        <w:tc>
          <w:tcPr>
            <w:tcW w:type="dxa" w:w="679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Visual Studio 2022, Git y GitHub</w:t>
            </w:r>
          </w:p>
        </w:tc>
      </w:tr>
    </w:tbl>
    <w:p>
      <w:r>
        <w:br w:type="page"/>
      </w:r>
    </w:p>
    <w:p>
      <w:pPr>
        <w:pStyle w:val="Heading1"/>
      </w:pPr>
      <w:r>
        <w:t>8. Preparar el entorno</w:t>
      </w:r>
    </w:p>
    <w:p>
      <w:pPr>
        <w:pStyle w:val="ListBullet"/>
        <w:widowControl/>
        <w:spacing w:after="40"/>
        <w:ind w:left="360" w:hanging="173"/>
      </w:pPr>
      <w:r>
        <w:rPr>
          <w:rFonts w:ascii="Arial" w:hAnsi="Arial"/>
          <w:b w:val="0"/>
          <w:color w:val="182B43"/>
          <w:sz w:val="18"/>
        </w:rPr>
        <w:t>Instala el SDK de .NET 8, SQL Server Express y SQL Server Management Studio.</w:t>
      </w:r>
    </w:p>
    <w:p>
      <w:pPr>
        <w:pStyle w:val="ListBullet"/>
        <w:widowControl/>
        <w:spacing w:after="40"/>
        <w:ind w:left="360" w:hanging="173"/>
      </w:pPr>
      <w:r>
        <w:rPr>
          <w:rFonts w:ascii="Arial" w:hAnsi="Arial"/>
          <w:b w:val="0"/>
          <w:color w:val="182B43"/>
          <w:sz w:val="18"/>
        </w:rPr>
        <w:t>Inicia el servicio de la instancia .\SQLEXPRESS22 antes de abrir las aplicaciones.</w:t>
      </w:r>
    </w:p>
    <w:p>
      <w:pPr>
        <w:pStyle w:val="ListBullet"/>
        <w:widowControl/>
        <w:spacing w:after="40"/>
        <w:ind w:left="360" w:hanging="173"/>
      </w:pPr>
      <w:r>
        <w:rPr>
          <w:rFonts w:ascii="Arial" w:hAnsi="Arial"/>
          <w:b w:val="0"/>
          <w:color w:val="182B43"/>
          <w:sz w:val="18"/>
        </w:rPr>
        <w:t>Revisa que NBU.Web/appsettings.json y NBU.Desktop/appsettings.json apunten a Server=.\SQLEXPRESS22;Database=NBU.</w:t>
      </w:r>
    </w:p>
    <w:p>
      <w:pPr>
        <w:pStyle w:val="ListBullet"/>
        <w:widowControl/>
        <w:spacing w:after="40"/>
        <w:ind w:left="360" w:hanging="173"/>
      </w:pPr>
      <w:r>
        <w:rPr>
          <w:rFonts w:ascii="Arial" w:hAnsi="Arial"/>
          <w:b w:val="0"/>
          <w:color w:val="182B43"/>
          <w:sz w:val="18"/>
        </w:rPr>
        <w:t>Si la base aún no existe, crea/aplica el esquema con database/NBU.sql o inicia la web en Development para ejecutar las migraciones y el seeder de demostración.</w:t>
      </w:r>
    </w:p>
    <w:p>
      <w:pPr>
        <w:pStyle w:val="ListBullet"/>
        <w:widowControl/>
        <w:spacing w:after="40"/>
        <w:ind w:left="360" w:hanging="173"/>
      </w:pPr>
      <w:r>
        <w:rPr>
          <w:rFonts w:ascii="Arial" w:hAnsi="Arial"/>
          <w:b w:val="0"/>
          <w:color w:val="182B43"/>
          <w:sz w:val="18"/>
        </w:rPr>
        <w:t>No borres entregables/escritorio/appsettings.json ni entregables/escritorio/nbu-mark.png: acompañan al ejecutable publicado.</w:t>
      </w:r>
    </w:p>
    <w:p>
      <w:pPr>
        <w:pStyle w:val="Heading1"/>
      </w:pPr>
      <w:r>
        <w:t>9. Abrir las aplicaciones</w:t>
      </w:r>
    </w:p>
    <w:p>
      <w:pPr>
        <w:widowControl/>
      </w:pPr>
      <w:r>
        <w:rPr>
          <w:rFonts w:ascii="Arial" w:hAnsi="Arial"/>
          <w:b w:val="0"/>
          <w:color w:val="182B43"/>
          <w:sz w:val="18"/>
        </w:rPr>
        <w:t>Desde PowerShell, abre la raíz del repositorio. Para el sitio en la misma computadora:</w:t>
      </w:r>
    </w:p>
    <w:tbl>
      <w:tblPr>
        <w:tblStyle w:val="TableGrid"/>
        <w:tblW w:type="auto" w:w="0"/>
        <w:tblLook w:firstColumn="1" w:firstRow="1" w:lastColumn="0" w:lastRow="0" w:noHBand="0" w:noVBand="1" w:val="04A0"/>
      </w:tblPr>
      <w:tblGrid>
        <w:gridCol w:w="9893"/>
      </w:tblGrid>
      <w:tr>
        <w:tc>
          <w:tcPr>
            <w:tcW w:type="dxa" w:w="9893"/>
            <w:vAlign w:val="center"/>
            <w:shd w:fill="F3F6F8"/>
            <w:tcMar>
              <w:top w:w="80" w:type="dxa"/>
              <w:start w:w="100" w:type="dxa"/>
              <w:bottom w:w="80" w:type="dxa"/>
              <w:end w:w="100" w:type="dxa"/>
            </w:tcMar>
          </w:tcPr>
          <w:p>
            <w:pPr>
              <w:spacing w:after="0" w:line="245" w:lineRule="auto"/>
            </w:pPr>
            <w:r>
              <w:rPr>
                <w:rFonts w:ascii="Consolas" w:hAnsi="Consolas"/>
              </w:rPr>
            </w:r>
            <w:r>
              <w:rPr>
                <w:rFonts w:ascii="Consolas" w:hAnsi="Consolas"/>
                <w:b w:val="0"/>
                <w:color w:val="182B43"/>
                <w:sz w:val="16"/>
              </w:rPr>
              <w:t>dotnet run --project .\NBU.Web\NBU.Web.csproj --urls http://localhost:5221</w:t>
            </w:r>
          </w:p>
        </w:tc>
      </w:tr>
    </w:tbl>
    <w:p>
      <w:pPr>
        <w:widowControl/>
      </w:pPr>
      <w:r>
        <w:rPr>
          <w:rFonts w:ascii="Arial" w:hAnsi="Arial"/>
          <w:b w:val="0"/>
          <w:color w:val="182B43"/>
          <w:sz w:val="18"/>
        </w:rPr>
        <w:t>Después abre http://localhost:5221 en el navegador. Para el programa de escritorio:</w:t>
      </w:r>
    </w:p>
    <w:tbl>
      <w:tblPr>
        <w:tblStyle w:val="TableGrid"/>
        <w:tblW w:type="auto" w:w="0"/>
        <w:tblLook w:firstColumn="1" w:firstRow="1" w:lastColumn="0" w:lastRow="0" w:noHBand="0" w:noVBand="1" w:val="04A0"/>
      </w:tblPr>
      <w:tblGrid>
        <w:gridCol w:w="9893"/>
      </w:tblGrid>
      <w:tr>
        <w:tc>
          <w:tcPr>
            <w:tcW w:type="dxa" w:w="9893"/>
            <w:vAlign w:val="center"/>
            <w:shd w:fill="F3F6F8"/>
            <w:tcMar>
              <w:top w:w="80" w:type="dxa"/>
              <w:start w:w="100" w:type="dxa"/>
              <w:bottom w:w="80" w:type="dxa"/>
              <w:end w:w="100" w:type="dxa"/>
            </w:tcMar>
          </w:tcPr>
          <w:p>
            <w:pPr>
              <w:spacing w:after="0" w:line="245" w:lineRule="auto"/>
            </w:pPr>
            <w:r>
              <w:rPr>
                <w:rFonts w:ascii="Consolas" w:hAnsi="Consolas"/>
              </w:rPr>
            </w:r>
            <w:r>
              <w:rPr>
                <w:rFonts w:ascii="Consolas" w:hAnsi="Consolas"/>
                <w:b w:val="0"/>
                <w:color w:val="182B43"/>
                <w:sz w:val="16"/>
              </w:rPr>
              <w:t>.\entregables\escritorio\NBU.Desktop.exe</w:t>
            </w:r>
          </w:p>
        </w:tc>
      </w:tr>
    </w:tbl>
    <w:p>
      <w:pPr>
        <w:widowControl/>
      </w:pPr>
      <w:r>
        <w:rPr>
          <w:rFonts w:ascii="Arial" w:hAnsi="Arial"/>
          <w:b w:val="0"/>
          <w:color w:val="805B18"/>
          <w:sz w:val="17"/>
        </w:rPr>
        <w:t>Las cuentas admin@nbu.test y ana.mendez@example.test son cuentas ficticias de demostración creadas en Development; sus claves aparecen solo en README.md y no deben usarse en un sitio público.</w:t>
      </w:r>
    </w:p>
    <w:p>
      <w:pPr>
        <w:pStyle w:val="Heading2"/>
      </w:pPr>
      <w:r>
        <w:t>10. Demostración de integración</w:t>
      </w:r>
    </w:p>
    <w:p>
      <w:pPr>
        <w:widowControl/>
        <w:spacing w:after="40"/>
        <w:ind w:left="403" w:hanging="317"/>
      </w:pPr>
      <w:r>
        <w:rPr>
          <w:rFonts w:ascii="Arial" w:hAnsi="Arial"/>
          <w:b w:val="0"/>
          <w:color w:val="182B43"/>
          <w:sz w:val="18"/>
        </w:rPr>
        <w:t>1. Inicia SQL Server y deja abierta la aplicación web y Windows Forms.</w:t>
      </w:r>
    </w:p>
    <w:p>
      <w:pPr>
        <w:widowControl/>
        <w:spacing w:after="40"/>
        <w:ind w:left="403" w:hanging="317"/>
      </w:pPr>
      <w:r>
        <w:rPr>
          <w:rFonts w:ascii="Arial" w:hAnsi="Arial"/>
          <w:b w:val="0"/>
          <w:color w:val="182B43"/>
          <w:sz w:val="18"/>
        </w:rPr>
        <w:t>2. Agrega o edita un registro permitido en una aplicación y guarda.</w:t>
      </w:r>
    </w:p>
    <w:p>
      <w:pPr>
        <w:widowControl/>
        <w:spacing w:after="40"/>
        <w:ind w:left="403" w:hanging="317"/>
      </w:pPr>
      <w:r>
        <w:rPr>
          <w:rFonts w:ascii="Arial" w:hAnsi="Arial"/>
          <w:b w:val="0"/>
          <w:color w:val="182B43"/>
          <w:sz w:val="18"/>
        </w:rPr>
        <w:t>3. Actualiza la consulta en la otra aplicación y confirma el mismo cambio.</w:t>
      </w:r>
    </w:p>
    <w:p>
      <w:pPr>
        <w:widowControl/>
        <w:spacing w:after="40"/>
        <w:ind w:left="403" w:hanging="317"/>
      </w:pPr>
      <w:r>
        <w:rPr>
          <w:rFonts w:ascii="Arial" w:hAnsi="Arial"/>
          <w:b w:val="0"/>
          <w:color w:val="182B43"/>
          <w:sz w:val="18"/>
        </w:rPr>
        <w:t>4. Explica que ambas cadenas usan la base NBU y que NBU.Data comparte las entidades y el AppDbContext.</w:t>
      </w:r>
    </w:p>
    <w:p>
      <w:pPr>
        <w:pStyle w:val="Heading2"/>
      </w:pPr>
      <w:r>
        <w:t>Acceso desde celulares en la misma red</w:t>
      </w:r>
    </w:p>
    <w:p>
      <w:pPr>
        <w:widowControl/>
      </w:pPr>
      <w:r>
        <w:rPr>
          <w:rFonts w:ascii="Arial" w:hAnsi="Arial"/>
          <w:b w:val="0"/>
          <w:color w:val="182B43"/>
          <w:sz w:val="18"/>
        </w:rPr>
        <w:t>El servidor web debe estar encendido y los teléfonos conectados al mismo Wi-Fi que la computadora. Ejecuta la web escuchando en la red local con --urls http://0.0.0.0:5221; consulta ipconfig y abre http://DIRECCION-IPv4:5221 desde cada teléfono. localhost solo abre el propio dispositivo. El proyecto no está publicado en internet.</w:t>
      </w:r>
    </w:p>
    <w:sectPr w:rsidR="00FC693F" w:rsidRPr="0006063C" w:rsidSect="00034616">
      <w:headerReference w:type="default" r:id="rId9"/>
      <w:footerReference w:type="default" r:id="rId10"/>
      <w:pgSz w:w="11909" w:h="16834"/>
      <w:pgMar w:top="979" w:right="1008" w:bottom="92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64758A"/>
        <w:sz w:val="16"/>
      </w:rPr>
      <w:t xml:space="preserve">Tu esfuerzo abre oportunidades  ·  Grupo INS-1111  ·  </w:t>
    </w:r>
    <w:r>
      <w:rPr>
        <w:rFonts w:ascii="Arial" w:hAnsi="Arial"/>
        <w:b w:val="0"/>
        <w:color w:val="64758A"/>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092754"/>
        <w:sz w:val="16"/>
      </w:rPr>
      <w:t>NBU  ·  NICARAGUA BECAS UNIVERSITARIAS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color w:val="182B4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092754"/>
      <w:sz w:val="31"/>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1267A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color w:val="09275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