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676656" cy="676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u-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6656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Arial" w:hAnsi="Arial"/>
          <w:b/>
          <w:color w:val="20B6C3"/>
          <w:sz w:val="17"/>
        </w:rPr>
        <w:t>FICHA TÉCNICA DEL PROYECTO</w:t>
      </w:r>
    </w:p>
    <w:p>
      <w:pPr>
        <w:pStyle w:val="Title"/>
        <w:spacing w:after="60"/>
        <w:jc w:val="center"/>
      </w:pPr>
      <w:r>
        <w:rPr>
          <w:rFonts w:ascii="Arial" w:hAnsi="Arial"/>
          <w:b/>
          <w:color w:val="092754"/>
          <w:sz w:val="48"/>
        </w:rPr>
        <w:t>NBU</w:t>
      </w:r>
    </w:p>
    <w:p>
      <w:pPr>
        <w:spacing w:after="160"/>
        <w:jc w:val="center"/>
      </w:pPr>
      <w:r>
        <w:rPr>
          <w:rFonts w:ascii="Arial" w:hAnsi="Arial"/>
          <w:b w:val="0"/>
          <w:color w:val="64758A"/>
          <w:sz w:val="19"/>
        </w:rPr>
        <w:t>Nicaragua Becas Universitarias  ·  Tu esfuerzo abre oportunidades</w:t>
      </w:r>
    </w:p>
    <w:p>
      <w:pPr>
        <w:pStyle w:val="Heading1"/>
      </w:pPr>
      <w:r>
        <w:t>Información general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05"/>
      </w:tblGrid>
      <w:tr>
        <w:trPr>
          <w:tblHeader w:val="true"/>
        </w:trPr>
        <w:tc>
          <w:tcPr>
            <w:tcW w:type="dxa" w:w="2088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7805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Información del equipo</w:t>
            </w:r>
          </w:p>
        </w:tc>
      </w:tr>
      <w:tr>
        <w:tc>
          <w:tcPr>
            <w:tcW w:type="dxa" w:w="2088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Asignatura</w:t>
            </w:r>
          </w:p>
        </w:tc>
        <w:tc>
          <w:tcPr>
            <w:tcW w:type="dxa" w:w="7805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Programación Estructurada en C#</w:t>
            </w:r>
          </w:p>
        </w:tc>
      </w:tr>
      <w:tr>
        <w:tc>
          <w:tcPr>
            <w:tcW w:type="dxa" w:w="2088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Grupo</w:t>
            </w:r>
          </w:p>
        </w:tc>
        <w:tc>
          <w:tcPr>
            <w:tcW w:type="dxa" w:w="7805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INS-1111</w:t>
            </w:r>
          </w:p>
        </w:tc>
      </w:tr>
      <w:tr>
        <w:tc>
          <w:tcPr>
            <w:tcW w:type="dxa" w:w="2088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Integrantes</w:t>
            </w:r>
          </w:p>
        </w:tc>
        <w:tc>
          <w:tcPr>
            <w:tcW w:type="dxa" w:w="7805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Carlos Jose Maltes Martinez</w:t>
            </w:r>
            <w:r>
              <w:br/>
            </w:r>
            <w:r>
              <w:rPr>
                <w:rFonts w:ascii="Arial" w:hAnsi="Arial"/>
                <w:b w:val="0"/>
                <w:color w:val="182B43"/>
                <w:sz w:val="17"/>
              </w:rPr>
              <w:t>Verno Jose Chaves Lopez</w:t>
            </w:r>
            <w:r>
              <w:br/>
            </w:r>
            <w:r>
              <w:rPr>
                <w:rFonts w:ascii="Arial" w:hAnsi="Arial"/>
                <w:b w:val="0"/>
                <w:color w:val="182B43"/>
                <w:sz w:val="17"/>
              </w:rPr>
              <w:t>Dereck Sahid Davila Duarte</w:t>
            </w:r>
            <w:r>
              <w:br/>
            </w:r>
            <w:r>
              <w:rPr>
                <w:rFonts w:ascii="Arial" w:hAnsi="Arial"/>
                <w:b w:val="0"/>
                <w:color w:val="182B43"/>
                <w:sz w:val="17"/>
              </w:rPr>
              <w:t>Ismael Exequiel Noguera Arias</w:t>
            </w:r>
          </w:p>
        </w:tc>
      </w:tr>
      <w:tr>
        <w:tc>
          <w:tcPr>
            <w:tcW w:type="dxa" w:w="2088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Docente</w:t>
            </w:r>
          </w:p>
        </w:tc>
        <w:tc>
          <w:tcPr>
            <w:tcW w:type="dxa" w:w="7805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Ing. Carlos Gaitán</w:t>
            </w:r>
          </w:p>
        </w:tc>
      </w:tr>
      <w:tr>
        <w:tc>
          <w:tcPr>
            <w:tcW w:type="dxa" w:w="2088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Entrega</w:t>
            </w:r>
          </w:p>
        </w:tc>
        <w:tc>
          <w:tcPr>
            <w:tcW w:type="dxa" w:w="7805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Fecha por definir con el docente</w:t>
            </w:r>
          </w:p>
        </w:tc>
      </w:tr>
      <w:tr>
        <w:tc>
          <w:tcPr>
            <w:tcW w:type="dxa" w:w="2088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7"/>
              </w:rPr>
              <w:t>Proyecto</w:t>
            </w:r>
          </w:p>
        </w:tc>
        <w:tc>
          <w:tcPr>
            <w:tcW w:type="dxa" w:w="7805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7"/>
              </w:rPr>
              <w:t>NBU — Nicaragua Becas Universitarias</w:t>
            </w:r>
          </w:p>
        </w:tc>
      </w:tr>
    </w:tbl>
    <w:p>
      <w:pPr>
        <w:pStyle w:val="Heading1"/>
      </w:pPr>
      <w:r>
        <w:t>Categoría y finalidad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893"/>
            <w:vAlign w:val="center"/>
            <w:shd w:fill="EAF8F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>
              <w:rPr>
                <w:b/>
              </w:rPr>
            </w:r>
            <w:r>
              <w:rPr>
                <w:rFonts w:ascii="Arial" w:hAnsi="Arial"/>
                <w:b w:val="0"/>
                <w:color w:val="092754"/>
                <w:sz w:val="18"/>
              </w:rPr>
              <w:t>Categoría marcada en la guía: 8. Becas universitarias</w:t>
            </w:r>
            <w:r>
              <w:br/>
            </w:r>
            <w:r>
              <w:rPr>
                <w:rFonts w:ascii="Arial" w:hAnsi="Arial"/>
                <w:b w:val="0"/>
                <w:color w:val="092754"/>
                <w:sz w:val="18"/>
              </w:rPr>
              <w:t>Organizar convocatorias y solicitudes de becas, permitir que los estudiantes se registren a distancia y dar seguimiento a sus avisos y depósitos registrados.</w:t>
            </w:r>
          </w:p>
        </w:tc>
      </w:tr>
    </w:tbl>
    <w:p>
      <w:pPr>
        <w:pStyle w:val="Heading1"/>
      </w:pPr>
      <w:r>
        <w:t>Módulos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7373"/>
      </w:tblGrid>
      <w:tr>
        <w:trPr>
          <w:tblHeader w:val="true"/>
        </w:trPr>
        <w:tc>
          <w:tcPr>
            <w:tcW w:type="dxa" w:w="2520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Módulo</w:t>
            </w:r>
          </w:p>
        </w:tc>
        <w:tc>
          <w:tcPr>
            <w:tcW w:type="dxa" w:w="7373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Qué permite</w:t>
            </w:r>
          </w:p>
        </w:tc>
      </w:tr>
      <w:tr>
        <w:tc>
          <w:tcPr>
            <w:tcW w:type="dxa" w:w="2520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Estudiantes</w:t>
            </w:r>
          </w:p>
        </w:tc>
        <w:tc>
          <w:tcPr>
            <w:tcW w:type="dxa" w:w="7373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Consultar, buscar, crear, editar y eliminar expedientes administrativos; revisar registros pendientes por separado.</w:t>
            </w:r>
          </w:p>
        </w:tc>
      </w:tr>
      <w:tr>
        <w:tc>
          <w:tcPr>
            <w:tcW w:type="dxa" w:w="2520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Becas y solicitudes</w:t>
            </w:r>
          </w:p>
        </w:tc>
        <w:tc>
          <w:tcPr>
            <w:tcW w:type="dxa" w:w="7373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Mantener convocatorias y dar seguimiento a solicitudes y decisiones.</w:t>
            </w:r>
          </w:p>
        </w:tc>
      </w:tr>
      <w:tr>
        <w:tc>
          <w:tcPr>
            <w:tcW w:type="dxa" w:w="2520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Pagos</w:t>
            </w:r>
          </w:p>
        </w:tc>
        <w:tc>
          <w:tcPr>
            <w:tcW w:type="dxa" w:w="7373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Registrar depósitos efectuados fuera del sistema y consultar el historial relacionado.</w:t>
            </w:r>
          </w:p>
        </w:tc>
      </w:tr>
      <w:tr>
        <w:tc>
          <w:tcPr>
            <w:tcW w:type="dxa" w:w="2520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Noticias y eventos</w:t>
            </w:r>
          </w:p>
        </w:tc>
        <w:tc>
          <w:tcPr>
            <w:tcW w:type="dxa" w:w="7373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Publicar información universitaria y generar avisos para estudiantes.</w:t>
            </w:r>
          </w:p>
        </w:tc>
      </w:tr>
    </w:tbl>
    <w:p>
      <w:r>
        <w:br w:type="page"/>
      </w:r>
    </w:p>
    <w:p>
      <w:pPr>
        <w:pStyle w:val="Heading1"/>
      </w:pPr>
      <w:r>
        <w:t>Tecnologías y arquitectura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445"/>
      </w:tblGrid>
      <w:tr>
        <w:trPr>
          <w:tblHeader w:val="true"/>
        </w:trPr>
        <w:tc>
          <w:tcPr>
            <w:tcW w:type="dxa" w:w="2448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7445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Tecnología del proyecto</w:t>
            </w:r>
          </w:p>
        </w:tc>
      </w:tr>
      <w:tr>
        <w:tc>
          <w:tcPr>
            <w:tcW w:type="dxa" w:w="2448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Lenguaje</w:t>
            </w:r>
          </w:p>
        </w:tc>
        <w:tc>
          <w:tcPr>
            <w:tcW w:type="dxa" w:w="7445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C# 12</w:t>
            </w:r>
          </w:p>
        </w:tc>
      </w:tr>
      <w:tr>
        <w:tc>
          <w:tcPr>
            <w:tcW w:type="dxa" w:w="2448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Web</w:t>
            </w:r>
          </w:p>
        </w:tc>
        <w:tc>
          <w:tcPr>
            <w:tcW w:type="dxa" w:w="7445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ASP.NET Core MVC, .NET 8, vistas Razor y Bootstrap</w:t>
            </w:r>
          </w:p>
        </w:tc>
      </w:tr>
      <w:tr>
        <w:tc>
          <w:tcPr>
            <w:tcW w:type="dxa" w:w="2448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Escritorio</w:t>
            </w:r>
          </w:p>
        </w:tc>
        <w:tc>
          <w:tcPr>
            <w:tcW w:type="dxa" w:w="7445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Windows Forms, .NET 8</w:t>
            </w:r>
          </w:p>
        </w:tc>
      </w:tr>
      <w:tr>
        <w:tc>
          <w:tcPr>
            <w:tcW w:type="dxa" w:w="2448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Acceso a datos</w:t>
            </w:r>
          </w:p>
        </w:tc>
        <w:tc>
          <w:tcPr>
            <w:tcW w:type="dxa" w:w="7445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Entity Framework Core 8</w:t>
            </w:r>
          </w:p>
        </w:tc>
      </w:tr>
      <w:tr>
        <w:tc>
          <w:tcPr>
            <w:tcW w:type="dxa" w:w="2448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Base de datos</w:t>
            </w:r>
          </w:p>
        </w:tc>
        <w:tc>
          <w:tcPr>
            <w:tcW w:type="dxa" w:w="7445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SQL Server 2022 Express; base NBU, instancia SQLEXPRESS22</w:t>
            </w:r>
          </w:p>
        </w:tc>
      </w:tr>
      <w:tr>
        <w:tc>
          <w:tcPr>
            <w:tcW w:type="dxa" w:w="2448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Herramientas</w:t>
            </w:r>
          </w:p>
        </w:tc>
        <w:tc>
          <w:tcPr>
            <w:tcW w:type="dxa" w:w="7445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Visual Studio 2022, SSMS, Git y GitHub</w:t>
            </w:r>
          </w:p>
        </w:tc>
      </w:tr>
      <w:tr>
        <w:tc>
          <w:tcPr>
            <w:tcW w:type="dxa" w:w="2448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Estructura</w:t>
            </w:r>
          </w:p>
        </w:tc>
        <w:tc>
          <w:tcPr>
            <w:tcW w:type="dxa" w:w="7445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NBU.Web + NBU.Desktop + NBU.Data; modelos, vistas, controladores y formularios separados</w:t>
            </w:r>
          </w:p>
        </w:tc>
      </w:tr>
    </w:tbl>
    <w:p>
      <w:pPr>
        <w:pStyle w:val="Heading1"/>
      </w:pPr>
      <w:r>
        <w:t>Funciones implementadas según la guía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52"/>
        <w:gridCol w:w="6941"/>
      </w:tblGrid>
      <w:tr>
        <w:trPr>
          <w:tblHeader w:val="true"/>
        </w:trPr>
        <w:tc>
          <w:tcPr>
            <w:tcW w:type="dxa" w:w="2952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Función</w:t>
            </w:r>
          </w:p>
        </w:tc>
        <w:tc>
          <w:tcPr>
            <w:tcW w:type="dxa" w:w="6941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Alcance confirmado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Registro y consulta</w:t>
            </w:r>
          </w:p>
        </w:tc>
        <w:tc>
          <w:tcPr>
            <w:tcW w:type="dxa" w:w="6941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Altas, listados, búsqueda y filtros de datos.</w:t>
            </w:r>
          </w:p>
        </w:tc>
      </w:tr>
      <w:tr>
        <w:tc>
          <w:tcPr>
            <w:tcW w:type="dxa" w:w="2952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Edición y eliminación</w:t>
            </w:r>
          </w:p>
        </w:tc>
        <w:tc>
          <w:tcPr>
            <w:tcW w:type="dxa" w:w="6941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Cambios con validaciones y protección de registros relacionados.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Validación</w:t>
            </w:r>
          </w:p>
        </w:tc>
        <w:tc>
          <w:tcPr>
            <w:tcW w:type="dxa" w:w="6941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Campos requeridos, correo y reglas propias de cada formulario.</w:t>
            </w:r>
          </w:p>
        </w:tc>
      </w:tr>
      <w:tr>
        <w:tc>
          <w:tcPr>
            <w:tcW w:type="dxa" w:w="2952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Inicio de sesión y roles</w:t>
            </w:r>
          </w:p>
        </w:tc>
        <w:tc>
          <w:tcPr>
            <w:tcW w:type="dxa" w:w="6941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Perfiles Admin y Student.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Registro remoto de estudiante</w:t>
            </w:r>
          </w:p>
        </w:tc>
        <w:tc>
          <w:tcPr>
            <w:tcW w:type="dxa" w:w="6941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Formulario web; nuevo acceso queda pendiente hasta la decisión administrativa.</w:t>
            </w:r>
          </w:p>
        </w:tc>
      </w:tr>
      <w:tr>
        <w:tc>
          <w:tcPr>
            <w:tcW w:type="dxa" w:w="2952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Solicitudes y documentos</w:t>
            </w:r>
          </w:p>
        </w:tc>
        <w:tc>
          <w:tcPr>
            <w:tcW w:type="dxa" w:w="6941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Solicitud de beca con respaldo PDF/JPG/PNG de hasta 5 MB.</w:t>
            </w:r>
          </w:p>
        </w:tc>
      </w:tr>
      <w:tr>
        <w:tc>
          <w:tcPr>
            <w:tcW w:type="dxa" w:w="2952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Avisos</w:t>
            </w:r>
          </w:p>
        </w:tc>
        <w:tc>
          <w:tcPr>
            <w:tcW w:type="dxa" w:w="6941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Notificaciones relacionadas con publicaciones universitarias.</w:t>
            </w:r>
          </w:p>
        </w:tc>
      </w:tr>
    </w:tbl>
    <w:p>
      <w:pPr>
        <w:pStyle w:val="Heading1"/>
      </w:pPr>
      <w:r>
        <w:t>Base de datos compartida</w:t>
      </w:r>
    </w:p>
    <w:p>
      <w:pPr>
        <w:widowControl/>
      </w:pPr>
      <w:r>
        <w:rPr>
          <w:rFonts w:ascii="Arial" w:hAnsi="Arial"/>
          <w:b w:val="0"/>
          <w:color w:val="182B43"/>
          <w:sz w:val="18"/>
        </w:rPr>
        <w:t>Las dos aplicaciones apuntan a la base NBU en SQL Server mediante la misma cadena local. El diseño incluye estudiantes, becas, solicitudes, depósitos, publicaciones, notificaciones y cuentas con roles. La demostración en vivo debe comprobar una modificación visible desde ambas aplicaciones.</w:t>
      </w:r>
    </w:p>
    <w:p>
      <w:pPr>
        <w:pStyle w:val="Heading1"/>
      </w:pPr>
      <w:r>
        <w:t>Rúbrica indicada por el docente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0"/>
        <w:gridCol w:w="1973"/>
      </w:tblGrid>
      <w:tr>
        <w:trPr>
          <w:tblHeader w:val="true"/>
        </w:trPr>
        <w:tc>
          <w:tcPr>
            <w:tcW w:type="dxa" w:w="7920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973"/>
            <w:vAlign w:val="center"/>
            <w:shd w:fill="092754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Puntos</w:t>
            </w:r>
          </w:p>
        </w:tc>
      </w:tr>
      <w:tr>
        <w:tc>
          <w:tcPr>
            <w:tcW w:type="dxa" w:w="7920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Organización de la solución en Visual Studio</w:t>
            </w:r>
          </w:p>
        </w:tc>
        <w:tc>
          <w:tcPr>
            <w:tcW w:type="dxa" w:w="1973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6</w:t>
            </w:r>
          </w:p>
        </w:tc>
      </w:tr>
      <w:tr>
        <w:tc>
          <w:tcPr>
            <w:tcW w:type="dxa" w:w="7920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Aplicación de escritorio</w:t>
            </w:r>
          </w:p>
        </w:tc>
        <w:tc>
          <w:tcPr>
            <w:tcW w:type="dxa" w:w="1973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6</w:t>
            </w:r>
          </w:p>
        </w:tc>
      </w:tr>
      <w:tr>
        <w:tc>
          <w:tcPr>
            <w:tcW w:type="dxa" w:w="7920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Aplicación web</w:t>
            </w:r>
          </w:p>
        </w:tc>
        <w:tc>
          <w:tcPr>
            <w:tcW w:type="dxa" w:w="1973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6</w:t>
            </w:r>
          </w:p>
        </w:tc>
      </w:tr>
      <w:tr>
        <w:tc>
          <w:tcPr>
            <w:tcW w:type="dxa" w:w="7920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Base compartida e integración</w:t>
            </w:r>
          </w:p>
        </w:tc>
        <w:tc>
          <w:tcPr>
            <w:tcW w:type="dxa" w:w="1973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8</w:t>
            </w:r>
          </w:p>
        </w:tc>
      </w:tr>
      <w:tr>
        <w:tc>
          <w:tcPr>
            <w:tcW w:type="dxa" w:w="7920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Programación estructurada</w:t>
            </w:r>
          </w:p>
        </w:tc>
        <w:tc>
          <w:tcPr>
            <w:tcW w:type="dxa" w:w="1973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6</w:t>
            </w:r>
          </w:p>
        </w:tc>
      </w:tr>
      <w:tr>
        <w:tc>
          <w:tcPr>
            <w:tcW w:type="dxa" w:w="7920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Pruebas y evidencias</w:t>
            </w:r>
          </w:p>
        </w:tc>
        <w:tc>
          <w:tcPr>
            <w:tcW w:type="dxa" w:w="1973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4</w:t>
            </w:r>
          </w:p>
        </w:tc>
      </w:tr>
      <w:tr>
        <w:tc>
          <w:tcPr>
            <w:tcW w:type="dxa" w:w="7920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Documentación y defensa</w:t>
            </w:r>
          </w:p>
        </w:tc>
        <w:tc>
          <w:tcPr>
            <w:tcW w:type="dxa" w:w="1973"/>
            <w:vAlign w:val="center"/>
            <w:shd w:fill="EFF5FA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4</w:t>
            </w:r>
          </w:p>
        </w:tc>
      </w:tr>
      <w:tr>
        <w:tc>
          <w:tcPr>
            <w:tcW w:type="dxa" w:w="7920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/>
                <w:color w:val="182B43"/>
                <w:sz w:val="16"/>
              </w:rPr>
              <w:t>Total</w:t>
            </w:r>
          </w:p>
        </w:tc>
        <w:tc>
          <w:tcPr>
            <w:tcW w:type="dxa" w:w="1973"/>
            <w:vAlign w:val="center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5" w:lineRule="auto"/>
            </w:pPr>
            <w:r/>
            <w:r>
              <w:rPr>
                <w:rFonts w:ascii="Arial" w:hAnsi="Arial"/>
                <w:b w:val="0"/>
                <w:color w:val="182B43"/>
                <w:sz w:val="16"/>
              </w:rPr>
              <w:t>40 puntos</w:t>
            </w:r>
          </w:p>
        </w:tc>
      </w:tr>
    </w:tbl>
    <w:p>
      <w:pPr>
        <w:widowControl/>
      </w:pPr>
      <w:r>
        <w:rPr>
          <w:rFonts w:ascii="Arial" w:hAnsi="Arial"/>
          <w:b w:val="0"/>
          <w:color w:val="64758A"/>
          <w:sz w:val="17"/>
        </w:rPr>
        <w:t>Los espacios de calificación y observaciones corresponden al docente y se dejan en blanco.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79" w:right="1008" w:bottom="922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4758A"/>
        <w:sz w:val="16"/>
      </w:rPr>
      <w:t xml:space="preserve">Tu esfuerzo abre oportunidades  ·  Grupo INS-1111  ·  </w:t>
    </w:r>
    <w:r>
      <w:rPr>
        <w:rFonts w:ascii="Arial" w:hAnsi="Arial"/>
        <w:b w:val="0"/>
        <w:color w:val="64758A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092754"/>
        <w:sz w:val="16"/>
      </w:rPr>
      <w:t>NBU  ·  NICARAGUA BECAS UNIVERSITARIAS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182B4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92754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267A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9275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