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60"/>
        <w:jc w:val="center"/>
      </w:pPr>
      <w:r>
        <w:drawing>
          <wp:inline xmlns:a="http://schemas.openxmlformats.org/drawingml/2006/main" xmlns:pic="http://schemas.openxmlformats.org/drawingml/2006/picture">
            <wp:extent cx="676656" cy="676656"/>
            <wp:docPr id="1" name="Picture 1"/>
            <wp:cNvGraphicFramePr>
              <a:graphicFrameLocks noChangeAspect="1"/>
            </wp:cNvGraphicFramePr>
            <a:graphic>
              <a:graphicData uri="http://schemas.openxmlformats.org/drawingml/2006/picture">
                <pic:pic>
                  <pic:nvPicPr>
                    <pic:cNvPr id="0" name="nbu-mark.png"/>
                    <pic:cNvPicPr/>
                  </pic:nvPicPr>
                  <pic:blipFill>
                    <a:blip r:embed="rId11"/>
                    <a:stretch>
                      <a:fillRect/>
                    </a:stretch>
                  </pic:blipFill>
                  <pic:spPr>
                    <a:xfrm>
                      <a:off x="0" y="0"/>
                      <a:ext cx="676656" cy="676656"/>
                    </a:xfrm>
                    <a:prstGeom prst="rect"/>
                  </pic:spPr>
                </pic:pic>
              </a:graphicData>
            </a:graphic>
          </wp:inline>
        </w:drawing>
      </w:r>
    </w:p>
    <w:p>
      <w:pPr>
        <w:spacing w:after="0"/>
        <w:jc w:val="center"/>
      </w:pPr>
      <w:r>
        <w:rPr>
          <w:rFonts w:ascii="Arial" w:hAnsi="Arial"/>
          <w:b/>
          <w:color w:val="20B6C3"/>
          <w:sz w:val="17"/>
        </w:rPr>
        <w:t>MANUAL DE USUARIO</w:t>
      </w:r>
    </w:p>
    <w:p>
      <w:pPr>
        <w:pStyle w:val="Title"/>
        <w:spacing w:after="60"/>
        <w:jc w:val="center"/>
      </w:pPr>
      <w:r>
        <w:rPr>
          <w:rFonts w:ascii="Arial" w:hAnsi="Arial"/>
          <w:b/>
          <w:color w:val="092754"/>
          <w:sz w:val="48"/>
        </w:rPr>
        <w:t>NBU</w:t>
      </w:r>
    </w:p>
    <w:p>
      <w:pPr>
        <w:spacing w:after="160"/>
        <w:jc w:val="center"/>
      </w:pPr>
      <w:r>
        <w:rPr>
          <w:rFonts w:ascii="Arial" w:hAnsi="Arial"/>
          <w:b w:val="0"/>
          <w:color w:val="64758A"/>
          <w:sz w:val="19"/>
        </w:rPr>
        <w:t>Guía sencilla para estudiantes y personal administrativo</w:t>
      </w:r>
    </w:p>
    <w:tbl>
      <w:tblPr>
        <w:tblStyle w:val="TableGrid"/>
        <w:tblW w:type="auto" w:w="0"/>
        <w:tblLook w:firstColumn="1" w:firstRow="1" w:lastColumn="0" w:lastRow="0" w:noHBand="0" w:noVBand="1" w:val="04A0"/>
      </w:tblPr>
      <w:tblGrid>
        <w:gridCol w:w="9893"/>
      </w:tblGrid>
      <w:tr>
        <w:tc>
          <w:tcPr>
            <w:tcW w:type="dxa" w:w="9893"/>
            <w:vAlign w:val="center"/>
            <w:shd w:fill="EAF8F8"/>
            <w:tcMar>
              <w:top w:w="80" w:type="dxa"/>
              <w:start w:w="100" w:type="dxa"/>
              <w:bottom w:w="80" w:type="dxa"/>
              <w:end w:w="100" w:type="dxa"/>
            </w:tcMar>
          </w:tcPr>
          <w:p>
            <w:pPr>
              <w:spacing w:after="0" w:line="245" w:lineRule="auto"/>
            </w:pPr>
            <w:r>
              <w:rPr>
                <w:b/>
              </w:rPr>
            </w:r>
            <w:r>
              <w:rPr>
                <w:rFonts w:ascii="Arial" w:hAnsi="Arial"/>
                <w:b w:val="0"/>
                <w:color w:val="092754"/>
                <w:sz w:val="18"/>
              </w:rPr>
              <w:t>¿Para qué sirve?</w:t>
            </w:r>
            <w:r>
              <w:br/>
            </w:r>
            <w:r>
              <w:rPr>
                <w:rFonts w:ascii="Arial" w:hAnsi="Arial"/>
                <w:b w:val="0"/>
                <w:color w:val="092754"/>
                <w:sz w:val="18"/>
              </w:rPr>
              <w:t>Para que los estudiantes se registren desde el portal, consulten convocatorias y sigan sus solicitudes; y para que el personal gestione becas, estudiantes, depósitos registrados y avisos.</w:t>
            </w:r>
          </w:p>
        </w:tc>
      </w:tr>
    </w:tbl>
    <w:p>
      <w:pPr>
        <w:pStyle w:val="Heading1"/>
      </w:pPr>
      <w:r>
        <w:t>Dos formas de usar NBU</w:t>
      </w:r>
    </w:p>
    <w:tbl>
      <w:tblPr>
        <w:tblStyle w:val="TableGrid"/>
        <w:tblW w:type="auto" w:w="0"/>
        <w:jc w:val="center"/>
        <w:tblLayout w:type="fixed"/>
        <w:tblLook w:firstColumn="1" w:firstRow="1" w:lastColumn="0" w:lastRow="0" w:noHBand="0" w:noVBand="1" w:val="04A0"/>
      </w:tblPr>
      <w:tblGrid>
        <w:gridCol w:w="1656"/>
        <w:gridCol w:w="3312"/>
        <w:gridCol w:w="4925"/>
      </w:tblGrid>
      <w:tr>
        <w:trPr>
          <w:tblHeader w:val="true"/>
        </w:trPr>
        <w:tc>
          <w:tcPr>
            <w:tcW w:type="dxa" w:w="1656"/>
            <w:vAlign w:val="center"/>
            <w:shd w:fill="092754"/>
            <w:tcMar>
              <w:top w:w="80" w:type="dxa"/>
              <w:start w:w="100" w:type="dxa"/>
              <w:bottom w:w="80" w:type="dxa"/>
              <w:end w:w="100" w:type="dxa"/>
            </w:tcMar>
          </w:tcPr>
          <w:p>
            <w:pPr>
              <w:spacing w:after="0" w:line="245" w:lineRule="auto"/>
            </w:pPr>
            <w:r/>
            <w:r>
              <w:rPr>
                <w:rFonts w:ascii="Arial" w:hAnsi="Arial"/>
                <w:b/>
                <w:color w:val="FFFFFF"/>
                <w:sz w:val="16"/>
              </w:rPr>
              <w:t>Quién</w:t>
            </w:r>
          </w:p>
        </w:tc>
        <w:tc>
          <w:tcPr>
            <w:tcW w:type="dxa" w:w="3312"/>
            <w:vAlign w:val="center"/>
            <w:shd w:fill="092754"/>
            <w:tcMar>
              <w:top w:w="80" w:type="dxa"/>
              <w:start w:w="100" w:type="dxa"/>
              <w:bottom w:w="80" w:type="dxa"/>
              <w:end w:w="100" w:type="dxa"/>
            </w:tcMar>
          </w:tcPr>
          <w:p>
            <w:pPr>
              <w:spacing w:after="0" w:line="245" w:lineRule="auto"/>
            </w:pPr>
            <w:r/>
            <w:r>
              <w:rPr>
                <w:rFonts w:ascii="Arial" w:hAnsi="Arial"/>
                <w:b/>
                <w:color w:val="FFFFFF"/>
                <w:sz w:val="16"/>
              </w:rPr>
              <w:t>Dónde entra</w:t>
            </w:r>
          </w:p>
        </w:tc>
        <w:tc>
          <w:tcPr>
            <w:tcW w:type="dxa" w:w="4925"/>
            <w:vAlign w:val="center"/>
            <w:shd w:fill="092754"/>
            <w:tcMar>
              <w:top w:w="80" w:type="dxa"/>
              <w:start w:w="100" w:type="dxa"/>
              <w:bottom w:w="80" w:type="dxa"/>
              <w:end w:w="100" w:type="dxa"/>
            </w:tcMar>
          </w:tcPr>
          <w:p>
            <w:pPr>
              <w:spacing w:after="0" w:line="245" w:lineRule="auto"/>
            </w:pPr>
            <w:r/>
            <w:r>
              <w:rPr>
                <w:rFonts w:ascii="Arial" w:hAnsi="Arial"/>
                <w:b/>
                <w:color w:val="FFFFFF"/>
                <w:sz w:val="16"/>
              </w:rPr>
              <w:t>Qué hace</w:t>
            </w:r>
          </w:p>
        </w:tc>
      </w:tr>
      <w:tr>
        <w:tc>
          <w:tcPr>
            <w:tcW w:type="dxa" w:w="1656"/>
            <w:vAlign w:val="center"/>
            <w:shd w:fill="EFF5FA"/>
            <w:tcMar>
              <w:top w:w="80" w:type="dxa"/>
              <w:start w:w="100" w:type="dxa"/>
              <w:bottom w:w="80" w:type="dxa"/>
              <w:end w:w="100" w:type="dxa"/>
            </w:tcMar>
          </w:tcPr>
          <w:p>
            <w:pPr>
              <w:spacing w:after="0" w:line="245" w:lineRule="auto"/>
            </w:pPr>
            <w:r/>
            <w:r>
              <w:rPr>
                <w:rFonts w:ascii="Arial" w:hAnsi="Arial"/>
                <w:b/>
                <w:color w:val="182B43"/>
                <w:sz w:val="16"/>
              </w:rPr>
              <w:t>Estudiante</w:t>
            </w:r>
          </w:p>
        </w:tc>
        <w:tc>
          <w:tcPr>
            <w:tcW w:type="dxa" w:w="3312"/>
            <w:vAlign w:val="center"/>
            <w:shd w:fill="EFF5FA"/>
            <w:tcMar>
              <w:top w:w="80" w:type="dxa"/>
              <w:start w:w="100" w:type="dxa"/>
              <w:bottom w:w="80" w:type="dxa"/>
              <w:end w:w="100" w:type="dxa"/>
            </w:tcMar>
          </w:tcPr>
          <w:p>
            <w:pPr>
              <w:spacing w:after="0" w:line="245" w:lineRule="auto"/>
            </w:pPr>
            <w:r/>
            <w:r>
              <w:rPr>
                <w:rFonts w:ascii="Arial" w:hAnsi="Arial"/>
                <w:b w:val="0"/>
                <w:color w:val="182B43"/>
                <w:sz w:val="16"/>
              </w:rPr>
              <w:t>Página web, desde computadora o celular</w:t>
            </w:r>
          </w:p>
        </w:tc>
        <w:tc>
          <w:tcPr>
            <w:tcW w:type="dxa" w:w="4925"/>
            <w:vAlign w:val="center"/>
            <w:shd w:fill="EFF5FA"/>
            <w:tcMar>
              <w:top w:w="80" w:type="dxa"/>
              <w:start w:w="100" w:type="dxa"/>
              <w:bottom w:w="80" w:type="dxa"/>
              <w:end w:w="100" w:type="dxa"/>
            </w:tcMar>
          </w:tcPr>
          <w:p>
            <w:pPr>
              <w:spacing w:after="0" w:line="245" w:lineRule="auto"/>
            </w:pPr>
            <w:r/>
            <w:r>
              <w:rPr>
                <w:rFonts w:ascii="Arial" w:hAnsi="Arial"/>
                <w:b w:val="0"/>
                <w:color w:val="182B43"/>
                <w:sz w:val="16"/>
              </w:rPr>
              <w:t>Se registra, espera aprobación, solicita becas y consulta sus datos.</w:t>
            </w:r>
          </w:p>
        </w:tc>
      </w:tr>
      <w:tr>
        <w:tc>
          <w:tcPr>
            <w:tcW w:type="dxa" w:w="1656"/>
            <w:vAlign w:val="center"/>
            <w:shd w:fill="FFFFFF"/>
            <w:tcMar>
              <w:top w:w="80" w:type="dxa"/>
              <w:start w:w="100" w:type="dxa"/>
              <w:bottom w:w="80" w:type="dxa"/>
              <w:end w:w="100" w:type="dxa"/>
            </w:tcMar>
          </w:tcPr>
          <w:p>
            <w:pPr>
              <w:spacing w:after="0" w:line="245" w:lineRule="auto"/>
            </w:pPr>
            <w:r/>
            <w:r>
              <w:rPr>
                <w:rFonts w:ascii="Arial" w:hAnsi="Arial"/>
                <w:b/>
                <w:color w:val="182B43"/>
                <w:sz w:val="16"/>
              </w:rPr>
              <w:t>Administración</w:t>
            </w:r>
          </w:p>
        </w:tc>
        <w:tc>
          <w:tcPr>
            <w:tcW w:type="dxa" w:w="3312"/>
            <w:vAlign w:val="center"/>
            <w:shd w:fill="FFFFFF"/>
            <w:tcMar>
              <w:top w:w="80" w:type="dxa"/>
              <w:start w:w="100" w:type="dxa"/>
              <w:bottom w:w="80" w:type="dxa"/>
              <w:end w:w="100" w:type="dxa"/>
            </w:tcMar>
          </w:tcPr>
          <w:p>
            <w:pPr>
              <w:spacing w:after="0" w:line="245" w:lineRule="auto"/>
            </w:pPr>
            <w:r/>
            <w:r>
              <w:rPr>
                <w:rFonts w:ascii="Arial" w:hAnsi="Arial"/>
                <w:b w:val="0"/>
                <w:color w:val="182B43"/>
                <w:sz w:val="16"/>
              </w:rPr>
              <w:t>Panel web o programa Windows Forms</w:t>
            </w:r>
          </w:p>
        </w:tc>
        <w:tc>
          <w:tcPr>
            <w:tcW w:type="dxa" w:w="4925"/>
            <w:vAlign w:val="center"/>
            <w:shd w:fill="FFFFFF"/>
            <w:tcMar>
              <w:top w:w="80" w:type="dxa"/>
              <w:start w:w="100" w:type="dxa"/>
              <w:bottom w:w="80" w:type="dxa"/>
              <w:end w:w="100" w:type="dxa"/>
            </w:tcMar>
          </w:tcPr>
          <w:p>
            <w:pPr>
              <w:spacing w:after="0" w:line="245" w:lineRule="auto"/>
            </w:pPr>
            <w:r/>
            <w:r>
              <w:rPr>
                <w:rFonts w:ascii="Arial" w:hAnsi="Arial"/>
                <w:b w:val="0"/>
                <w:color w:val="182B43"/>
                <w:sz w:val="16"/>
              </w:rPr>
              <w:t>Revisa registros, mantiene los módulos y publica información.</w:t>
            </w:r>
          </w:p>
        </w:tc>
      </w:tr>
    </w:tbl>
    <w:p>
      <w:pPr>
        <w:widowControl/>
      </w:pPr>
      <w:r>
        <w:rPr>
          <w:rFonts w:ascii="Arial" w:hAnsi="Arial"/>
          <w:b w:val="0"/>
          <w:color w:val="182B43"/>
          <w:sz w:val="18"/>
        </w:rPr>
        <w:t>El portal y el ejecutable no son dos cuentas diferentes: la cuenta de administración es para el personal; la cuenta Student es para el estudiante. La aprobación del registro es necesaria antes de iniciar sesión como estudiante.</w:t>
      </w:r>
    </w:p>
    <w:p>
      <w:r>
        <w:br w:type="page"/>
      </w:r>
    </w:p>
    <w:p>
      <w:pPr>
        <w:pStyle w:val="Heading1"/>
      </w:pPr>
      <w:r>
        <w:t>1. Crear una cuenta de estudiante</w:t>
      </w:r>
    </w:p>
    <w:p>
      <w:pPr>
        <w:widowControl/>
      </w:pPr>
      <w:r>
        <w:rPr>
          <w:rFonts w:ascii="Arial" w:hAnsi="Arial"/>
          <w:b w:val="0"/>
          <w:color w:val="182B43"/>
          <w:sz w:val="18"/>
        </w:rPr>
        <w:t>Abre el portal web y selecciona Registrarse. Completa nombres, apellidos, cédula, correo, teléfono, universidad y carrera. Si un estudiante te compartió un código de recomendación, puedes escribirlo; ese dato es opcional.</w:t>
      </w:r>
    </w:p>
    <w:p>
      <w:pPr>
        <w:pStyle w:val="ListBullet"/>
        <w:widowControl/>
        <w:spacing w:after="40"/>
        <w:ind w:left="360" w:hanging="173"/>
      </w:pPr>
      <w:r>
        <w:rPr>
          <w:rFonts w:ascii="Arial" w:hAnsi="Arial"/>
          <w:b w:val="0"/>
          <w:color w:val="182B43"/>
          <w:sz w:val="18"/>
        </w:rPr>
        <w:t>Escribe una contraseña de 8 caracteres o más, usando solamente letras y números. Confírmala en el segundo campo.</w:t>
      </w:r>
    </w:p>
    <w:p>
      <w:pPr>
        <w:pStyle w:val="ListBullet"/>
        <w:widowControl/>
        <w:spacing w:after="40"/>
        <w:ind w:left="360" w:hanging="173"/>
      </w:pPr>
      <w:r>
        <w:rPr>
          <w:rFonts w:ascii="Arial" w:hAnsi="Arial"/>
          <w:b w:val="0"/>
          <w:color w:val="182B43"/>
          <w:sz w:val="18"/>
        </w:rPr>
        <w:t>Marca Mostrar contraseñas si quieres comprobar lo que escribiste.</w:t>
      </w:r>
    </w:p>
    <w:p>
      <w:pPr>
        <w:pStyle w:val="ListBullet"/>
        <w:widowControl/>
        <w:spacing w:after="40"/>
        <w:ind w:left="360" w:hanging="173"/>
      </w:pPr>
      <w:r>
        <w:rPr>
          <w:rFonts w:ascii="Arial" w:hAnsi="Arial"/>
          <w:b w:val="0"/>
          <w:color w:val="182B43"/>
          <w:sz w:val="18"/>
        </w:rPr>
        <w:t>Presiona Enviar registro. Aparecerá una confirmación: el acceso queda pendiente hasta que administración revise tus datos.</w:t>
      </w:r>
    </w:p>
    <w:p>
      <w:pPr>
        <w:pStyle w:val="ListBullet"/>
        <w:widowControl/>
        <w:spacing w:after="40"/>
        <w:ind w:left="360" w:hanging="173"/>
      </w:pPr>
      <w:r>
        <w:rPr>
          <w:rFonts w:ascii="Arial" w:hAnsi="Arial"/>
          <w:b w:val="0"/>
          <w:color w:val="182B43"/>
          <w:sz w:val="18"/>
        </w:rPr>
        <w:t>Si se acepta, inicia sesión con el correo y la contraseña que elegiste. Si se rechaza, revisa el motivo y envía los datos corregidos.</w:t>
      </w:r>
    </w:p>
    <w:p>
      <w:pPr>
        <w:spacing w:before="40" w:after="20"/>
        <w:jc w:val="center"/>
      </w:pPr>
      <w:r>
        <w:drawing>
          <wp:inline xmlns:a="http://schemas.openxmlformats.org/drawingml/2006/main" xmlns:pic="http://schemas.openxmlformats.org/drawingml/2006/picture">
            <wp:extent cx="4800600" cy="4768948"/>
            <wp:docPr id="2" name="Picture 2" descr="Formulario web de registro en computadora; la captura usa campos vacíos."/>
            <wp:cNvGraphicFramePr>
              <a:graphicFrameLocks noChangeAspect="1"/>
            </wp:cNvGraphicFramePr>
            <a:graphic>
              <a:graphicData uri="http://schemas.openxmlformats.org/drawingml/2006/picture">
                <pic:pic>
                  <pic:nvPicPr>
                    <pic:cNvPr id="0" name="01-registro-web-escritorio.png"/>
                    <pic:cNvPicPr/>
                  </pic:nvPicPr>
                  <pic:blipFill>
                    <a:blip r:embed="rId12"/>
                    <a:stretch>
                      <a:fillRect/>
                    </a:stretch>
                  </pic:blipFill>
                  <pic:spPr>
                    <a:xfrm>
                      <a:off x="0" y="0"/>
                      <a:ext cx="4800600" cy="4768948"/>
                    </a:xfrm>
                    <a:prstGeom prst="rect"/>
                  </pic:spPr>
                </pic:pic>
              </a:graphicData>
            </a:graphic>
          </wp:inline>
        </w:drawing>
      </w:r>
    </w:p>
    <w:p>
      <w:pPr>
        <w:spacing w:after="80"/>
        <w:jc w:val="center"/>
      </w:pPr>
      <w:r>
        <w:rPr>
          <w:rFonts w:ascii="Arial" w:hAnsi="Arial"/>
          <w:b w:val="0"/>
          <w:color w:val="64758A"/>
          <w:sz w:val="16"/>
        </w:rPr>
        <w:t>Formulario web de registro en computadora; la captura usa campos vacíos.</w:t>
      </w:r>
    </w:p>
    <w:p>
      <w:r>
        <w:br w:type="page"/>
      </w:r>
    </w:p>
    <w:p>
      <w:pPr>
        <w:pStyle w:val="Heading1"/>
      </w:pPr>
      <w:r>
        <w:t>2. Registro desde un celular</w:t>
      </w:r>
    </w:p>
    <w:p>
      <w:pPr>
        <w:widowControl/>
      </w:pPr>
      <w:r>
        <w:rPr>
          <w:rFonts w:ascii="Arial" w:hAnsi="Arial"/>
          <w:b w:val="0"/>
          <w:color w:val="182B43"/>
          <w:sz w:val="18"/>
        </w:rPr>
        <w:t>La página se adapta a una pantalla pequeña. Toca el botón de tres líneas para abrir o cerrar el menú; desliza hacia abajo para completar todos los campos.</w:t>
      </w:r>
    </w:p>
    <w:p>
      <w:pPr>
        <w:spacing w:before="40" w:after="20"/>
        <w:jc w:val="center"/>
      </w:pPr>
      <w:r>
        <w:drawing>
          <wp:inline xmlns:a="http://schemas.openxmlformats.org/drawingml/2006/main" xmlns:pic="http://schemas.openxmlformats.org/drawingml/2006/picture">
            <wp:extent cx="2468880" cy="5342910"/>
            <wp:docPr id="3" name="Picture 3" descr="Vista del formulario en un celular; se muestra el inicio del formulario y el menú adaptable."/>
            <wp:cNvGraphicFramePr>
              <a:graphicFrameLocks noChangeAspect="1"/>
            </wp:cNvGraphicFramePr>
            <a:graphic>
              <a:graphicData uri="http://schemas.openxmlformats.org/drawingml/2006/picture">
                <pic:pic>
                  <pic:nvPicPr>
                    <pic:cNvPr id="0" name="02-registro-web-movil.png"/>
                    <pic:cNvPicPr/>
                  </pic:nvPicPr>
                  <pic:blipFill>
                    <a:blip r:embed="rId13"/>
                    <a:stretch>
                      <a:fillRect/>
                    </a:stretch>
                  </pic:blipFill>
                  <pic:spPr>
                    <a:xfrm>
                      <a:off x="0" y="0"/>
                      <a:ext cx="2468880" cy="5342910"/>
                    </a:xfrm>
                    <a:prstGeom prst="rect"/>
                  </pic:spPr>
                </pic:pic>
              </a:graphicData>
            </a:graphic>
          </wp:inline>
        </w:drawing>
      </w:r>
    </w:p>
    <w:p>
      <w:pPr>
        <w:spacing w:after="80"/>
        <w:jc w:val="center"/>
      </w:pPr>
      <w:r>
        <w:rPr>
          <w:rFonts w:ascii="Arial" w:hAnsi="Arial"/>
          <w:b w:val="0"/>
          <w:color w:val="64758A"/>
          <w:sz w:val="16"/>
        </w:rPr>
        <w:t>Vista del formulario en un celular; se muestra el inicio del formulario y el menú adaptable.</w:t>
      </w:r>
    </w:p>
    <w:tbl>
      <w:tblPr>
        <w:tblStyle w:val="TableGrid"/>
        <w:tblW w:type="auto" w:w="0"/>
        <w:tblLook w:firstColumn="1" w:firstRow="1" w:lastColumn="0" w:lastRow="0" w:noHBand="0" w:noVBand="1" w:val="04A0"/>
      </w:tblPr>
      <w:tblGrid>
        <w:gridCol w:w="9893"/>
      </w:tblGrid>
      <w:tr>
        <w:tc>
          <w:tcPr>
            <w:tcW w:type="dxa" w:w="9893"/>
            <w:vAlign w:val="center"/>
            <w:shd w:fill="EAF8F8"/>
            <w:tcMar>
              <w:top w:w="80" w:type="dxa"/>
              <w:start w:w="100" w:type="dxa"/>
              <w:bottom w:w="80" w:type="dxa"/>
              <w:end w:w="100" w:type="dxa"/>
            </w:tcMar>
          </w:tcPr>
          <w:p>
            <w:pPr>
              <w:spacing w:after="0" w:line="245" w:lineRule="auto"/>
            </w:pPr>
            <w:r>
              <w:rPr>
                <w:b/>
              </w:rPr>
            </w:r>
            <w:r>
              <w:rPr>
                <w:rFonts w:ascii="Arial" w:hAnsi="Arial"/>
                <w:b w:val="0"/>
                <w:color w:val="092754"/>
                <w:sz w:val="18"/>
              </w:rPr>
              <w:t>Para que abra fuera de la computadora</w:t>
            </w:r>
            <w:r>
              <w:br/>
            </w:r>
            <w:r>
              <w:rPr>
                <w:rFonts w:ascii="Arial" w:hAnsi="Arial"/>
                <w:b w:val="0"/>
                <w:color w:val="092754"/>
                <w:sz w:val="18"/>
              </w:rPr>
              <w:t>La web debe estar encendida. Para una prueba en el salón, el celular y la computadora deben estar en el mismo Wi-Fi y se abre la dirección IPv4 de la computadora, no localhost.</w:t>
            </w:r>
          </w:p>
        </w:tc>
      </w:tr>
    </w:tbl>
    <w:p>
      <w:pPr>
        <w:pStyle w:val="Heading1"/>
      </w:pPr>
      <w:r>
        <w:t>3. Inicio del estudiante</w:t>
      </w:r>
    </w:p>
    <w:p>
      <w:pPr>
        <w:widowControl/>
      </w:pPr>
      <w:r>
        <w:rPr>
          <w:rFonts w:ascii="Arial" w:hAnsi="Arial"/>
          <w:b w:val="0"/>
          <w:color w:val="182B43"/>
          <w:sz w:val="18"/>
        </w:rPr>
        <w:t>Después de que administración acepte tu registro, ingresa con tu correo y contraseña. En Inicio verás un resumen de convocatorias abiertas, solicitudes en revisión, avisos sin leer y depósitos registrados.</w:t>
      </w:r>
    </w:p>
    <w:p>
      <w:pPr>
        <w:spacing w:before="40" w:after="20"/>
        <w:jc w:val="center"/>
      </w:pPr>
      <w:r>
        <w:drawing>
          <wp:inline xmlns:a="http://schemas.openxmlformats.org/drawingml/2006/main" xmlns:pic="http://schemas.openxmlformats.org/drawingml/2006/picture">
            <wp:extent cx="6217920" cy="1585388"/>
            <wp:docPr id="4" name="Picture 4" descr="Resumen del portal estudiantil con datos ficticios de demostración."/>
            <wp:cNvGraphicFramePr>
              <a:graphicFrameLocks noChangeAspect="1"/>
            </wp:cNvGraphicFramePr>
            <a:graphic>
              <a:graphicData uri="http://schemas.openxmlformats.org/drawingml/2006/picture">
                <pic:pic>
                  <pic:nvPicPr>
                    <pic:cNvPr id="0" name="03-portal-estudiante-resumen.png"/>
                    <pic:cNvPicPr/>
                  </pic:nvPicPr>
                  <pic:blipFill>
                    <a:blip r:embed="rId14"/>
                    <a:stretch>
                      <a:fillRect/>
                    </a:stretch>
                  </pic:blipFill>
                  <pic:spPr>
                    <a:xfrm>
                      <a:off x="0" y="0"/>
                      <a:ext cx="6217920" cy="1585388"/>
                    </a:xfrm>
                    <a:prstGeom prst="rect"/>
                  </pic:spPr>
                </pic:pic>
              </a:graphicData>
            </a:graphic>
          </wp:inline>
        </w:drawing>
      </w:r>
    </w:p>
    <w:p>
      <w:pPr>
        <w:spacing w:after="80"/>
        <w:jc w:val="center"/>
      </w:pPr>
      <w:r>
        <w:rPr>
          <w:rFonts w:ascii="Arial" w:hAnsi="Arial"/>
          <w:b w:val="0"/>
          <w:color w:val="64758A"/>
          <w:sz w:val="16"/>
        </w:rPr>
        <w:t>Resumen del portal estudiantil con datos ficticios de demostración.</w:t>
      </w:r>
    </w:p>
    <w:p>
      <w:r>
        <w:br w:type="page"/>
      </w:r>
    </w:p>
    <w:p>
      <w:pPr>
        <w:pStyle w:val="Heading1"/>
      </w:pPr>
      <w:r>
        <w:t>4. Becas, solicitudes y depósitos</w:t>
      </w:r>
    </w:p>
    <w:p>
      <w:pPr>
        <w:pStyle w:val="Heading2"/>
      </w:pPr>
      <w:r>
        <w:t>Consultar y solicitar una beca</w:t>
      </w:r>
    </w:p>
    <w:p>
      <w:pPr>
        <w:widowControl/>
        <w:spacing w:after="40"/>
        <w:ind w:left="403" w:hanging="317"/>
      </w:pPr>
      <w:r>
        <w:rPr>
          <w:rFonts w:ascii="Arial" w:hAnsi="Arial"/>
          <w:b w:val="0"/>
          <w:color w:val="182B43"/>
          <w:sz w:val="18"/>
        </w:rPr>
        <w:t>1. Abre Becas y revisa el monto, los requisitos y las fechas de la convocatoria.</w:t>
      </w:r>
    </w:p>
    <w:p>
      <w:pPr>
        <w:widowControl/>
        <w:spacing w:after="40"/>
        <w:ind w:left="403" w:hanging="317"/>
      </w:pPr>
      <w:r>
        <w:rPr>
          <w:rFonts w:ascii="Arial" w:hAnsi="Arial"/>
          <w:b w:val="0"/>
          <w:color w:val="182B43"/>
          <w:sz w:val="18"/>
        </w:rPr>
        <w:t>2. Selecciona Solicitar beca y completa lo que te pida el formulario.</w:t>
      </w:r>
    </w:p>
    <w:p>
      <w:pPr>
        <w:widowControl/>
        <w:spacing w:after="40"/>
        <w:ind w:left="403" w:hanging="317"/>
      </w:pPr>
      <w:r>
        <w:rPr>
          <w:rFonts w:ascii="Arial" w:hAnsi="Arial"/>
          <w:b w:val="0"/>
          <w:color w:val="182B43"/>
          <w:sz w:val="18"/>
        </w:rPr>
        <w:t>3. Si adjuntas un respaldo, usa un archivo PDF, PNG o JPG de hasta 5 MB.</w:t>
      </w:r>
    </w:p>
    <w:p>
      <w:pPr>
        <w:widowControl/>
        <w:spacing w:after="40"/>
        <w:ind w:left="403" w:hanging="317"/>
      </w:pPr>
      <w:r>
        <w:rPr>
          <w:rFonts w:ascii="Arial" w:hAnsi="Arial"/>
          <w:b w:val="0"/>
          <w:color w:val="182B43"/>
          <w:sz w:val="18"/>
        </w:rPr>
        <w:t>4. Envía la solicitud. Su estado inicial es Pendiente; consulta Mis solicitudes para ver cambios y observaciones.</w:t>
      </w:r>
    </w:p>
    <w:p>
      <w:pPr>
        <w:widowControl/>
        <w:spacing w:after="40"/>
        <w:ind w:left="403" w:hanging="317"/>
      </w:pPr>
      <w:r>
        <w:rPr>
          <w:rFonts w:ascii="Arial" w:hAnsi="Arial"/>
          <w:b w:val="0"/>
          <w:color w:val="182B43"/>
          <w:sz w:val="18"/>
        </w:rPr>
        <w:t>5. El sistema no permite mandar dos solicitudes para la misma beca con la misma cuenta.</w:t>
      </w:r>
    </w:p>
    <w:p>
      <w:pPr>
        <w:pStyle w:val="Heading2"/>
      </w:pPr>
      <w:r>
        <w:t>Consultar pagos</w:t>
      </w:r>
    </w:p>
    <w:p>
      <w:pPr>
        <w:widowControl/>
      </w:pPr>
      <w:r>
        <w:rPr>
          <w:rFonts w:ascii="Arial" w:hAnsi="Arial"/>
          <w:b w:val="0"/>
          <w:color w:val="182B43"/>
          <w:sz w:val="18"/>
        </w:rPr>
        <w:t>En Mis pagos aparecen los depósitos que el personal registró para una solicitud aceptada. Si no aparece un depósito esperado, consulta con administración.</w:t>
      </w:r>
    </w:p>
    <w:tbl>
      <w:tblPr>
        <w:tblStyle w:val="TableGrid"/>
        <w:tblW w:type="auto" w:w="0"/>
        <w:tblLook w:firstColumn="1" w:firstRow="1" w:lastColumn="0" w:lastRow="0" w:noHBand="0" w:noVBand="1" w:val="04A0"/>
      </w:tblPr>
      <w:tblGrid>
        <w:gridCol w:w="9893"/>
      </w:tblGrid>
      <w:tr>
        <w:tc>
          <w:tcPr>
            <w:tcW w:type="dxa" w:w="9893"/>
            <w:vAlign w:val="center"/>
            <w:shd w:fill="EAF8F8"/>
            <w:tcMar>
              <w:top w:w="80" w:type="dxa"/>
              <w:start w:w="100" w:type="dxa"/>
              <w:bottom w:w="80" w:type="dxa"/>
              <w:end w:w="100" w:type="dxa"/>
            </w:tcMar>
          </w:tcPr>
          <w:p>
            <w:pPr>
              <w:spacing w:after="0" w:line="245" w:lineRule="auto"/>
            </w:pPr>
            <w:r>
              <w:rPr>
                <w:b/>
              </w:rPr>
            </w:r>
            <w:r>
              <w:rPr>
                <w:rFonts w:ascii="Arial" w:hAnsi="Arial"/>
                <w:b w:val="0"/>
                <w:color w:val="092754"/>
                <w:sz w:val="18"/>
              </w:rPr>
              <w:t>La tarjeta de transferencias no realiza pagos</w:t>
            </w:r>
            <w:r>
              <w:br/>
            </w:r>
            <w:r>
              <w:rPr>
                <w:rFonts w:ascii="Arial" w:hAnsi="Arial"/>
                <w:b w:val="0"/>
                <w:color w:val="092754"/>
                <w:sz w:val="18"/>
              </w:rPr>
              <w:t>La opción se ve deshabilitada. NBU no se conecta a bancos ni envía, recibe o mueve dinero.</w:t>
            </w:r>
          </w:p>
        </w:tc>
      </w:tr>
    </w:tbl>
    <w:p>
      <w:pPr>
        <w:pStyle w:val="Heading2"/>
      </w:pPr>
      <w:r>
        <w:t>Noticias y avisos</w:t>
      </w:r>
    </w:p>
    <w:p>
      <w:pPr>
        <w:widowControl/>
      </w:pPr>
      <w:r>
        <w:rPr>
          <w:rFonts w:ascii="Arial" w:hAnsi="Arial"/>
          <w:b w:val="0"/>
          <w:color w:val="182B43"/>
          <w:sz w:val="18"/>
        </w:rPr>
        <w:t>En Noticias consulta publicaciones y eventos. En Avisos verás los mensajes vinculados a tu cuenta; puedes marcar un aviso como leído.</w:t>
      </w:r>
    </w:p>
    <w:p>
      <w:r>
        <w:br w:type="page"/>
      </w:r>
    </w:p>
    <w:p>
      <w:pPr>
        <w:pStyle w:val="Heading1"/>
      </w:pPr>
      <w:r>
        <w:t>5. Panel para administración</w:t>
      </w:r>
    </w:p>
    <w:p>
      <w:pPr>
        <w:widowControl/>
      </w:pPr>
      <w:r>
        <w:rPr>
          <w:rFonts w:ascii="Arial" w:hAnsi="Arial"/>
          <w:b w:val="0"/>
          <w:color w:val="182B43"/>
          <w:sz w:val="18"/>
        </w:rPr>
        <w:t>El personal puede abrir los módulos desde el panel web o el menú del programa Windows Forms. El programa de escritorio es solo para Windows. El estudiante usa la página web.</w:t>
      </w:r>
    </w:p>
    <w:p>
      <w:pPr>
        <w:spacing w:before="40" w:after="20"/>
        <w:jc w:val="center"/>
      </w:pPr>
      <w:r>
        <w:drawing>
          <wp:inline xmlns:a="http://schemas.openxmlformats.org/drawingml/2006/main" xmlns:pic="http://schemas.openxmlformats.org/drawingml/2006/picture">
            <wp:extent cx="6172200" cy="682064"/>
            <wp:docPr id="5" name="Picture 5" descr="Barra del módulo administrativo de estudiantes: búsqueda y acciones del registro."/>
            <wp:cNvGraphicFramePr>
              <a:graphicFrameLocks noChangeAspect="1"/>
            </wp:cNvGraphicFramePr>
            <a:graphic>
              <a:graphicData uri="http://schemas.openxmlformats.org/drawingml/2006/picture">
                <pic:pic>
                  <pic:nvPicPr>
                    <pic:cNvPr id="0" name="05-estudiantes-controles.png"/>
                    <pic:cNvPicPr/>
                  </pic:nvPicPr>
                  <pic:blipFill>
                    <a:blip r:embed="rId15"/>
                    <a:stretch>
                      <a:fillRect/>
                    </a:stretch>
                  </pic:blipFill>
                  <pic:spPr>
                    <a:xfrm>
                      <a:off x="0" y="0"/>
                      <a:ext cx="6172200" cy="682064"/>
                    </a:xfrm>
                    <a:prstGeom prst="rect"/>
                  </pic:spPr>
                </pic:pic>
              </a:graphicData>
            </a:graphic>
          </wp:inline>
        </w:drawing>
      </w:r>
    </w:p>
    <w:p>
      <w:pPr>
        <w:spacing w:after="80"/>
        <w:jc w:val="center"/>
      </w:pPr>
      <w:r>
        <w:rPr>
          <w:rFonts w:ascii="Arial" w:hAnsi="Arial"/>
          <w:b w:val="0"/>
          <w:color w:val="64758A"/>
          <w:sz w:val="16"/>
        </w:rPr>
        <w:t>Barra del módulo administrativo de estudiantes: búsqueda y acciones del registro.</w:t>
      </w:r>
    </w:p>
    <w:p>
      <w:pPr>
        <w:pStyle w:val="Heading2"/>
      </w:pPr>
      <w:r>
        <w:t>Acciones de los módulos</w:t>
      </w:r>
    </w:p>
    <w:tbl>
      <w:tblPr>
        <w:tblStyle w:val="TableGrid"/>
        <w:tblW w:type="auto" w:w="0"/>
        <w:jc w:val="center"/>
        <w:tblLayout w:type="fixed"/>
        <w:tblLook w:firstColumn="1" w:firstRow="1" w:lastColumn="0" w:lastRow="0" w:noHBand="0" w:noVBand="1" w:val="04A0"/>
      </w:tblPr>
      <w:tblGrid>
        <w:gridCol w:w="1656"/>
        <w:gridCol w:w="8237"/>
      </w:tblGrid>
      <w:tr>
        <w:trPr>
          <w:tblHeader w:val="true"/>
        </w:trPr>
        <w:tc>
          <w:tcPr>
            <w:tcW w:type="dxa" w:w="1656"/>
            <w:vAlign w:val="center"/>
            <w:shd w:fill="092754"/>
            <w:tcMar>
              <w:top w:w="80" w:type="dxa"/>
              <w:start w:w="100" w:type="dxa"/>
              <w:bottom w:w="80" w:type="dxa"/>
              <w:end w:w="100" w:type="dxa"/>
            </w:tcMar>
          </w:tcPr>
          <w:p>
            <w:pPr>
              <w:spacing w:after="0" w:line="245" w:lineRule="auto"/>
            </w:pPr>
            <w:r/>
            <w:r>
              <w:rPr>
                <w:rFonts w:ascii="Arial" w:hAnsi="Arial"/>
                <w:b/>
                <w:color w:val="FFFFFF"/>
                <w:sz w:val="16"/>
              </w:rPr>
              <w:t>Acción</w:t>
            </w:r>
          </w:p>
        </w:tc>
        <w:tc>
          <w:tcPr>
            <w:tcW w:type="dxa" w:w="8237"/>
            <w:vAlign w:val="center"/>
            <w:shd w:fill="092754"/>
            <w:tcMar>
              <w:top w:w="80" w:type="dxa"/>
              <w:start w:w="100" w:type="dxa"/>
              <w:bottom w:w="80" w:type="dxa"/>
              <w:end w:w="100" w:type="dxa"/>
            </w:tcMar>
          </w:tcPr>
          <w:p>
            <w:pPr>
              <w:spacing w:after="0" w:line="245" w:lineRule="auto"/>
            </w:pPr>
            <w:r/>
            <w:r>
              <w:rPr>
                <w:rFonts w:ascii="Arial" w:hAnsi="Arial"/>
                <w:b/>
                <w:color w:val="FFFFFF"/>
                <w:sz w:val="16"/>
              </w:rPr>
              <w:t>Cómo usarla</w:t>
            </w:r>
          </w:p>
        </w:tc>
      </w:tr>
      <w:tr>
        <w:tc>
          <w:tcPr>
            <w:tcW w:type="dxa" w:w="1656"/>
            <w:vAlign w:val="center"/>
            <w:shd w:fill="EFF5FA"/>
            <w:tcMar>
              <w:top w:w="80" w:type="dxa"/>
              <w:start w:w="100" w:type="dxa"/>
              <w:bottom w:w="80" w:type="dxa"/>
              <w:end w:w="100" w:type="dxa"/>
            </w:tcMar>
          </w:tcPr>
          <w:p>
            <w:pPr>
              <w:spacing w:after="0" w:line="245" w:lineRule="auto"/>
            </w:pPr>
            <w:r/>
            <w:r>
              <w:rPr>
                <w:rFonts w:ascii="Arial" w:hAnsi="Arial"/>
                <w:b/>
                <w:color w:val="182B43"/>
                <w:sz w:val="16"/>
              </w:rPr>
              <w:t>Listar</w:t>
            </w:r>
          </w:p>
        </w:tc>
        <w:tc>
          <w:tcPr>
            <w:tcW w:type="dxa" w:w="8237"/>
            <w:vAlign w:val="center"/>
            <w:shd w:fill="EFF5FA"/>
            <w:tcMar>
              <w:top w:w="80" w:type="dxa"/>
              <w:start w:w="100" w:type="dxa"/>
              <w:bottom w:w="80" w:type="dxa"/>
              <w:end w:w="100" w:type="dxa"/>
            </w:tcMar>
          </w:tcPr>
          <w:p>
            <w:pPr>
              <w:spacing w:after="0" w:line="245" w:lineRule="auto"/>
            </w:pPr>
            <w:r/>
            <w:r>
              <w:rPr>
                <w:rFonts w:ascii="Arial" w:hAnsi="Arial"/>
                <w:b w:val="0"/>
                <w:color w:val="182B43"/>
                <w:sz w:val="16"/>
              </w:rPr>
              <w:t>Abre el módulo para ver los registros.</w:t>
            </w:r>
          </w:p>
        </w:tc>
      </w:tr>
      <w:tr>
        <w:tc>
          <w:tcPr>
            <w:tcW w:type="dxa" w:w="1656"/>
            <w:vAlign w:val="center"/>
            <w:shd w:fill="FFFFFF"/>
            <w:tcMar>
              <w:top w:w="80" w:type="dxa"/>
              <w:start w:w="100" w:type="dxa"/>
              <w:bottom w:w="80" w:type="dxa"/>
              <w:end w:w="100" w:type="dxa"/>
            </w:tcMar>
          </w:tcPr>
          <w:p>
            <w:pPr>
              <w:spacing w:after="0" w:line="245" w:lineRule="auto"/>
            </w:pPr>
            <w:r/>
            <w:r>
              <w:rPr>
                <w:rFonts w:ascii="Arial" w:hAnsi="Arial"/>
                <w:b/>
                <w:color w:val="182B43"/>
                <w:sz w:val="16"/>
              </w:rPr>
              <w:t>Buscar</w:t>
            </w:r>
          </w:p>
        </w:tc>
        <w:tc>
          <w:tcPr>
            <w:tcW w:type="dxa" w:w="8237"/>
            <w:vAlign w:val="center"/>
            <w:shd w:fill="FFFFFF"/>
            <w:tcMar>
              <w:top w:w="80" w:type="dxa"/>
              <w:start w:w="100" w:type="dxa"/>
              <w:bottom w:w="80" w:type="dxa"/>
              <w:end w:w="100" w:type="dxa"/>
            </w:tcMar>
          </w:tcPr>
          <w:p>
            <w:pPr>
              <w:spacing w:after="0" w:line="245" w:lineRule="auto"/>
            </w:pPr>
            <w:r/>
            <w:r>
              <w:rPr>
                <w:rFonts w:ascii="Arial" w:hAnsi="Arial"/>
                <w:b w:val="0"/>
                <w:color w:val="182B43"/>
                <w:sz w:val="16"/>
              </w:rPr>
              <w:t>Escribe parte del nombre, correo o código y presiona Buscar.</w:t>
            </w:r>
          </w:p>
        </w:tc>
      </w:tr>
      <w:tr>
        <w:tc>
          <w:tcPr>
            <w:tcW w:type="dxa" w:w="1656"/>
            <w:vAlign w:val="center"/>
            <w:shd w:fill="EFF5FA"/>
            <w:tcMar>
              <w:top w:w="80" w:type="dxa"/>
              <w:start w:w="100" w:type="dxa"/>
              <w:bottom w:w="80" w:type="dxa"/>
              <w:end w:w="100" w:type="dxa"/>
            </w:tcMar>
          </w:tcPr>
          <w:p>
            <w:pPr>
              <w:spacing w:after="0" w:line="245" w:lineRule="auto"/>
            </w:pPr>
            <w:r/>
            <w:r>
              <w:rPr>
                <w:rFonts w:ascii="Arial" w:hAnsi="Arial"/>
                <w:b/>
                <w:color w:val="182B43"/>
                <w:sz w:val="16"/>
              </w:rPr>
              <w:t>Crear</w:t>
            </w:r>
          </w:p>
        </w:tc>
        <w:tc>
          <w:tcPr>
            <w:tcW w:type="dxa" w:w="8237"/>
            <w:vAlign w:val="center"/>
            <w:shd w:fill="EFF5FA"/>
            <w:tcMar>
              <w:top w:w="80" w:type="dxa"/>
              <w:start w:w="100" w:type="dxa"/>
              <w:bottom w:w="80" w:type="dxa"/>
              <w:end w:w="100" w:type="dxa"/>
            </w:tcMar>
          </w:tcPr>
          <w:p>
            <w:pPr>
              <w:spacing w:after="0" w:line="245" w:lineRule="auto"/>
            </w:pPr>
            <w:r/>
            <w:r>
              <w:rPr>
                <w:rFonts w:ascii="Arial" w:hAnsi="Arial"/>
                <w:b w:val="0"/>
                <w:color w:val="182B43"/>
                <w:sz w:val="16"/>
              </w:rPr>
              <w:t>Presiona Nuevo, completa los datos y guarda.</w:t>
            </w:r>
          </w:p>
        </w:tc>
      </w:tr>
      <w:tr>
        <w:tc>
          <w:tcPr>
            <w:tcW w:type="dxa" w:w="1656"/>
            <w:vAlign w:val="center"/>
            <w:shd w:fill="FFFFFF"/>
            <w:tcMar>
              <w:top w:w="80" w:type="dxa"/>
              <w:start w:w="100" w:type="dxa"/>
              <w:bottom w:w="80" w:type="dxa"/>
              <w:end w:w="100" w:type="dxa"/>
            </w:tcMar>
          </w:tcPr>
          <w:p>
            <w:pPr>
              <w:spacing w:after="0" w:line="245" w:lineRule="auto"/>
            </w:pPr>
            <w:r/>
            <w:r>
              <w:rPr>
                <w:rFonts w:ascii="Arial" w:hAnsi="Arial"/>
                <w:b/>
                <w:color w:val="182B43"/>
                <w:sz w:val="16"/>
              </w:rPr>
              <w:t>Editar</w:t>
            </w:r>
          </w:p>
        </w:tc>
        <w:tc>
          <w:tcPr>
            <w:tcW w:type="dxa" w:w="8237"/>
            <w:vAlign w:val="center"/>
            <w:shd w:fill="FFFFFF"/>
            <w:tcMar>
              <w:top w:w="80" w:type="dxa"/>
              <w:start w:w="100" w:type="dxa"/>
              <w:bottom w:w="80" w:type="dxa"/>
              <w:end w:w="100" w:type="dxa"/>
            </w:tcMar>
          </w:tcPr>
          <w:p>
            <w:pPr>
              <w:spacing w:after="0" w:line="245" w:lineRule="auto"/>
            </w:pPr>
            <w:r/>
            <w:r>
              <w:rPr>
                <w:rFonts w:ascii="Arial" w:hAnsi="Arial"/>
                <w:b w:val="0"/>
                <w:color w:val="182B43"/>
                <w:sz w:val="16"/>
              </w:rPr>
              <w:t>Selecciona el registro, cambia la información y guarda.</w:t>
            </w:r>
          </w:p>
        </w:tc>
      </w:tr>
      <w:tr>
        <w:tc>
          <w:tcPr>
            <w:tcW w:type="dxa" w:w="1656"/>
            <w:vAlign w:val="center"/>
            <w:shd w:fill="EFF5FA"/>
            <w:tcMar>
              <w:top w:w="80" w:type="dxa"/>
              <w:start w:w="100" w:type="dxa"/>
              <w:bottom w:w="80" w:type="dxa"/>
              <w:end w:w="100" w:type="dxa"/>
            </w:tcMar>
          </w:tcPr>
          <w:p>
            <w:pPr>
              <w:spacing w:after="0" w:line="245" w:lineRule="auto"/>
            </w:pPr>
            <w:r/>
            <w:r>
              <w:rPr>
                <w:rFonts w:ascii="Arial" w:hAnsi="Arial"/>
                <w:b/>
                <w:color w:val="182B43"/>
                <w:sz w:val="16"/>
              </w:rPr>
              <w:t>Eliminar</w:t>
            </w:r>
          </w:p>
        </w:tc>
        <w:tc>
          <w:tcPr>
            <w:tcW w:type="dxa" w:w="8237"/>
            <w:vAlign w:val="center"/>
            <w:shd w:fill="EFF5FA"/>
            <w:tcMar>
              <w:top w:w="80" w:type="dxa"/>
              <w:start w:w="100" w:type="dxa"/>
              <w:bottom w:w="80" w:type="dxa"/>
              <w:end w:w="100" w:type="dxa"/>
            </w:tcMar>
          </w:tcPr>
          <w:p>
            <w:pPr>
              <w:spacing w:after="0" w:line="245" w:lineRule="auto"/>
            </w:pPr>
            <w:r/>
            <w:r>
              <w:rPr>
                <w:rFonts w:ascii="Arial" w:hAnsi="Arial"/>
                <w:b w:val="0"/>
                <w:color w:val="182B43"/>
                <w:sz w:val="16"/>
              </w:rPr>
              <w:t>Selecciona Eliminar y confirma. Algunos datos no se borran si tienen información relacionada.</w:t>
            </w:r>
          </w:p>
        </w:tc>
      </w:tr>
    </w:tbl>
    <w:p>
      <w:pPr>
        <w:widowControl/>
      </w:pPr>
      <w:r>
        <w:rPr>
          <w:rFonts w:ascii="Arial" w:hAnsi="Arial"/>
          <w:b w:val="0"/>
          <w:color w:val="182B43"/>
          <w:sz w:val="18"/>
        </w:rPr>
        <w:t>Los módulos principales son Estudiantes, Becas y solicitudes, Pagos, y Noticias y eventos. Avisos/notificaciones apoyan esas funciones.</w:t>
      </w:r>
    </w:p>
    <w:p>
      <w:r>
        <w:br w:type="page"/>
      </w:r>
    </w:p>
    <w:p>
      <w:pPr>
        <w:pStyle w:val="Heading1"/>
      </w:pPr>
      <w:r>
        <w:t>6. Aprobar o rechazar registros nuevos</w:t>
      </w:r>
    </w:p>
    <w:p>
      <w:pPr>
        <w:widowControl/>
      </w:pPr>
      <w:r>
        <w:rPr>
          <w:rFonts w:ascii="Arial" w:hAnsi="Arial"/>
          <w:b w:val="0"/>
          <w:color w:val="182B43"/>
          <w:sz w:val="18"/>
        </w:rPr>
        <w:t>Los registros del sitio no se mezclan con la lista de estudiantes activos. En el menú de administración, abre Registros pendientes.</w:t>
      </w:r>
    </w:p>
    <w:p>
      <w:pPr>
        <w:widowControl/>
        <w:spacing w:after="40"/>
        <w:ind w:left="403" w:hanging="317"/>
      </w:pPr>
      <w:r>
        <w:rPr>
          <w:rFonts w:ascii="Arial" w:hAnsi="Arial"/>
          <w:b w:val="0"/>
          <w:color w:val="182B43"/>
          <w:sz w:val="18"/>
        </w:rPr>
        <w:t>1. Revisa la solicitud nueva y los datos que la persona escribió.</w:t>
      </w:r>
    </w:p>
    <w:p>
      <w:pPr>
        <w:widowControl/>
        <w:spacing w:after="40"/>
        <w:ind w:left="403" w:hanging="317"/>
      </w:pPr>
      <w:r>
        <w:rPr>
          <w:rFonts w:ascii="Arial" w:hAnsi="Arial"/>
          <w:b w:val="0"/>
          <w:color w:val="182B43"/>
          <w:sz w:val="18"/>
        </w:rPr>
        <w:t>2. Selecciona Aceptar para activar su acceso. Entonces podrá iniciar sesión en el portal.</w:t>
      </w:r>
    </w:p>
    <w:p>
      <w:pPr>
        <w:widowControl/>
        <w:spacing w:after="40"/>
        <w:ind w:left="403" w:hanging="317"/>
      </w:pPr>
      <w:r>
        <w:rPr>
          <w:rFonts w:ascii="Arial" w:hAnsi="Arial"/>
          <w:b w:val="0"/>
          <w:color w:val="182B43"/>
          <w:sz w:val="18"/>
        </w:rPr>
        <w:t>3. Selecciona Rechazar si hace falta corregir algo y escribe el motivo.</w:t>
      </w:r>
    </w:p>
    <w:p>
      <w:pPr>
        <w:widowControl/>
        <w:spacing w:after="40"/>
        <w:ind w:left="403" w:hanging="317"/>
      </w:pPr>
      <w:r>
        <w:rPr>
          <w:rFonts w:ascii="Arial" w:hAnsi="Arial"/>
          <w:b w:val="0"/>
          <w:color w:val="182B43"/>
          <w:sz w:val="18"/>
        </w:rPr>
        <w:t>4. La persona podrá corregir su registro y volverlo a enviar; su acceso quedará pendiente de nuevo hasta la revisión.</w:t>
      </w:r>
    </w:p>
    <w:p>
      <w:pPr>
        <w:widowControl/>
      </w:pPr>
      <w:r>
        <w:rPr>
          <w:rFonts w:ascii="Arial" w:hAnsi="Arial"/>
          <w:b w:val="0"/>
          <w:color w:val="182B43"/>
          <w:sz w:val="18"/>
        </w:rPr>
        <w:t>Esta bandeja está disponible desde el panel web y desde el menú Registros pendientes de Windows Forms. Una cuenta estudiante no puede abrir herramientas administrativas.</w:t>
      </w:r>
    </w:p>
    <w:tbl>
      <w:tblPr>
        <w:tblStyle w:val="TableGrid"/>
        <w:tblW w:type="auto" w:w="0"/>
        <w:tblLook w:firstColumn="1" w:firstRow="1" w:lastColumn="0" w:lastRow="0" w:noHBand="0" w:noVBand="1" w:val="04A0"/>
      </w:tblPr>
      <w:tblGrid>
        <w:gridCol w:w="9893"/>
      </w:tblGrid>
      <w:tr>
        <w:tc>
          <w:tcPr>
            <w:tcW w:type="dxa" w:w="9893"/>
            <w:vAlign w:val="center"/>
            <w:shd w:fill="EAF8F8"/>
            <w:tcMar>
              <w:top w:w="80" w:type="dxa"/>
              <w:start w:w="100" w:type="dxa"/>
              <w:bottom w:w="80" w:type="dxa"/>
              <w:end w:w="100" w:type="dxa"/>
            </w:tcMar>
          </w:tcPr>
          <w:p>
            <w:pPr>
              <w:spacing w:after="0" w:line="245" w:lineRule="auto"/>
            </w:pPr>
            <w:r>
              <w:rPr>
                <w:b/>
              </w:rPr>
            </w:r>
            <w:r>
              <w:rPr>
                <w:rFonts w:ascii="Arial" w:hAnsi="Arial"/>
                <w:b w:val="0"/>
                <w:color w:val="092754"/>
                <w:sz w:val="18"/>
              </w:rPr>
              <w:t>Si un estudiante dice que no puede iniciar sesión</w:t>
            </w:r>
            <w:r>
              <w:br/>
            </w:r>
            <w:r>
              <w:rPr>
                <w:rFonts w:ascii="Arial" w:hAnsi="Arial"/>
                <w:b w:val="0"/>
                <w:color w:val="092754"/>
                <w:sz w:val="18"/>
              </w:rPr>
              <w:t>Revisa primero que su registro esté Aceptado. Mientras esté Pendiente, el portal muestra que administración debe revisar el registro.</w:t>
            </w:r>
          </w:p>
        </w:tc>
      </w:tr>
    </w:tbl>
    <w:p>
      <w:pPr>
        <w:pStyle w:val="Heading1"/>
      </w:pPr>
      <w:r>
        <w:t>7. Iniciar el sitio y el programa en la computadora</w:t>
      </w:r>
    </w:p>
    <w:p>
      <w:pPr>
        <w:widowControl/>
      </w:pPr>
      <w:r>
        <w:rPr>
          <w:rFonts w:ascii="Arial" w:hAnsi="Arial"/>
          <w:b w:val="0"/>
          <w:color w:val="182B43"/>
          <w:sz w:val="18"/>
        </w:rPr>
        <w:t>Ambas aplicaciones usan la base NBU en SQL Server. El servicio de SQL Server debe estar iniciado y la configuración debe apuntar a la instancia SQLEXPRESS22.</w:t>
      </w:r>
    </w:p>
    <w:tbl>
      <w:tblPr>
        <w:tblStyle w:val="TableGrid"/>
        <w:tblW w:type="auto" w:w="0"/>
        <w:tblLook w:firstColumn="1" w:firstRow="1" w:lastColumn="0" w:lastRow="0" w:noHBand="0" w:noVBand="1" w:val="04A0"/>
      </w:tblPr>
      <w:tblGrid>
        <w:gridCol w:w="9893"/>
      </w:tblGrid>
      <w:tr>
        <w:tc>
          <w:tcPr>
            <w:tcW w:type="dxa" w:w="9893"/>
            <w:vAlign w:val="center"/>
            <w:shd w:fill="F3F6F8"/>
            <w:tcMar>
              <w:top w:w="80" w:type="dxa"/>
              <w:start w:w="100" w:type="dxa"/>
              <w:bottom w:w="80" w:type="dxa"/>
              <w:end w:w="100" w:type="dxa"/>
            </w:tcMar>
          </w:tcPr>
          <w:p>
            <w:pPr>
              <w:spacing w:after="0" w:line="245" w:lineRule="auto"/>
            </w:pPr>
            <w:r>
              <w:rPr>
                <w:rFonts w:ascii="Consolas" w:hAnsi="Consolas"/>
              </w:rPr>
            </w:r>
            <w:r>
              <w:rPr>
                <w:rFonts w:ascii="Consolas" w:hAnsi="Consolas"/>
                <w:b w:val="0"/>
                <w:color w:val="182B43"/>
                <w:sz w:val="16"/>
              </w:rPr>
              <w:t>dotnet run --project .\NBU.Web\NBU.Web.csproj --urls http://localhost:5221</w:t>
            </w:r>
          </w:p>
        </w:tc>
      </w:tr>
    </w:tbl>
    <w:p>
      <w:pPr>
        <w:widowControl/>
      </w:pPr>
      <w:r>
        <w:rPr>
          <w:rFonts w:ascii="Arial" w:hAnsi="Arial"/>
          <w:b w:val="0"/>
          <w:color w:val="182B43"/>
          <w:sz w:val="18"/>
        </w:rPr>
        <w:t>Abre http://localhost:5221 en la computadora. Para el escritorio, desde la raíz del proyecto abre:</w:t>
      </w:r>
    </w:p>
    <w:tbl>
      <w:tblPr>
        <w:tblStyle w:val="TableGrid"/>
        <w:tblW w:type="auto" w:w="0"/>
        <w:tblLook w:firstColumn="1" w:firstRow="1" w:lastColumn="0" w:lastRow="0" w:noHBand="0" w:noVBand="1" w:val="04A0"/>
      </w:tblPr>
      <w:tblGrid>
        <w:gridCol w:w="9893"/>
      </w:tblGrid>
      <w:tr>
        <w:tc>
          <w:tcPr>
            <w:tcW w:type="dxa" w:w="9893"/>
            <w:vAlign w:val="center"/>
            <w:shd w:fill="F3F6F8"/>
            <w:tcMar>
              <w:top w:w="80" w:type="dxa"/>
              <w:start w:w="100" w:type="dxa"/>
              <w:bottom w:w="80" w:type="dxa"/>
              <w:end w:w="100" w:type="dxa"/>
            </w:tcMar>
          </w:tcPr>
          <w:p>
            <w:pPr>
              <w:spacing w:after="0" w:line="245" w:lineRule="auto"/>
            </w:pPr>
            <w:r>
              <w:rPr>
                <w:rFonts w:ascii="Consolas" w:hAnsi="Consolas"/>
              </w:rPr>
            </w:r>
            <w:r>
              <w:rPr>
                <w:rFonts w:ascii="Consolas" w:hAnsi="Consolas"/>
                <w:b w:val="0"/>
                <w:color w:val="182B43"/>
                <w:sz w:val="16"/>
              </w:rPr>
              <w:t>.\entregables\escritorio\NBU.Desktop.exe</w:t>
            </w:r>
          </w:p>
        </w:tc>
      </w:tr>
    </w:tbl>
    <w:p>
      <w:pPr>
        <w:widowControl/>
      </w:pPr>
      <w:r>
        <w:rPr>
          <w:rFonts w:ascii="Arial" w:hAnsi="Arial"/>
          <w:b w:val="0"/>
          <w:color w:val="182B43"/>
          <w:sz w:val="18"/>
        </w:rPr>
        <w:t>El ejecutable está en la carpeta entregables/escritorio y necesita que se conserven sus archivos appsettings.json y nbu-mark.png en la misma carpeta.</w:t>
      </w:r>
    </w:p>
    <w:p>
      <w:r>
        <w:br w:type="page"/>
      </w:r>
    </w:p>
    <w:p>
      <w:pPr>
        <w:pStyle w:val="Heading1"/>
      </w:pPr>
      <w:r>
        <w:t>8. Abrir la página desde otros celulares del mismo Wi-Fi</w:t>
      </w:r>
    </w:p>
    <w:p>
      <w:pPr>
        <w:widowControl/>
        <w:spacing w:after="40"/>
        <w:ind w:left="403" w:hanging="317"/>
      </w:pPr>
      <w:r>
        <w:rPr>
          <w:rFonts w:ascii="Arial" w:hAnsi="Arial"/>
          <w:b w:val="0"/>
          <w:color w:val="182B43"/>
          <w:sz w:val="18"/>
        </w:rPr>
        <w:t>1. Conecta la computadora y los celulares a la misma red Wi-Fi.</w:t>
      </w:r>
    </w:p>
    <w:p>
      <w:pPr>
        <w:widowControl/>
        <w:spacing w:after="40"/>
        <w:ind w:left="403" w:hanging="317"/>
      </w:pPr>
      <w:r>
        <w:rPr>
          <w:rFonts w:ascii="Arial" w:hAnsi="Arial"/>
          <w:b w:val="0"/>
          <w:color w:val="182B43"/>
          <w:sz w:val="18"/>
        </w:rPr>
        <w:t>2. Inicia SQL Server y luego inicia el servidor web con la dirección de escucha de la red local.</w:t>
      </w:r>
    </w:p>
    <w:p>
      <w:pPr>
        <w:widowControl/>
        <w:spacing w:after="40"/>
        <w:ind w:left="403" w:hanging="317"/>
      </w:pPr>
      <w:r>
        <w:rPr>
          <w:rFonts w:ascii="Arial" w:hAnsi="Arial"/>
          <w:b w:val="0"/>
          <w:color w:val="182B43"/>
          <w:sz w:val="18"/>
        </w:rPr>
        <w:t>3. En PowerShell usa: dotnet run --project .\NBU.Web\NBU.Web.csproj --urls http://0.0.0.0:5221</w:t>
      </w:r>
    </w:p>
    <w:p>
      <w:pPr>
        <w:widowControl/>
        <w:spacing w:after="40"/>
        <w:ind w:left="403" w:hanging="317"/>
      </w:pPr>
      <w:r>
        <w:rPr>
          <w:rFonts w:ascii="Arial" w:hAnsi="Arial"/>
          <w:b w:val="0"/>
          <w:color w:val="182B43"/>
          <w:sz w:val="18"/>
        </w:rPr>
        <w:t>4. En la computadora ejecuta ipconfig y anota su Dirección IPv4 del adaptador Wi-Fi.</w:t>
      </w:r>
    </w:p>
    <w:p>
      <w:pPr>
        <w:widowControl/>
        <w:spacing w:after="40"/>
        <w:ind w:left="403" w:hanging="317"/>
      </w:pPr>
      <w:r>
        <w:rPr>
          <w:rFonts w:ascii="Arial" w:hAnsi="Arial"/>
          <w:b w:val="0"/>
          <w:color w:val="182B43"/>
          <w:sz w:val="18"/>
        </w:rPr>
        <w:t>5. En el celular abre http://DIRECCION-IPv4:5221, reemplazando DIRECCION-IPv4 por el número mostrado en la computadora.</w:t>
      </w:r>
    </w:p>
    <w:tbl>
      <w:tblPr>
        <w:tblStyle w:val="TableGrid"/>
        <w:tblW w:type="auto" w:w="0"/>
        <w:tblLook w:firstColumn="1" w:firstRow="1" w:lastColumn="0" w:lastRow="0" w:noHBand="0" w:noVBand="1" w:val="04A0"/>
      </w:tblPr>
      <w:tblGrid>
        <w:gridCol w:w="9893"/>
      </w:tblGrid>
      <w:tr>
        <w:tc>
          <w:tcPr>
            <w:tcW w:type="dxa" w:w="9893"/>
            <w:vAlign w:val="center"/>
            <w:shd w:fill="EAF8F8"/>
            <w:tcMar>
              <w:top w:w="80" w:type="dxa"/>
              <w:start w:w="100" w:type="dxa"/>
              <w:bottom w:w="80" w:type="dxa"/>
              <w:end w:w="100" w:type="dxa"/>
            </w:tcMar>
          </w:tcPr>
          <w:p>
            <w:pPr>
              <w:spacing w:after="0" w:line="245" w:lineRule="auto"/>
            </w:pPr>
            <w:r>
              <w:rPr>
                <w:b/>
              </w:rPr>
            </w:r>
            <w:r>
              <w:rPr>
                <w:rFonts w:ascii="Arial" w:hAnsi="Arial"/>
                <w:b w:val="0"/>
                <w:color w:val="092754"/>
                <w:sz w:val="18"/>
              </w:rPr>
              <w:t>La computadora debe quedarse encendida</w:t>
            </w:r>
            <w:r>
              <w:br/>
            </w:r>
            <w:r>
              <w:rPr>
                <w:rFonts w:ascii="Arial" w:hAnsi="Arial"/>
                <w:b w:val="0"/>
                <w:color w:val="092754"/>
                <w:sz w:val="18"/>
              </w:rPr>
              <w:t>Esto sirve dentro de la misma red local. localhost en un teléfono se refiere al teléfono. Para acceso desde otra ciudad habría que publicar el sitio en un servidor de internet.</w:t>
            </w:r>
          </w:p>
        </w:tc>
      </w:tr>
    </w:tbl>
    <w:p>
      <w:pPr>
        <w:pStyle w:val="Heading1"/>
      </w:pPr>
      <w:r>
        <w:t>9. Ayuda rápida</w:t>
      </w:r>
    </w:p>
    <w:tbl>
      <w:tblPr>
        <w:tblStyle w:val="TableGrid"/>
        <w:tblW w:type="auto" w:w="0"/>
        <w:jc w:val="center"/>
        <w:tblLayout w:type="fixed"/>
        <w:tblLook w:firstColumn="1" w:firstRow="1" w:lastColumn="0" w:lastRow="0" w:noHBand="0" w:noVBand="1" w:val="04A0"/>
      </w:tblPr>
      <w:tblGrid>
        <w:gridCol w:w="3096"/>
        <w:gridCol w:w="6797"/>
      </w:tblGrid>
      <w:tr>
        <w:trPr>
          <w:tblHeader w:val="true"/>
        </w:trPr>
        <w:tc>
          <w:tcPr>
            <w:tcW w:type="dxa" w:w="3096"/>
            <w:vAlign w:val="center"/>
            <w:shd w:fill="092754"/>
            <w:tcMar>
              <w:top w:w="80" w:type="dxa"/>
              <w:start w:w="100" w:type="dxa"/>
              <w:bottom w:w="80" w:type="dxa"/>
              <w:end w:w="100" w:type="dxa"/>
            </w:tcMar>
          </w:tcPr>
          <w:p>
            <w:pPr>
              <w:spacing w:after="0" w:line="245" w:lineRule="auto"/>
            </w:pPr>
            <w:r/>
            <w:r>
              <w:rPr>
                <w:rFonts w:ascii="Arial" w:hAnsi="Arial"/>
                <w:b/>
                <w:color w:val="FFFFFF"/>
                <w:sz w:val="16"/>
              </w:rPr>
              <w:t>Si pasa esto...</w:t>
            </w:r>
          </w:p>
        </w:tc>
        <w:tc>
          <w:tcPr>
            <w:tcW w:type="dxa" w:w="6797"/>
            <w:vAlign w:val="center"/>
            <w:shd w:fill="092754"/>
            <w:tcMar>
              <w:top w:w="80" w:type="dxa"/>
              <w:start w:w="100" w:type="dxa"/>
              <w:bottom w:w="80" w:type="dxa"/>
              <w:end w:w="100" w:type="dxa"/>
            </w:tcMar>
          </w:tcPr>
          <w:p>
            <w:pPr>
              <w:spacing w:after="0" w:line="245" w:lineRule="auto"/>
            </w:pPr>
            <w:r/>
            <w:r>
              <w:rPr>
                <w:rFonts w:ascii="Arial" w:hAnsi="Arial"/>
                <w:b/>
                <w:color w:val="FFFFFF"/>
                <w:sz w:val="16"/>
              </w:rPr>
              <w:t>Prueba esto</w:t>
            </w:r>
          </w:p>
        </w:tc>
      </w:tr>
      <w:tr>
        <w:tc>
          <w:tcPr>
            <w:tcW w:type="dxa" w:w="3096"/>
            <w:vAlign w:val="center"/>
            <w:shd w:fill="EFF5FA"/>
            <w:tcMar>
              <w:top w:w="80" w:type="dxa"/>
              <w:start w:w="100" w:type="dxa"/>
              <w:bottom w:w="80" w:type="dxa"/>
              <w:end w:w="100" w:type="dxa"/>
            </w:tcMar>
          </w:tcPr>
          <w:p>
            <w:pPr>
              <w:spacing w:after="0" w:line="245" w:lineRule="auto"/>
            </w:pPr>
            <w:r/>
            <w:r>
              <w:rPr>
                <w:rFonts w:ascii="Arial" w:hAnsi="Arial"/>
                <w:b/>
                <w:color w:val="182B43"/>
                <w:sz w:val="16"/>
              </w:rPr>
              <w:t>La página dice que rechazó la conexión</w:t>
            </w:r>
          </w:p>
        </w:tc>
        <w:tc>
          <w:tcPr>
            <w:tcW w:type="dxa" w:w="6797"/>
            <w:vAlign w:val="center"/>
            <w:shd w:fill="EFF5FA"/>
            <w:tcMar>
              <w:top w:w="80" w:type="dxa"/>
              <w:start w:w="100" w:type="dxa"/>
              <w:bottom w:w="80" w:type="dxa"/>
              <w:end w:w="100" w:type="dxa"/>
            </w:tcMar>
          </w:tcPr>
          <w:p>
            <w:pPr>
              <w:spacing w:after="0" w:line="245" w:lineRule="auto"/>
            </w:pPr>
            <w:r/>
            <w:r>
              <w:rPr>
                <w:rFonts w:ascii="Arial" w:hAnsi="Arial"/>
                <w:b w:val="0"/>
                <w:color w:val="182B43"/>
                <w:sz w:val="16"/>
              </w:rPr>
              <w:t>Confirma que la consola web siga abierta, que SQL Server esté iniciado y que uses la dirección y puerto correctos.</w:t>
            </w:r>
          </w:p>
        </w:tc>
      </w:tr>
      <w:tr>
        <w:tc>
          <w:tcPr>
            <w:tcW w:type="dxa" w:w="3096"/>
            <w:vAlign w:val="center"/>
            <w:shd w:fill="FFFFFF"/>
            <w:tcMar>
              <w:top w:w="80" w:type="dxa"/>
              <w:start w:w="100" w:type="dxa"/>
              <w:bottom w:w="80" w:type="dxa"/>
              <w:end w:w="100" w:type="dxa"/>
            </w:tcMar>
          </w:tcPr>
          <w:p>
            <w:pPr>
              <w:spacing w:after="0" w:line="245" w:lineRule="auto"/>
            </w:pPr>
            <w:r/>
            <w:r>
              <w:rPr>
                <w:rFonts w:ascii="Arial" w:hAnsi="Arial"/>
                <w:b/>
                <w:color w:val="182B43"/>
                <w:sz w:val="16"/>
              </w:rPr>
              <w:t>El estudiante sigue como pendiente</w:t>
            </w:r>
          </w:p>
        </w:tc>
        <w:tc>
          <w:tcPr>
            <w:tcW w:type="dxa" w:w="6797"/>
            <w:vAlign w:val="center"/>
            <w:shd w:fill="FFFFFF"/>
            <w:tcMar>
              <w:top w:w="80" w:type="dxa"/>
              <w:start w:w="100" w:type="dxa"/>
              <w:bottom w:w="80" w:type="dxa"/>
              <w:end w:w="100" w:type="dxa"/>
            </w:tcMar>
          </w:tcPr>
          <w:p>
            <w:pPr>
              <w:spacing w:after="0" w:line="245" w:lineRule="auto"/>
            </w:pPr>
            <w:r/>
            <w:r>
              <w:rPr>
                <w:rFonts w:ascii="Arial" w:hAnsi="Arial"/>
                <w:b w:val="0"/>
                <w:color w:val="182B43"/>
                <w:sz w:val="16"/>
              </w:rPr>
              <w:t>Administración debe abrir Registros pendientes y aceptar la solicitud.</w:t>
            </w:r>
          </w:p>
        </w:tc>
      </w:tr>
      <w:tr>
        <w:tc>
          <w:tcPr>
            <w:tcW w:type="dxa" w:w="3096"/>
            <w:vAlign w:val="center"/>
            <w:shd w:fill="EFF5FA"/>
            <w:tcMar>
              <w:top w:w="80" w:type="dxa"/>
              <w:start w:w="100" w:type="dxa"/>
              <w:bottom w:w="80" w:type="dxa"/>
              <w:end w:w="100" w:type="dxa"/>
            </w:tcMar>
          </w:tcPr>
          <w:p>
            <w:pPr>
              <w:spacing w:after="0" w:line="245" w:lineRule="auto"/>
            </w:pPr>
            <w:r/>
            <w:r>
              <w:rPr>
                <w:rFonts w:ascii="Arial" w:hAnsi="Arial"/>
                <w:b/>
                <w:color w:val="182B43"/>
                <w:sz w:val="16"/>
              </w:rPr>
              <w:t>No puedo adjuntar el archivo</w:t>
            </w:r>
          </w:p>
        </w:tc>
        <w:tc>
          <w:tcPr>
            <w:tcW w:type="dxa" w:w="6797"/>
            <w:vAlign w:val="center"/>
            <w:shd w:fill="EFF5FA"/>
            <w:tcMar>
              <w:top w:w="80" w:type="dxa"/>
              <w:start w:w="100" w:type="dxa"/>
              <w:bottom w:w="80" w:type="dxa"/>
              <w:end w:w="100" w:type="dxa"/>
            </w:tcMar>
          </w:tcPr>
          <w:p>
            <w:pPr>
              <w:spacing w:after="0" w:line="245" w:lineRule="auto"/>
            </w:pPr>
            <w:r/>
            <w:r>
              <w:rPr>
                <w:rFonts w:ascii="Arial" w:hAnsi="Arial"/>
                <w:b w:val="0"/>
                <w:color w:val="182B43"/>
                <w:sz w:val="16"/>
              </w:rPr>
              <w:t>Usa PDF/PNG/JPG y revisa que pese 5 MB o menos.</w:t>
            </w:r>
          </w:p>
        </w:tc>
      </w:tr>
      <w:tr>
        <w:tc>
          <w:tcPr>
            <w:tcW w:type="dxa" w:w="3096"/>
            <w:vAlign w:val="center"/>
            <w:shd w:fill="FFFFFF"/>
            <w:tcMar>
              <w:top w:w="80" w:type="dxa"/>
              <w:start w:w="100" w:type="dxa"/>
              <w:bottom w:w="80" w:type="dxa"/>
              <w:end w:w="100" w:type="dxa"/>
            </w:tcMar>
          </w:tcPr>
          <w:p>
            <w:pPr>
              <w:spacing w:after="0" w:line="245" w:lineRule="auto"/>
            </w:pPr>
            <w:r/>
            <w:r>
              <w:rPr>
                <w:rFonts w:ascii="Arial" w:hAnsi="Arial"/>
                <w:b/>
                <w:color w:val="182B43"/>
                <w:sz w:val="16"/>
              </w:rPr>
              <w:t>No puedo borrar un registro</w:t>
            </w:r>
          </w:p>
        </w:tc>
        <w:tc>
          <w:tcPr>
            <w:tcW w:type="dxa" w:w="6797"/>
            <w:vAlign w:val="center"/>
            <w:shd w:fill="FFFFFF"/>
            <w:tcMar>
              <w:top w:w="80" w:type="dxa"/>
              <w:start w:w="100" w:type="dxa"/>
              <w:bottom w:w="80" w:type="dxa"/>
              <w:end w:w="100" w:type="dxa"/>
            </w:tcMar>
          </w:tcPr>
          <w:p>
            <w:pPr>
              <w:spacing w:after="0" w:line="245" w:lineRule="auto"/>
            </w:pPr>
            <w:r/>
            <w:r>
              <w:rPr>
                <w:rFonts w:ascii="Arial" w:hAnsi="Arial"/>
                <w:b w:val="0"/>
                <w:color w:val="182B43"/>
                <w:sz w:val="16"/>
              </w:rPr>
              <w:t>Puede haber solicitudes, pagos o avisos relacionados.</w:t>
            </w:r>
          </w:p>
        </w:tc>
      </w:tr>
      <w:tr>
        <w:tc>
          <w:tcPr>
            <w:tcW w:type="dxa" w:w="3096"/>
            <w:vAlign w:val="center"/>
            <w:shd w:fill="EFF5FA"/>
            <w:tcMar>
              <w:top w:w="80" w:type="dxa"/>
              <w:start w:w="100" w:type="dxa"/>
              <w:bottom w:w="80" w:type="dxa"/>
              <w:end w:w="100" w:type="dxa"/>
            </w:tcMar>
          </w:tcPr>
          <w:p>
            <w:pPr>
              <w:spacing w:after="0" w:line="245" w:lineRule="auto"/>
            </w:pPr>
            <w:r/>
            <w:r>
              <w:rPr>
                <w:rFonts w:ascii="Arial" w:hAnsi="Arial"/>
                <w:b/>
                <w:color w:val="182B43"/>
                <w:sz w:val="16"/>
              </w:rPr>
              <w:t>No aparece una transferencia</w:t>
            </w:r>
          </w:p>
        </w:tc>
        <w:tc>
          <w:tcPr>
            <w:tcW w:type="dxa" w:w="6797"/>
            <w:vAlign w:val="center"/>
            <w:shd w:fill="EFF5FA"/>
            <w:tcMar>
              <w:top w:w="80" w:type="dxa"/>
              <w:start w:w="100" w:type="dxa"/>
              <w:bottom w:w="80" w:type="dxa"/>
              <w:end w:w="100" w:type="dxa"/>
            </w:tcMar>
          </w:tcPr>
          <w:p>
            <w:pPr>
              <w:spacing w:after="0" w:line="245" w:lineRule="auto"/>
            </w:pPr>
            <w:r/>
            <w:r>
              <w:rPr>
                <w:rFonts w:ascii="Arial" w:hAnsi="Arial"/>
                <w:b w:val="0"/>
                <w:color w:val="182B43"/>
                <w:sz w:val="16"/>
              </w:rPr>
              <w:t>NBU solo muestra depósitos que administración ya registró; no procesa transferencias bancarias.</w:t>
            </w:r>
          </w:p>
        </w:tc>
      </w:tr>
    </w:tbl>
    <w:p>
      <w:pPr>
        <w:widowControl/>
      </w:pPr>
      <w:r>
        <w:rPr>
          <w:rFonts w:ascii="Arial" w:hAnsi="Arial"/>
          <w:b w:val="0"/>
          <w:color w:val="805B18"/>
          <w:sz w:val="17"/>
        </w:rPr>
        <w:t>Las cuentas y datos demo son de prueba. No uses credenciales ficticias ni información real de estudiantes en una publicación pública.</w:t>
      </w:r>
    </w:p>
    <w:sectPr w:rsidR="00FC693F" w:rsidRPr="0006063C" w:rsidSect="00034616">
      <w:headerReference w:type="default" r:id="rId9"/>
      <w:footerReference w:type="default" r:id="rId10"/>
      <w:pgSz w:w="11909" w:h="16834"/>
      <w:pgMar w:top="979" w:right="1008" w:bottom="922"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color w:val="64758A"/>
        <w:sz w:val="16"/>
      </w:rPr>
      <w:t xml:space="preserve">Tu esfuerzo abre oportunidades  ·  Grupo INS-1111  ·  </w:t>
    </w:r>
    <w:r>
      <w:rPr>
        <w:rFonts w:ascii="Arial" w:hAnsi="Arial"/>
        <w:b w:val="0"/>
        <w:color w:val="64758A"/>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092754"/>
        <w:sz w:val="16"/>
      </w:rPr>
      <w:t>NBU  ·  NICARAGUA BECAS UNIVERSITARIAS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color w:val="182B43"/>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092754"/>
      <w:sz w:val="31"/>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1267AD"/>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Arial" w:hAnsi="Arial"/>
      <w:b/>
      <w:color w:val="092754"/>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