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rPr>
          <w:rFonts w:ascii="Arial" w:hAnsi="Arial"/>
          <w:b/>
          <w:color w:val="000000"/>
          <w:sz w:val="50"/>
        </w:rPr>
        <w:t>Documentación técnica NBU</w:t>
      </w:r>
    </w:p>
    <w:p>
      <w:pPr>
        <w:spacing w:after="200"/>
      </w:pPr>
      <w:r>
        <w:rPr>
          <w:rFonts w:ascii="Arial" w:hAnsi="Arial"/>
          <w:color w:val="64758A"/>
          <w:sz w:val="21"/>
        </w:rPr>
        <w:t>Arquitectura, base de datos, seguridad y ejecución del sistema</w:t>
      </w:r>
    </w:p>
    <w:p>
      <w:pPr>
        <w:pStyle w:val="Heading1"/>
      </w:pPr>
      <w:r>
        <w:t>1. Propósito y alcance</w:t>
      </w:r>
    </w:p>
    <w:p>
      <w:pPr>
        <w:widowControl/>
      </w:pPr>
      <w:r>
        <w:rPr>
          <w:rFonts w:ascii="Arial" w:hAnsi="Arial"/>
          <w:color w:val="182B43"/>
        </w:rPr>
        <w:t>NBU es un sistema académico para administrar becas universitarias y ofrecer a cada estudiante una vista privada de sus solicitudes, depósitos, noticias y notificaciones. La solución tiene dos programas .NET 8 que comparten SQL Server: un sitio ASP.NET Core MVC y una aplicación de escritorio Windows Forms.</w:t>
      </w:r>
    </w:p>
    <w:p>
      <w:pPr>
        <w:widowControl/>
      </w:pPr>
      <w:r>
        <w:rPr>
          <w:rFonts w:ascii="Arial" w:hAnsi="Arial"/>
          <w:color w:val="182B43"/>
        </w:rPr>
        <w:t>El personal administra cuatro módulos con operaciones CRUD. El estudiante puede consultar convocatorias abiertas, enviar una solicitud y consultar únicamente los registros asociados a su cuenta.</w:t>
      </w:r>
    </w:p>
    <w:p>
      <w:pPr>
        <w:pStyle w:val="Heading1"/>
      </w:pPr>
      <w:r>
        <w:t>2. Arquitectura de la solución</w:t>
      </w:r>
    </w:p>
    <w:tbl>
      <w:tblPr>
        <w:tblW w:type="auto" w:w="0"/>
        <w:jc w:val="center"/>
        <w:tblLayout w:type="fixed"/>
        <w:tblLook w:firstColumn="1" w:firstRow="1" w:lastColumn="0" w:lastRow="0" w:noHBand="0" w:noVBand="1" w:val="04A0"/>
      </w:tblPr>
      <w:tblGrid>
        <w:gridCol w:w="2376"/>
        <w:gridCol w:w="8136"/>
      </w:tblGrid>
      <w:tr>
        <w:trPr>
          <w:tblHeader w:val="true"/>
        </w:trPr>
        <w:tc>
          <w:tcPr>
            <w:tcW w:type="dxa" w:w="2376"/>
            <w:shd w:fill="092754"/>
            <w:tcMar>
              <w:top w:w="95" w:type="dxa"/>
              <w:start w:w="115" w:type="dxa"/>
              <w:bottom w:w="95" w:type="dxa"/>
              <w:end w:w="115" w:type="dxa"/>
            </w:tcMar>
            <w:vAlign w:val="center"/>
          </w:tcPr>
          <w:p>
            <w:pPr>
              <w:spacing w:after="0"/>
            </w:pPr>
            <w:r/>
            <w:r>
              <w:rPr>
                <w:rFonts w:ascii="Arial" w:hAnsi="Arial"/>
                <w:b/>
                <w:color w:val="FFFFFF"/>
                <w:sz w:val="17"/>
              </w:rPr>
              <w:t>Proyecto</w:t>
            </w:r>
          </w:p>
        </w:tc>
        <w:tc>
          <w:tcPr>
            <w:tcW w:type="dxa" w:w="8136"/>
            <w:shd w:fill="092754"/>
            <w:tcMar>
              <w:top w:w="95" w:type="dxa"/>
              <w:start w:w="115" w:type="dxa"/>
              <w:bottom w:w="95" w:type="dxa"/>
              <w:end w:w="115" w:type="dxa"/>
            </w:tcMar>
            <w:vAlign w:val="center"/>
          </w:tcPr>
          <w:p>
            <w:pPr>
              <w:spacing w:after="0"/>
            </w:pPr>
            <w:r/>
            <w:r>
              <w:rPr>
                <w:rFonts w:ascii="Arial" w:hAnsi="Arial"/>
                <w:b/>
                <w:color w:val="FFFFFF"/>
                <w:sz w:val="17"/>
              </w:rPr>
              <w:t>Responsabilidad</w:t>
            </w:r>
          </w:p>
        </w:tc>
      </w:tr>
      <w:tr>
        <w:tc>
          <w:tcPr>
            <w:tcW w:type="dxa" w:w="2376"/>
            <w:vAlign w:val="center"/>
            <w:shd w:fill="EFF5FA"/>
            <w:tcMar>
              <w:top w:w="95" w:type="dxa"/>
              <w:start w:w="115" w:type="dxa"/>
              <w:bottom w:w="95" w:type="dxa"/>
              <w:end w:w="115" w:type="dxa"/>
            </w:tcMar>
          </w:tcPr>
          <w:p>
            <w:pPr>
              <w:spacing w:after="0" w:line="240" w:lineRule="auto"/>
            </w:pPr>
            <w:r/>
            <w:r>
              <w:rPr>
                <w:rFonts w:ascii="Arial" w:hAnsi="Arial"/>
                <w:b/>
                <w:color w:val="182B43"/>
                <w:sz w:val="17"/>
              </w:rPr>
              <w:t>NBU.Web</w:t>
            </w:r>
          </w:p>
        </w:tc>
        <w:tc>
          <w:tcPr>
            <w:tcW w:type="dxa" w:w="8136"/>
            <w:vAlign w:val="center"/>
            <w:shd w:fill="EFF5FA"/>
            <w:tcMar>
              <w:top w:w="95" w:type="dxa"/>
              <w:start w:w="115" w:type="dxa"/>
              <w:bottom w:w="95" w:type="dxa"/>
              <w:end w:w="115" w:type="dxa"/>
            </w:tcMar>
          </w:tcPr>
          <w:p>
            <w:pPr>
              <w:spacing w:after="0" w:line="240" w:lineRule="auto"/>
            </w:pPr>
            <w:r/>
            <w:r>
              <w:rPr>
                <w:rFonts w:ascii="Arial" w:hAnsi="Arial"/>
                <w:b w:val="0"/>
                <w:color w:val="182B43"/>
                <w:sz w:val="17"/>
              </w:rPr>
              <w:t>Controladores MVC, autenticación web, vistas Razor, estilos y portal estudiantil.</w:t>
            </w:r>
          </w:p>
        </w:tc>
      </w:tr>
      <w:tr>
        <w:tc>
          <w:tcPr>
            <w:tcW w:type="dxa" w:w="2376"/>
            <w:vAlign w:val="center"/>
            <w:shd w:fill="FFFFFF"/>
            <w:tcMar>
              <w:top w:w="95" w:type="dxa"/>
              <w:start w:w="115" w:type="dxa"/>
              <w:bottom w:w="95" w:type="dxa"/>
              <w:end w:w="115" w:type="dxa"/>
            </w:tcMar>
          </w:tcPr>
          <w:p>
            <w:pPr>
              <w:spacing w:after="0" w:line="240" w:lineRule="auto"/>
            </w:pPr>
            <w:r/>
            <w:r>
              <w:rPr>
                <w:rFonts w:ascii="Arial" w:hAnsi="Arial"/>
                <w:b/>
                <w:color w:val="182B43"/>
                <w:sz w:val="17"/>
              </w:rPr>
              <w:t>NBU.Desktop</w:t>
            </w:r>
          </w:p>
        </w:tc>
        <w:tc>
          <w:tcPr>
            <w:tcW w:type="dxa" w:w="8136"/>
            <w:vAlign w:val="center"/>
            <w:shd w:fill="FFFFFF"/>
            <w:tcMar>
              <w:top w:w="95" w:type="dxa"/>
              <w:start w:w="115" w:type="dxa"/>
              <w:bottom w:w="95" w:type="dxa"/>
              <w:end w:w="115" w:type="dxa"/>
            </w:tcMar>
          </w:tcPr>
          <w:p>
            <w:pPr>
              <w:spacing w:after="0" w:line="240" w:lineRule="auto"/>
            </w:pPr>
            <w:r/>
            <w:r>
              <w:rPr>
                <w:rFonts w:ascii="Arial" w:hAnsi="Arial"/>
                <w:b w:val="0"/>
                <w:color w:val="182B43"/>
                <w:sz w:val="17"/>
              </w:rPr>
              <w:t>Acceso administrativo y formularios Windows Forms para administrar los módulos.</w:t>
            </w:r>
          </w:p>
        </w:tc>
      </w:tr>
      <w:tr>
        <w:tc>
          <w:tcPr>
            <w:tcW w:type="dxa" w:w="2376"/>
            <w:vAlign w:val="center"/>
            <w:shd w:fill="EFF5FA"/>
            <w:tcMar>
              <w:top w:w="95" w:type="dxa"/>
              <w:start w:w="115" w:type="dxa"/>
              <w:bottom w:w="95" w:type="dxa"/>
              <w:end w:w="115" w:type="dxa"/>
            </w:tcMar>
          </w:tcPr>
          <w:p>
            <w:pPr>
              <w:spacing w:after="0" w:line="240" w:lineRule="auto"/>
            </w:pPr>
            <w:r/>
            <w:r>
              <w:rPr>
                <w:rFonts w:ascii="Arial" w:hAnsi="Arial"/>
                <w:b/>
                <w:color w:val="182B43"/>
                <w:sz w:val="17"/>
              </w:rPr>
              <w:t>NBU.Data</w:t>
            </w:r>
          </w:p>
        </w:tc>
        <w:tc>
          <w:tcPr>
            <w:tcW w:type="dxa" w:w="8136"/>
            <w:vAlign w:val="center"/>
            <w:shd w:fill="EFF5FA"/>
            <w:tcMar>
              <w:top w:w="95" w:type="dxa"/>
              <w:start w:w="115" w:type="dxa"/>
              <w:bottom w:w="95" w:type="dxa"/>
              <w:end w:w="115" w:type="dxa"/>
            </w:tcMar>
          </w:tcPr>
          <w:p>
            <w:pPr>
              <w:spacing w:after="0" w:line="240" w:lineRule="auto"/>
            </w:pPr>
            <w:r/>
            <w:r>
              <w:rPr>
                <w:rFonts w:ascii="Arial" w:hAnsi="Arial"/>
                <w:b w:val="0"/>
                <w:color w:val="182B43"/>
                <w:sz w:val="17"/>
              </w:rPr>
              <w:t>Entidades, AppDbContext, configuración EF Core y migraciones compartidas.</w:t>
            </w:r>
          </w:p>
        </w:tc>
      </w:tr>
    </w:tbl>
    <w:p>
      <w:pPr>
        <w:spacing w:after="0"/>
      </w:pPr>
    </w:p>
    <w:p>
      <w:pPr>
        <w:widowControl/>
      </w:pPr>
      <w:r>
        <w:rPr>
          <w:rFonts w:ascii="Arial" w:hAnsi="Arial"/>
          <w:color w:val="182B43"/>
        </w:rPr>
        <w:t>En MVC, los modelos describen los datos; los controladores validan solicitudes y coordinan el acceso al contexto; las vistas Razor presentan las pantallas. En escritorio, los formularios capturan y muestran información y el administrador CRUD realiza operaciones sobre las mismas entidades.</w:t>
      </w:r>
    </w:p>
    <w:p>
      <w:pPr>
        <w:pStyle w:val="Heading2"/>
      </w:pPr>
      <w:r>
        <w:t>Estructura principal del repositorio</w:t>
      </w:r>
    </w:p>
    <w:tbl>
      <w:tblPr>
        <w:tblW w:type="auto" w:w="0"/>
        <w:jc w:val="center"/>
        <w:tblLayout w:type="fixed"/>
        <w:tblLook w:firstColumn="1" w:firstRow="1" w:lastColumn="0" w:lastRow="0" w:noHBand="0" w:noVBand="1" w:val="04A0"/>
      </w:tblPr>
      <w:tblGrid>
        <w:gridCol w:w="2880"/>
        <w:gridCol w:w="7632"/>
      </w:tblGrid>
      <w:tr>
        <w:trPr>
          <w:tblHeader w:val="true"/>
        </w:trPr>
        <w:tc>
          <w:tcPr>
            <w:tcW w:type="dxa" w:w="2880"/>
            <w:shd w:fill="092754"/>
            <w:tcMar>
              <w:top w:w="95" w:type="dxa"/>
              <w:start w:w="115" w:type="dxa"/>
              <w:bottom w:w="95" w:type="dxa"/>
              <w:end w:w="115" w:type="dxa"/>
            </w:tcMar>
            <w:vAlign w:val="center"/>
          </w:tcPr>
          <w:p>
            <w:pPr>
              <w:spacing w:after="0"/>
            </w:pPr>
            <w:r/>
            <w:r>
              <w:rPr>
                <w:rFonts w:ascii="Arial" w:hAnsi="Arial"/>
                <w:b/>
                <w:color w:val="FFFFFF"/>
                <w:sz w:val="16"/>
              </w:rPr>
              <w:t>Carpeta</w:t>
            </w:r>
          </w:p>
        </w:tc>
        <w:tc>
          <w:tcPr>
            <w:tcW w:type="dxa" w:w="7632"/>
            <w:shd w:fill="092754"/>
            <w:tcMar>
              <w:top w:w="95" w:type="dxa"/>
              <w:start w:w="115" w:type="dxa"/>
              <w:bottom w:w="95" w:type="dxa"/>
              <w:end w:w="115" w:type="dxa"/>
            </w:tcMar>
            <w:vAlign w:val="center"/>
          </w:tcPr>
          <w:p>
            <w:pPr>
              <w:spacing w:after="0"/>
            </w:pPr>
            <w:r/>
            <w:r>
              <w:rPr>
                <w:rFonts w:ascii="Arial" w:hAnsi="Arial"/>
                <w:b/>
                <w:color w:val="FFFFFF"/>
                <w:sz w:val="16"/>
              </w:rPr>
              <w:t>Contenido</w:t>
            </w:r>
          </w:p>
        </w:tc>
      </w:tr>
      <w:tr>
        <w:tc>
          <w:tcPr>
            <w:tcW w:type="dxa" w:w="2880"/>
            <w:vAlign w:val="center"/>
            <w:shd w:fill="EFF5FA"/>
            <w:tcMar>
              <w:top w:w="95" w:type="dxa"/>
              <w:start w:w="115" w:type="dxa"/>
              <w:bottom w:w="95" w:type="dxa"/>
              <w:end w:w="115" w:type="dxa"/>
            </w:tcMar>
          </w:tcPr>
          <w:p>
            <w:pPr>
              <w:spacing w:after="0" w:line="240" w:lineRule="auto"/>
            </w:pPr>
            <w:r/>
            <w:r>
              <w:rPr>
                <w:rFonts w:ascii="Arial" w:hAnsi="Arial"/>
                <w:b/>
                <w:color w:val="182B43"/>
                <w:sz w:val="16"/>
              </w:rPr>
              <w:t>NBU.Web/Controllers</w:t>
            </w:r>
          </w:p>
        </w:tc>
        <w:tc>
          <w:tcPr>
            <w:tcW w:type="dxa" w:w="7632"/>
            <w:vAlign w:val="center"/>
            <w:shd w:fill="EFF5FA"/>
            <w:tcMar>
              <w:top w:w="95" w:type="dxa"/>
              <w:start w:w="115" w:type="dxa"/>
              <w:bottom w:w="95" w:type="dxa"/>
              <w:end w:w="115" w:type="dxa"/>
            </w:tcMar>
          </w:tcPr>
          <w:p>
            <w:pPr>
              <w:spacing w:after="0" w:line="240" w:lineRule="auto"/>
            </w:pPr>
            <w:r/>
            <w:r>
              <w:rPr>
                <w:rFonts w:ascii="Arial" w:hAnsi="Arial"/>
                <w:b w:val="0"/>
                <w:color w:val="182B43"/>
                <w:sz w:val="16"/>
              </w:rPr>
              <w:t>Controladores de acceso, portal y módulos administrativos.</w:t>
            </w:r>
          </w:p>
        </w:tc>
      </w:tr>
      <w:tr>
        <w:tc>
          <w:tcPr>
            <w:tcW w:type="dxa" w:w="2880"/>
            <w:vAlign w:val="center"/>
            <w:shd w:fill="FFFFFF"/>
            <w:tcMar>
              <w:top w:w="95" w:type="dxa"/>
              <w:start w:w="115" w:type="dxa"/>
              <w:bottom w:w="95" w:type="dxa"/>
              <w:end w:w="115" w:type="dxa"/>
            </w:tcMar>
          </w:tcPr>
          <w:p>
            <w:pPr>
              <w:spacing w:after="0" w:line="240" w:lineRule="auto"/>
            </w:pPr>
            <w:r/>
            <w:r>
              <w:rPr>
                <w:rFonts w:ascii="Arial" w:hAnsi="Arial"/>
                <w:b/>
                <w:color w:val="182B43"/>
                <w:sz w:val="16"/>
              </w:rPr>
              <w:t>NBU.Web/Models</w:t>
            </w:r>
          </w:p>
        </w:tc>
        <w:tc>
          <w:tcPr>
            <w:tcW w:type="dxa" w:w="7632"/>
            <w:vAlign w:val="center"/>
            <w:shd w:fill="FFFFFF"/>
            <w:tcMar>
              <w:top w:w="95" w:type="dxa"/>
              <w:start w:w="115" w:type="dxa"/>
              <w:bottom w:w="95" w:type="dxa"/>
              <w:end w:w="115" w:type="dxa"/>
            </w:tcMar>
          </w:tcPr>
          <w:p>
            <w:pPr>
              <w:spacing w:after="0" w:line="240" w:lineRule="auto"/>
            </w:pPr>
            <w:r/>
            <w:r>
              <w:rPr>
                <w:rFonts w:ascii="Arial" w:hAnsi="Arial"/>
                <w:b w:val="0"/>
                <w:color w:val="182B43"/>
                <w:sz w:val="16"/>
              </w:rPr>
              <w:t>Modelos de pantalla y validación.</w:t>
            </w:r>
          </w:p>
        </w:tc>
      </w:tr>
      <w:tr>
        <w:tc>
          <w:tcPr>
            <w:tcW w:type="dxa" w:w="2880"/>
            <w:vAlign w:val="center"/>
            <w:shd w:fill="EFF5FA"/>
            <w:tcMar>
              <w:top w:w="95" w:type="dxa"/>
              <w:start w:w="115" w:type="dxa"/>
              <w:bottom w:w="95" w:type="dxa"/>
              <w:end w:w="115" w:type="dxa"/>
            </w:tcMar>
          </w:tcPr>
          <w:p>
            <w:pPr>
              <w:spacing w:after="0" w:line="240" w:lineRule="auto"/>
            </w:pPr>
            <w:r/>
            <w:r>
              <w:rPr>
                <w:rFonts w:ascii="Arial" w:hAnsi="Arial"/>
                <w:b/>
                <w:color w:val="182B43"/>
                <w:sz w:val="16"/>
              </w:rPr>
              <w:t>NBU.Web/Views</w:t>
            </w:r>
          </w:p>
        </w:tc>
        <w:tc>
          <w:tcPr>
            <w:tcW w:type="dxa" w:w="7632"/>
            <w:vAlign w:val="center"/>
            <w:shd w:fill="EFF5FA"/>
            <w:tcMar>
              <w:top w:w="95" w:type="dxa"/>
              <w:start w:w="115" w:type="dxa"/>
              <w:bottom w:w="95" w:type="dxa"/>
              <w:end w:w="115" w:type="dxa"/>
            </w:tcMar>
          </w:tcPr>
          <w:p>
            <w:pPr>
              <w:spacing w:after="0" w:line="240" w:lineRule="auto"/>
            </w:pPr>
            <w:r/>
            <w:r>
              <w:rPr>
                <w:rFonts w:ascii="Arial" w:hAnsi="Arial"/>
                <w:b w:val="0"/>
                <w:color w:val="182B43"/>
                <w:sz w:val="16"/>
              </w:rPr>
              <w:t>Vistas Razor; StudentPortal contiene las pantallas del estudiante.</w:t>
            </w:r>
          </w:p>
        </w:tc>
      </w:tr>
      <w:tr>
        <w:tc>
          <w:tcPr>
            <w:tcW w:type="dxa" w:w="2880"/>
            <w:vAlign w:val="center"/>
            <w:shd w:fill="FFFFFF"/>
            <w:tcMar>
              <w:top w:w="95" w:type="dxa"/>
              <w:start w:w="115" w:type="dxa"/>
              <w:bottom w:w="95" w:type="dxa"/>
              <w:end w:w="115" w:type="dxa"/>
            </w:tcMar>
          </w:tcPr>
          <w:p>
            <w:pPr>
              <w:spacing w:after="0" w:line="240" w:lineRule="auto"/>
            </w:pPr>
            <w:r/>
            <w:r>
              <w:rPr>
                <w:rFonts w:ascii="Arial" w:hAnsi="Arial"/>
                <w:b/>
                <w:color w:val="182B43"/>
                <w:sz w:val="16"/>
              </w:rPr>
              <w:t>NBU.Web/wwwroot</w:t>
            </w:r>
          </w:p>
        </w:tc>
        <w:tc>
          <w:tcPr>
            <w:tcW w:type="dxa" w:w="7632"/>
            <w:vAlign w:val="center"/>
            <w:shd w:fill="FFFFFF"/>
            <w:tcMar>
              <w:top w:w="95" w:type="dxa"/>
              <w:start w:w="115" w:type="dxa"/>
              <w:bottom w:w="95" w:type="dxa"/>
              <w:end w:w="115" w:type="dxa"/>
            </w:tcMar>
          </w:tcPr>
          <w:p>
            <w:pPr>
              <w:spacing w:after="0" w:line="240" w:lineRule="auto"/>
            </w:pPr>
            <w:r/>
            <w:r>
              <w:rPr>
                <w:rFonts w:ascii="Arial" w:hAnsi="Arial"/>
                <w:b w:val="0"/>
                <w:color w:val="182B43"/>
                <w:sz w:val="16"/>
              </w:rPr>
              <w:t>CSS, JavaScript y bibliotecas web.</w:t>
            </w:r>
          </w:p>
        </w:tc>
      </w:tr>
      <w:tr>
        <w:tc>
          <w:tcPr>
            <w:tcW w:type="dxa" w:w="2880"/>
            <w:vAlign w:val="center"/>
            <w:shd w:fill="EFF5FA"/>
            <w:tcMar>
              <w:top w:w="95" w:type="dxa"/>
              <w:start w:w="115" w:type="dxa"/>
              <w:bottom w:w="95" w:type="dxa"/>
              <w:end w:w="115" w:type="dxa"/>
            </w:tcMar>
          </w:tcPr>
          <w:p>
            <w:pPr>
              <w:spacing w:after="0" w:line="240" w:lineRule="auto"/>
            </w:pPr>
            <w:r/>
            <w:r>
              <w:rPr>
                <w:rFonts w:ascii="Arial" w:hAnsi="Arial"/>
                <w:b/>
                <w:color w:val="182B43"/>
                <w:sz w:val="16"/>
              </w:rPr>
              <w:t>NBU.Data/Models</w:t>
            </w:r>
          </w:p>
        </w:tc>
        <w:tc>
          <w:tcPr>
            <w:tcW w:type="dxa" w:w="7632"/>
            <w:vAlign w:val="center"/>
            <w:shd w:fill="EFF5FA"/>
            <w:tcMar>
              <w:top w:w="95" w:type="dxa"/>
              <w:start w:w="115" w:type="dxa"/>
              <w:bottom w:w="95" w:type="dxa"/>
              <w:end w:w="115" w:type="dxa"/>
            </w:tcMar>
          </w:tcPr>
          <w:p>
            <w:pPr>
              <w:spacing w:after="0" w:line="240" w:lineRule="auto"/>
            </w:pPr>
            <w:r/>
            <w:r>
              <w:rPr>
                <w:rFonts w:ascii="Arial" w:hAnsi="Arial"/>
                <w:b w:val="0"/>
                <w:color w:val="182B43"/>
                <w:sz w:val="16"/>
              </w:rPr>
              <w:t>Entidades Student, Scholarship, ScholarshipApplication, Payment, Publication, Notification y NbuUser.</w:t>
            </w:r>
          </w:p>
        </w:tc>
      </w:tr>
      <w:tr>
        <w:tc>
          <w:tcPr>
            <w:tcW w:type="dxa" w:w="2880"/>
            <w:vAlign w:val="center"/>
            <w:shd w:fill="FFFFFF"/>
            <w:tcMar>
              <w:top w:w="95" w:type="dxa"/>
              <w:start w:w="115" w:type="dxa"/>
              <w:bottom w:w="95" w:type="dxa"/>
              <w:end w:w="115" w:type="dxa"/>
            </w:tcMar>
          </w:tcPr>
          <w:p>
            <w:pPr>
              <w:spacing w:after="0" w:line="240" w:lineRule="auto"/>
            </w:pPr>
            <w:r/>
            <w:r>
              <w:rPr>
                <w:rFonts w:ascii="Arial" w:hAnsi="Arial"/>
                <w:b/>
                <w:color w:val="182B43"/>
                <w:sz w:val="16"/>
              </w:rPr>
              <w:t>NBU.Data/Migrations</w:t>
            </w:r>
          </w:p>
        </w:tc>
        <w:tc>
          <w:tcPr>
            <w:tcW w:type="dxa" w:w="7632"/>
            <w:vAlign w:val="center"/>
            <w:shd w:fill="FFFFFF"/>
            <w:tcMar>
              <w:top w:w="95" w:type="dxa"/>
              <w:start w:w="115" w:type="dxa"/>
              <w:bottom w:w="95" w:type="dxa"/>
              <w:end w:w="115" w:type="dxa"/>
            </w:tcMar>
          </w:tcPr>
          <w:p>
            <w:pPr>
              <w:spacing w:after="0" w:line="240" w:lineRule="auto"/>
            </w:pPr>
            <w:r/>
            <w:r>
              <w:rPr>
                <w:rFonts w:ascii="Arial" w:hAnsi="Arial"/>
                <w:b w:val="0"/>
                <w:color w:val="182B43"/>
                <w:sz w:val="16"/>
              </w:rPr>
              <w:t>Historial de cambios del esquema generado por EF Core.</w:t>
            </w:r>
          </w:p>
        </w:tc>
      </w:tr>
      <w:tr>
        <w:tc>
          <w:tcPr>
            <w:tcW w:type="dxa" w:w="2880"/>
            <w:vAlign w:val="center"/>
            <w:shd w:fill="EFF5FA"/>
            <w:tcMar>
              <w:top w:w="95" w:type="dxa"/>
              <w:start w:w="115" w:type="dxa"/>
              <w:bottom w:w="95" w:type="dxa"/>
              <w:end w:w="115" w:type="dxa"/>
            </w:tcMar>
          </w:tcPr>
          <w:p>
            <w:pPr>
              <w:spacing w:after="0" w:line="240" w:lineRule="auto"/>
            </w:pPr>
            <w:r/>
            <w:r>
              <w:rPr>
                <w:rFonts w:ascii="Arial" w:hAnsi="Arial"/>
                <w:b/>
                <w:color w:val="182B43"/>
                <w:sz w:val="16"/>
              </w:rPr>
              <w:t>NBU.Desktop</w:t>
            </w:r>
          </w:p>
        </w:tc>
        <w:tc>
          <w:tcPr>
            <w:tcW w:type="dxa" w:w="7632"/>
            <w:vAlign w:val="center"/>
            <w:shd w:fill="EFF5FA"/>
            <w:tcMar>
              <w:top w:w="95" w:type="dxa"/>
              <w:start w:w="115" w:type="dxa"/>
              <w:bottom w:w="95" w:type="dxa"/>
              <w:end w:w="115" w:type="dxa"/>
            </w:tcMar>
          </w:tcPr>
          <w:p>
            <w:pPr>
              <w:spacing w:after="0" w:line="240" w:lineRule="auto"/>
            </w:pPr>
            <w:r/>
            <w:r>
              <w:rPr>
                <w:rFonts w:ascii="Arial" w:hAnsi="Arial"/>
                <w:b w:val="0"/>
                <w:color w:val="182B43"/>
                <w:sz w:val="16"/>
              </w:rPr>
              <w:t>Programa, inicio de sesión administrativo, formularios y control CRUD.</w:t>
            </w:r>
          </w:p>
        </w:tc>
      </w:tr>
      <w:tr>
        <w:tc>
          <w:tcPr>
            <w:tcW w:type="dxa" w:w="2880"/>
            <w:vAlign w:val="center"/>
            <w:shd w:fill="FFFFFF"/>
            <w:tcMar>
              <w:top w:w="95" w:type="dxa"/>
              <w:start w:w="115" w:type="dxa"/>
              <w:bottom w:w="95" w:type="dxa"/>
              <w:end w:w="115" w:type="dxa"/>
            </w:tcMar>
          </w:tcPr>
          <w:p>
            <w:pPr>
              <w:spacing w:after="0" w:line="240" w:lineRule="auto"/>
            </w:pPr>
            <w:r/>
            <w:r>
              <w:rPr>
                <w:rFonts w:ascii="Arial" w:hAnsi="Arial"/>
                <w:b/>
                <w:color w:val="182B43"/>
                <w:sz w:val="16"/>
              </w:rPr>
              <w:t>database/NBU.sql</w:t>
            </w:r>
          </w:p>
        </w:tc>
        <w:tc>
          <w:tcPr>
            <w:tcW w:type="dxa" w:w="7632"/>
            <w:vAlign w:val="center"/>
            <w:shd w:fill="FFFFFF"/>
            <w:tcMar>
              <w:top w:w="95" w:type="dxa"/>
              <w:start w:w="115" w:type="dxa"/>
              <w:bottom w:w="95" w:type="dxa"/>
              <w:end w:w="115" w:type="dxa"/>
            </w:tcMar>
          </w:tcPr>
          <w:p>
            <w:pPr>
              <w:spacing w:after="0" w:line="240" w:lineRule="auto"/>
            </w:pPr>
            <w:r/>
            <w:r>
              <w:rPr>
                <w:rFonts w:ascii="Arial" w:hAnsi="Arial"/>
                <w:b w:val="0"/>
                <w:color w:val="182B43"/>
                <w:sz w:val="16"/>
              </w:rPr>
              <w:t>Script idempotente para aplicar las migraciones en SQL Server.</w:t>
            </w:r>
          </w:p>
        </w:tc>
      </w:tr>
    </w:tbl>
    <w:p>
      <w:pPr>
        <w:spacing w:after="0"/>
      </w:pPr>
    </w:p>
    <w:p>
      <w:r>
        <w:br w:type="page"/>
      </w:r>
    </w:p>
    <w:p>
      <w:pPr>
        <w:pStyle w:val="Heading1"/>
      </w:pPr>
      <w:r>
        <w:t>3. Modelo de datos</w:t>
      </w:r>
    </w:p>
    <w:tbl>
      <w:tblPr>
        <w:tblW w:type="auto" w:w="0"/>
        <w:jc w:val="center"/>
        <w:tblLayout w:type="fixed"/>
        <w:tblLook w:firstColumn="1" w:firstRow="1" w:lastColumn="0" w:lastRow="0" w:noHBand="0" w:noVBand="1" w:val="04A0"/>
      </w:tblPr>
      <w:tblGrid>
        <w:gridCol w:w="2664"/>
        <w:gridCol w:w="7848"/>
      </w:tblGrid>
      <w:tr>
        <w:trPr>
          <w:tblHeader w:val="true"/>
        </w:trPr>
        <w:tc>
          <w:tcPr>
            <w:tcW w:type="dxa" w:w="2664"/>
            <w:shd w:fill="092754"/>
            <w:tcMar>
              <w:top w:w="95" w:type="dxa"/>
              <w:start w:w="115" w:type="dxa"/>
              <w:bottom w:w="95" w:type="dxa"/>
              <w:end w:w="115" w:type="dxa"/>
            </w:tcMar>
            <w:vAlign w:val="center"/>
          </w:tcPr>
          <w:p>
            <w:pPr>
              <w:spacing w:after="0"/>
            </w:pPr>
            <w:r/>
            <w:r>
              <w:rPr>
                <w:rFonts w:ascii="Arial" w:hAnsi="Arial"/>
                <w:b/>
                <w:color w:val="FFFFFF"/>
                <w:sz w:val="16"/>
              </w:rPr>
              <w:t>Entidad</w:t>
            </w:r>
          </w:p>
        </w:tc>
        <w:tc>
          <w:tcPr>
            <w:tcW w:type="dxa" w:w="7848"/>
            <w:shd w:fill="092754"/>
            <w:tcMar>
              <w:top w:w="95" w:type="dxa"/>
              <w:start w:w="115" w:type="dxa"/>
              <w:bottom w:w="95" w:type="dxa"/>
              <w:end w:w="115" w:type="dxa"/>
            </w:tcMar>
            <w:vAlign w:val="center"/>
          </w:tcPr>
          <w:p>
            <w:pPr>
              <w:spacing w:after="0"/>
            </w:pPr>
            <w:r/>
            <w:r>
              <w:rPr>
                <w:rFonts w:ascii="Arial" w:hAnsi="Arial"/>
                <w:b/>
                <w:color w:val="FFFFFF"/>
                <w:sz w:val="16"/>
              </w:rPr>
              <w:t>Relaciones y datos principales</w:t>
            </w:r>
          </w:p>
        </w:tc>
      </w:tr>
      <w:tr>
        <w:tc>
          <w:tcPr>
            <w:tcW w:type="dxa" w:w="2664"/>
            <w:vAlign w:val="center"/>
            <w:shd w:fill="EFF5FA"/>
            <w:tcMar>
              <w:top w:w="95" w:type="dxa"/>
              <w:start w:w="115" w:type="dxa"/>
              <w:bottom w:w="95" w:type="dxa"/>
              <w:end w:w="115" w:type="dxa"/>
            </w:tcMar>
          </w:tcPr>
          <w:p>
            <w:pPr>
              <w:spacing w:after="0" w:line="240" w:lineRule="auto"/>
            </w:pPr>
            <w:r/>
            <w:r>
              <w:rPr>
                <w:rFonts w:ascii="Arial" w:hAnsi="Arial"/>
                <w:b/>
                <w:color w:val="182B43"/>
                <w:sz w:val="16"/>
              </w:rPr>
              <w:t>Student</w:t>
            </w:r>
          </w:p>
        </w:tc>
        <w:tc>
          <w:tcPr>
            <w:tcW w:type="dxa" w:w="7848"/>
            <w:vAlign w:val="center"/>
            <w:shd w:fill="EFF5FA"/>
            <w:tcMar>
              <w:top w:w="95" w:type="dxa"/>
              <w:start w:w="115" w:type="dxa"/>
              <w:bottom w:w="95" w:type="dxa"/>
              <w:end w:w="115" w:type="dxa"/>
            </w:tcMar>
          </w:tcPr>
          <w:p>
            <w:pPr>
              <w:spacing w:after="0" w:line="240" w:lineRule="auto"/>
            </w:pPr>
            <w:r/>
            <w:r>
              <w:rPr>
                <w:rFonts w:ascii="Arial" w:hAnsi="Arial"/>
                <w:b w:val="0"/>
                <w:color w:val="182B43"/>
                <w:sz w:val="16"/>
              </w:rPr>
              <w:t>Código, nombres, apellidos, cédula, correo, teléfono, carrera, universidad y estado.</w:t>
            </w:r>
          </w:p>
        </w:tc>
      </w:tr>
      <w:tr>
        <w:tc>
          <w:tcPr>
            <w:tcW w:type="dxa" w:w="2664"/>
            <w:vAlign w:val="center"/>
            <w:shd w:fill="FFFFFF"/>
            <w:tcMar>
              <w:top w:w="95" w:type="dxa"/>
              <w:start w:w="115" w:type="dxa"/>
              <w:bottom w:w="95" w:type="dxa"/>
              <w:end w:w="115" w:type="dxa"/>
            </w:tcMar>
          </w:tcPr>
          <w:p>
            <w:pPr>
              <w:spacing w:after="0" w:line="240" w:lineRule="auto"/>
            </w:pPr>
            <w:r/>
            <w:r>
              <w:rPr>
                <w:rFonts w:ascii="Arial" w:hAnsi="Arial"/>
                <w:b/>
                <w:color w:val="182B43"/>
                <w:sz w:val="16"/>
              </w:rPr>
              <w:t>Scholarship</w:t>
            </w:r>
          </w:p>
        </w:tc>
        <w:tc>
          <w:tcPr>
            <w:tcW w:type="dxa" w:w="7848"/>
            <w:vAlign w:val="center"/>
            <w:shd w:fill="FFFFFF"/>
            <w:tcMar>
              <w:top w:w="95" w:type="dxa"/>
              <w:start w:w="115" w:type="dxa"/>
              <w:bottom w:w="95" w:type="dxa"/>
              <w:end w:w="115" w:type="dxa"/>
            </w:tcMar>
          </w:tcPr>
          <w:p>
            <w:pPr>
              <w:spacing w:after="0" w:line="240" w:lineRule="auto"/>
            </w:pPr>
            <w:r/>
            <w:r>
              <w:rPr>
                <w:rFonts w:ascii="Arial" w:hAnsi="Arial"/>
                <w:b w:val="0"/>
                <w:color w:val="182B43"/>
                <w:sz w:val="16"/>
              </w:rPr>
              <w:t>Nombre, descripción, requisitos, monto y fechas de convocatoria.</w:t>
            </w:r>
          </w:p>
        </w:tc>
      </w:tr>
      <w:tr>
        <w:tc>
          <w:tcPr>
            <w:tcW w:type="dxa" w:w="2664"/>
            <w:vAlign w:val="center"/>
            <w:shd w:fill="EFF5FA"/>
            <w:tcMar>
              <w:top w:w="95" w:type="dxa"/>
              <w:start w:w="115" w:type="dxa"/>
              <w:bottom w:w="95" w:type="dxa"/>
              <w:end w:w="115" w:type="dxa"/>
            </w:tcMar>
          </w:tcPr>
          <w:p>
            <w:pPr>
              <w:spacing w:after="0" w:line="240" w:lineRule="auto"/>
            </w:pPr>
            <w:r/>
            <w:r>
              <w:rPr>
                <w:rFonts w:ascii="Arial" w:hAnsi="Arial"/>
                <w:b/>
                <w:color w:val="182B43"/>
                <w:sz w:val="16"/>
              </w:rPr>
              <w:t>ScholarshipApplication</w:t>
            </w:r>
          </w:p>
        </w:tc>
        <w:tc>
          <w:tcPr>
            <w:tcW w:type="dxa" w:w="7848"/>
            <w:vAlign w:val="center"/>
            <w:shd w:fill="EFF5FA"/>
            <w:tcMar>
              <w:top w:w="95" w:type="dxa"/>
              <w:start w:w="115" w:type="dxa"/>
              <w:bottom w:w="95" w:type="dxa"/>
              <w:end w:w="115" w:type="dxa"/>
            </w:tcMar>
          </w:tcPr>
          <w:p>
            <w:pPr>
              <w:spacing w:after="0" w:line="240" w:lineRule="auto"/>
            </w:pPr>
            <w:r/>
            <w:r>
              <w:rPr>
                <w:rFonts w:ascii="Arial" w:hAnsi="Arial"/>
                <w:b w:val="0"/>
                <w:color w:val="182B43"/>
                <w:sz w:val="16"/>
              </w:rPr>
              <w:t>Relaciona estudiante y beca; conserva fecha, estado y observaciones.</w:t>
            </w:r>
          </w:p>
        </w:tc>
      </w:tr>
      <w:tr>
        <w:tc>
          <w:tcPr>
            <w:tcW w:type="dxa" w:w="2664"/>
            <w:vAlign w:val="center"/>
            <w:shd w:fill="FFFFFF"/>
            <w:tcMar>
              <w:top w:w="95" w:type="dxa"/>
              <w:start w:w="115" w:type="dxa"/>
              <w:bottom w:w="95" w:type="dxa"/>
              <w:end w:w="115" w:type="dxa"/>
            </w:tcMar>
          </w:tcPr>
          <w:p>
            <w:pPr>
              <w:spacing w:after="0" w:line="240" w:lineRule="auto"/>
            </w:pPr>
            <w:r/>
            <w:r>
              <w:rPr>
                <w:rFonts w:ascii="Arial" w:hAnsi="Arial"/>
                <w:b/>
                <w:color w:val="182B43"/>
                <w:sz w:val="16"/>
              </w:rPr>
              <w:t>Payment</w:t>
            </w:r>
          </w:p>
        </w:tc>
        <w:tc>
          <w:tcPr>
            <w:tcW w:type="dxa" w:w="7848"/>
            <w:vAlign w:val="center"/>
            <w:shd w:fill="FFFFFF"/>
            <w:tcMar>
              <w:top w:w="95" w:type="dxa"/>
              <w:start w:w="115" w:type="dxa"/>
              <w:bottom w:w="95" w:type="dxa"/>
              <w:end w:w="115" w:type="dxa"/>
            </w:tcMar>
          </w:tcPr>
          <w:p>
            <w:pPr>
              <w:spacing w:after="0" w:line="240" w:lineRule="auto"/>
            </w:pPr>
            <w:r/>
            <w:r>
              <w:rPr>
                <w:rFonts w:ascii="Arial" w:hAnsi="Arial"/>
                <w:b w:val="0"/>
                <w:color w:val="182B43"/>
                <w:sz w:val="16"/>
              </w:rPr>
              <w:t>Se relaciona con una solicitud aceptada; guarda monto, período, fecha y estado.</w:t>
            </w:r>
          </w:p>
        </w:tc>
      </w:tr>
      <w:tr>
        <w:tc>
          <w:tcPr>
            <w:tcW w:type="dxa" w:w="2664"/>
            <w:vAlign w:val="center"/>
            <w:shd w:fill="EFF5FA"/>
            <w:tcMar>
              <w:top w:w="95" w:type="dxa"/>
              <w:start w:w="115" w:type="dxa"/>
              <w:bottom w:w="95" w:type="dxa"/>
              <w:end w:w="115" w:type="dxa"/>
            </w:tcMar>
          </w:tcPr>
          <w:p>
            <w:pPr>
              <w:spacing w:after="0" w:line="240" w:lineRule="auto"/>
            </w:pPr>
            <w:r/>
            <w:r>
              <w:rPr>
                <w:rFonts w:ascii="Arial" w:hAnsi="Arial"/>
                <w:b/>
                <w:color w:val="182B43"/>
                <w:sz w:val="16"/>
              </w:rPr>
              <w:t>Publication</w:t>
            </w:r>
          </w:p>
        </w:tc>
        <w:tc>
          <w:tcPr>
            <w:tcW w:type="dxa" w:w="7848"/>
            <w:vAlign w:val="center"/>
            <w:shd w:fill="EFF5FA"/>
            <w:tcMar>
              <w:top w:w="95" w:type="dxa"/>
              <w:start w:w="115" w:type="dxa"/>
              <w:bottom w:w="95" w:type="dxa"/>
              <w:end w:w="115" w:type="dxa"/>
            </w:tcMar>
          </w:tcPr>
          <w:p>
            <w:pPr>
              <w:spacing w:after="0" w:line="240" w:lineRule="auto"/>
            </w:pPr>
            <w:r/>
            <w:r>
              <w:rPr>
                <w:rFonts w:ascii="Arial" w:hAnsi="Arial"/>
                <w:b w:val="0"/>
                <w:color w:val="182B43"/>
                <w:sz w:val="16"/>
              </w:rPr>
              <w:t>Noticia, evento o aviso; título, contenido y fechas.</w:t>
            </w:r>
          </w:p>
        </w:tc>
      </w:tr>
      <w:tr>
        <w:tc>
          <w:tcPr>
            <w:tcW w:type="dxa" w:w="2664"/>
            <w:vAlign w:val="center"/>
            <w:shd w:fill="FFFFFF"/>
            <w:tcMar>
              <w:top w:w="95" w:type="dxa"/>
              <w:start w:w="115" w:type="dxa"/>
              <w:bottom w:w="95" w:type="dxa"/>
              <w:end w:w="115" w:type="dxa"/>
            </w:tcMar>
          </w:tcPr>
          <w:p>
            <w:pPr>
              <w:spacing w:after="0" w:line="240" w:lineRule="auto"/>
            </w:pPr>
            <w:r/>
            <w:r>
              <w:rPr>
                <w:rFonts w:ascii="Arial" w:hAnsi="Arial"/>
                <w:b/>
                <w:color w:val="182B43"/>
                <w:sz w:val="16"/>
              </w:rPr>
              <w:t>Notification</w:t>
            </w:r>
          </w:p>
        </w:tc>
        <w:tc>
          <w:tcPr>
            <w:tcW w:type="dxa" w:w="7848"/>
            <w:vAlign w:val="center"/>
            <w:shd w:fill="FFFFFF"/>
            <w:tcMar>
              <w:top w:w="95" w:type="dxa"/>
              <w:start w:w="115" w:type="dxa"/>
              <w:bottom w:w="95" w:type="dxa"/>
              <w:end w:w="115" w:type="dxa"/>
            </w:tcMar>
          </w:tcPr>
          <w:p>
            <w:pPr>
              <w:spacing w:after="0" w:line="240" w:lineRule="auto"/>
            </w:pPr>
            <w:r/>
            <w:r>
              <w:rPr>
                <w:rFonts w:ascii="Arial" w:hAnsi="Arial"/>
                <w:b w:val="0"/>
                <w:color w:val="182B43"/>
                <w:sz w:val="16"/>
              </w:rPr>
              <w:t>Mensaje y estado de lectura para un estudiante; puede enlazar una publicación.</w:t>
            </w:r>
          </w:p>
        </w:tc>
      </w:tr>
      <w:tr>
        <w:tc>
          <w:tcPr>
            <w:tcW w:type="dxa" w:w="2664"/>
            <w:vAlign w:val="center"/>
            <w:shd w:fill="EFF5FA"/>
            <w:tcMar>
              <w:top w:w="95" w:type="dxa"/>
              <w:start w:w="115" w:type="dxa"/>
              <w:bottom w:w="95" w:type="dxa"/>
              <w:end w:w="115" w:type="dxa"/>
            </w:tcMar>
          </w:tcPr>
          <w:p>
            <w:pPr>
              <w:spacing w:after="0" w:line="240" w:lineRule="auto"/>
            </w:pPr>
            <w:r/>
            <w:r>
              <w:rPr>
                <w:rFonts w:ascii="Arial" w:hAnsi="Arial"/>
                <w:b/>
                <w:color w:val="182B43"/>
                <w:sz w:val="16"/>
              </w:rPr>
              <w:t>NbuUser / Identity</w:t>
            </w:r>
          </w:p>
        </w:tc>
        <w:tc>
          <w:tcPr>
            <w:tcW w:type="dxa" w:w="7848"/>
            <w:vAlign w:val="center"/>
            <w:shd w:fill="EFF5FA"/>
            <w:tcMar>
              <w:top w:w="95" w:type="dxa"/>
              <w:start w:w="115" w:type="dxa"/>
              <w:bottom w:w="95" w:type="dxa"/>
              <w:end w:w="115" w:type="dxa"/>
            </w:tcMar>
          </w:tcPr>
          <w:p>
            <w:pPr>
              <w:spacing w:after="0" w:line="240" w:lineRule="auto"/>
            </w:pPr>
            <w:r/>
            <w:r>
              <w:rPr>
                <w:rFonts w:ascii="Arial" w:hAnsi="Arial"/>
                <w:b w:val="0"/>
                <w:color w:val="182B43"/>
                <w:sz w:val="16"/>
              </w:rPr>
              <w:t>Cuenta y rol; StudentId es opcional y único para asociar el portal a un estudiante.</w:t>
            </w:r>
          </w:p>
        </w:tc>
      </w:tr>
    </w:tbl>
    <w:p>
      <w:pPr>
        <w:spacing w:after="0"/>
      </w:pPr>
    </w:p>
    <w:p>
      <w:pPr>
        <w:pStyle w:val="ListBullet"/>
        <w:spacing w:after="60"/>
        <w:ind w:left="317" w:hanging="173"/>
      </w:pPr>
      <w:r>
        <w:rPr>
          <w:rFonts w:ascii="Arial" w:hAnsi="Arial"/>
          <w:color w:val="182B43"/>
          <w:sz w:val="19"/>
        </w:rPr>
        <w:t>Un estudiante puede enviar solicitudes para varias becas. Un índice único evita duplicar la misma solicitud para una beca.</w:t>
      </w:r>
    </w:p>
    <w:p>
      <w:pPr>
        <w:pStyle w:val="ListBullet"/>
        <w:spacing w:after="60"/>
        <w:ind w:left="317" w:hanging="173"/>
      </w:pPr>
      <w:r>
        <w:rPr>
          <w:rFonts w:ascii="Arial" w:hAnsi="Arial"/>
          <w:color w:val="182B43"/>
          <w:sz w:val="19"/>
        </w:rPr>
        <w:t>Una solicitud aceptada puede tener varios depósitos. Las claves foráneas protegen los registros relacionados.</w:t>
      </w:r>
    </w:p>
    <w:p>
      <w:pPr>
        <w:pStyle w:val="ListBullet"/>
        <w:spacing w:after="60"/>
        <w:ind w:left="317" w:hanging="173"/>
      </w:pPr>
      <w:r>
        <w:rPr>
          <w:rFonts w:ascii="Arial" w:hAnsi="Arial"/>
          <w:color w:val="182B43"/>
          <w:sz w:val="19"/>
        </w:rPr>
        <w:t>Las publicaciones pueden crear notificaciones para estudiantes activos.</w:t>
      </w:r>
    </w:p>
    <w:p>
      <w:pPr>
        <w:pStyle w:val="Heading1"/>
      </w:pPr>
      <w:r>
        <w:t>4. Acceso y protección de datos</w:t>
      </w:r>
    </w:p>
    <w:tbl>
      <w:tblPr>
        <w:tblW w:type="auto" w:w="0"/>
        <w:jc w:val="center"/>
        <w:tblLayout w:type="fixed"/>
        <w:tblLook w:firstColumn="1" w:firstRow="1" w:lastColumn="0" w:lastRow="0" w:noHBand="0" w:noVBand="1" w:val="04A0"/>
      </w:tblPr>
      <w:tblGrid>
        <w:gridCol w:w="1872"/>
        <w:gridCol w:w="8640"/>
      </w:tblGrid>
      <w:tr>
        <w:trPr>
          <w:tblHeader w:val="true"/>
        </w:trPr>
        <w:tc>
          <w:tcPr>
            <w:tcW w:type="dxa" w:w="1872"/>
            <w:shd w:fill="092754"/>
            <w:tcMar>
              <w:top w:w="95" w:type="dxa"/>
              <w:start w:w="115" w:type="dxa"/>
              <w:bottom w:w="95" w:type="dxa"/>
              <w:end w:w="115" w:type="dxa"/>
            </w:tcMar>
            <w:vAlign w:val="center"/>
          </w:tcPr>
          <w:p>
            <w:pPr>
              <w:spacing w:after="0"/>
            </w:pPr>
            <w:r/>
            <w:r>
              <w:rPr>
                <w:rFonts w:ascii="Arial" w:hAnsi="Arial"/>
                <w:b/>
                <w:color w:val="FFFFFF"/>
                <w:sz w:val="17"/>
              </w:rPr>
              <w:t>Perfil</w:t>
            </w:r>
          </w:p>
        </w:tc>
        <w:tc>
          <w:tcPr>
            <w:tcW w:type="dxa" w:w="8640"/>
            <w:shd w:fill="092754"/>
            <w:tcMar>
              <w:top w:w="95" w:type="dxa"/>
              <w:start w:w="115" w:type="dxa"/>
              <w:bottom w:w="95" w:type="dxa"/>
              <w:end w:w="115" w:type="dxa"/>
            </w:tcMar>
            <w:vAlign w:val="center"/>
          </w:tcPr>
          <w:p>
            <w:pPr>
              <w:spacing w:after="0"/>
            </w:pPr>
            <w:r/>
            <w:r>
              <w:rPr>
                <w:rFonts w:ascii="Arial" w:hAnsi="Arial"/>
                <w:b/>
                <w:color w:val="FFFFFF"/>
                <w:sz w:val="17"/>
              </w:rPr>
              <w:t>Acceso</w:t>
            </w:r>
          </w:p>
        </w:tc>
      </w:tr>
      <w:tr>
        <w:tc>
          <w:tcPr>
            <w:tcW w:type="dxa" w:w="1872"/>
            <w:vAlign w:val="center"/>
            <w:shd w:fill="EFF5FA"/>
            <w:tcMar>
              <w:top w:w="95" w:type="dxa"/>
              <w:start w:w="115" w:type="dxa"/>
              <w:bottom w:w="95" w:type="dxa"/>
              <w:end w:w="115" w:type="dxa"/>
            </w:tcMar>
          </w:tcPr>
          <w:p>
            <w:pPr>
              <w:spacing w:after="0" w:line="240" w:lineRule="auto"/>
            </w:pPr>
            <w:r/>
            <w:r>
              <w:rPr>
                <w:rFonts w:ascii="Arial" w:hAnsi="Arial"/>
                <w:b/>
                <w:color w:val="182B43"/>
                <w:sz w:val="17"/>
              </w:rPr>
              <w:t>Admin</w:t>
            </w:r>
          </w:p>
        </w:tc>
        <w:tc>
          <w:tcPr>
            <w:tcW w:type="dxa" w:w="8640"/>
            <w:vAlign w:val="center"/>
            <w:shd w:fill="EFF5FA"/>
            <w:tcMar>
              <w:top w:w="95" w:type="dxa"/>
              <w:start w:w="115" w:type="dxa"/>
              <w:bottom w:w="95" w:type="dxa"/>
              <w:end w:w="115" w:type="dxa"/>
            </w:tcMar>
          </w:tcPr>
          <w:p>
            <w:pPr>
              <w:spacing w:after="0" w:line="240" w:lineRule="auto"/>
            </w:pPr>
            <w:r/>
            <w:r>
              <w:rPr>
                <w:rFonts w:ascii="Arial" w:hAnsi="Arial"/>
                <w:b w:val="0"/>
                <w:color w:val="182B43"/>
                <w:sz w:val="17"/>
              </w:rPr>
              <w:t>Controladores CRUD de la web, publicación y revisión de registros, y aplicación Windows Forms.</w:t>
            </w:r>
          </w:p>
        </w:tc>
      </w:tr>
      <w:tr>
        <w:tc>
          <w:tcPr>
            <w:tcW w:type="dxa" w:w="1872"/>
            <w:vAlign w:val="center"/>
            <w:shd w:fill="FFFFFF"/>
            <w:tcMar>
              <w:top w:w="95" w:type="dxa"/>
              <w:start w:w="115" w:type="dxa"/>
              <w:bottom w:w="95" w:type="dxa"/>
              <w:end w:w="115" w:type="dxa"/>
            </w:tcMar>
          </w:tcPr>
          <w:p>
            <w:pPr>
              <w:spacing w:after="0" w:line="240" w:lineRule="auto"/>
            </w:pPr>
            <w:r/>
            <w:r>
              <w:rPr>
                <w:rFonts w:ascii="Arial" w:hAnsi="Arial"/>
                <w:b/>
                <w:color w:val="182B43"/>
                <w:sz w:val="17"/>
              </w:rPr>
              <w:t>Student</w:t>
            </w:r>
          </w:p>
        </w:tc>
        <w:tc>
          <w:tcPr>
            <w:tcW w:type="dxa" w:w="8640"/>
            <w:vAlign w:val="center"/>
            <w:shd w:fill="FFFFFF"/>
            <w:tcMar>
              <w:top w:w="95" w:type="dxa"/>
              <w:start w:w="115" w:type="dxa"/>
              <w:bottom w:w="95" w:type="dxa"/>
              <w:end w:w="115" w:type="dxa"/>
            </w:tcMar>
          </w:tcPr>
          <w:p>
            <w:pPr>
              <w:spacing w:after="0" w:line="240" w:lineRule="auto"/>
            </w:pPr>
            <w:r/>
            <w:r>
              <w:rPr>
                <w:rFonts w:ascii="Arial" w:hAnsi="Arial"/>
                <w:b w:val="0"/>
                <w:color w:val="182B43"/>
                <w:sz w:val="17"/>
              </w:rPr>
              <w:t>Convocatorias y sus propias solicitudes, pagos y notificaciones; noticias y eventos publicados.</w:t>
            </w:r>
          </w:p>
        </w:tc>
      </w:tr>
    </w:tbl>
    <w:p>
      <w:pPr>
        <w:spacing w:after="0"/>
      </w:pPr>
    </w:p>
    <w:p>
      <w:pPr>
        <w:widowControl/>
      </w:pPr>
      <w:r>
        <w:rPr>
          <w:rFonts w:ascii="Arial" w:hAnsi="Arial"/>
          <w:color w:val="182B43"/>
        </w:rPr>
        <w:t>ASP.NET Core Identity guarda las contraseñas con hash, controla los intentos fallidos y emite una cookie HttpOnly. Las acciones de escritura usan protección antifalsificación. El portal obtiene el StudentId desde la cuenta autenticada y filtra cada consulta con ese identificador; no acepta un StudentId enviado por el navegador.</w:t>
      </w:r>
    </w:p>
    <w:p>
      <w:pPr>
        <w:widowControl/>
      </w:pPr>
      <w:r>
        <w:rPr>
          <w:rFonts w:ascii="Arial" w:hAnsi="Arial"/>
          <w:color w:val="182B43"/>
        </w:rPr>
        <w:t>La aplicación de escritorio valida el hash de contraseña y el rol Admin en las tablas Identity antes de abrir el panel. Una cuenta Student no puede abrir el programa administrativo.</w:t>
      </w:r>
    </w:p>
    <w:p>
      <w:pPr>
        <w:pStyle w:val="Heading1"/>
      </w:pPr>
      <w:r>
        <w:t>5. Alcance de depósitos y transferencias</w:t>
      </w:r>
    </w:p>
    <w:p>
      <w:pPr>
        <w:widowControl/>
      </w:pPr>
      <w:r>
        <w:rPr>
          <w:rFonts w:ascii="Arial" w:hAnsi="Arial"/>
          <w:color w:val="182B43"/>
        </w:rPr>
        <w:t>El módulo de pagos guarda depósitos que el personal registra después de haber sido realizados fuera del sistema. La opción de transferencias bancarias del portal es una tarjeta visual deshabilitada. No existe integración bancaria ni operación para enviar, recibir o mover fondos.</w:t>
      </w:r>
    </w:p>
    <w:p>
      <w:r>
        <w:br w:type="page"/>
      </w:r>
    </w:p>
    <w:p>
      <w:pPr>
        <w:pStyle w:val="Heading1"/>
      </w:pPr>
      <w:r>
        <w:t>6. Tecnologías</w:t>
      </w:r>
    </w:p>
    <w:tbl>
      <w:tblPr>
        <w:tblW w:type="auto" w:w="0"/>
        <w:jc w:val="center"/>
        <w:tblLayout w:type="fixed"/>
        <w:tblLook w:firstColumn="1" w:firstRow="1" w:lastColumn="0" w:lastRow="0" w:noHBand="0" w:noVBand="1" w:val="04A0"/>
      </w:tblPr>
      <w:tblGrid>
        <w:gridCol w:w="3168"/>
        <w:gridCol w:w="7344"/>
      </w:tblGrid>
      <w:tr>
        <w:trPr>
          <w:tblHeader w:val="true"/>
        </w:trPr>
        <w:tc>
          <w:tcPr>
            <w:tcW w:type="dxa" w:w="3168"/>
            <w:shd w:fill="092754"/>
            <w:tcMar>
              <w:top w:w="95" w:type="dxa"/>
              <w:start w:w="115" w:type="dxa"/>
              <w:bottom w:w="95" w:type="dxa"/>
              <w:end w:w="115" w:type="dxa"/>
            </w:tcMar>
            <w:vAlign w:val="center"/>
          </w:tcPr>
          <w:p>
            <w:pPr>
              <w:spacing w:after="0"/>
            </w:pPr>
            <w:r/>
            <w:r>
              <w:rPr>
                <w:rFonts w:ascii="Arial" w:hAnsi="Arial"/>
                <w:b/>
                <w:color w:val="FFFFFF"/>
                <w:sz w:val="16"/>
              </w:rPr>
              <w:t>Componente</w:t>
            </w:r>
          </w:p>
        </w:tc>
        <w:tc>
          <w:tcPr>
            <w:tcW w:type="dxa" w:w="7344"/>
            <w:shd w:fill="092754"/>
            <w:tcMar>
              <w:top w:w="95" w:type="dxa"/>
              <w:start w:w="115" w:type="dxa"/>
              <w:bottom w:w="95" w:type="dxa"/>
              <w:end w:w="115" w:type="dxa"/>
            </w:tcMar>
            <w:vAlign w:val="center"/>
          </w:tcPr>
          <w:p>
            <w:pPr>
              <w:spacing w:after="0"/>
            </w:pPr>
            <w:r/>
            <w:r>
              <w:rPr>
                <w:rFonts w:ascii="Arial" w:hAnsi="Arial"/>
                <w:b/>
                <w:color w:val="FFFFFF"/>
                <w:sz w:val="16"/>
              </w:rPr>
              <w:t>Versión / uso</w:t>
            </w:r>
          </w:p>
        </w:tc>
      </w:tr>
      <w:tr>
        <w:tc>
          <w:tcPr>
            <w:tcW w:type="dxa" w:w="3168"/>
            <w:vAlign w:val="center"/>
            <w:shd w:fill="EFF5FA"/>
            <w:tcMar>
              <w:top w:w="95" w:type="dxa"/>
              <w:start w:w="115" w:type="dxa"/>
              <w:bottom w:w="95" w:type="dxa"/>
              <w:end w:w="115" w:type="dxa"/>
            </w:tcMar>
          </w:tcPr>
          <w:p>
            <w:pPr>
              <w:spacing w:after="0" w:line="240" w:lineRule="auto"/>
            </w:pPr>
            <w:r/>
            <w:r>
              <w:rPr>
                <w:rFonts w:ascii="Arial" w:hAnsi="Arial"/>
                <w:b/>
                <w:color w:val="182B43"/>
                <w:sz w:val="16"/>
              </w:rPr>
              <w:t>C#</w:t>
            </w:r>
          </w:p>
        </w:tc>
        <w:tc>
          <w:tcPr>
            <w:tcW w:type="dxa" w:w="7344"/>
            <w:vAlign w:val="center"/>
            <w:shd w:fill="EFF5FA"/>
            <w:tcMar>
              <w:top w:w="95" w:type="dxa"/>
              <w:start w:w="115" w:type="dxa"/>
              <w:bottom w:w="95" w:type="dxa"/>
              <w:end w:w="115" w:type="dxa"/>
            </w:tcMar>
          </w:tcPr>
          <w:p>
            <w:pPr>
              <w:spacing w:after="0" w:line="240" w:lineRule="auto"/>
            </w:pPr>
            <w:r/>
            <w:r>
              <w:rPr>
                <w:rFonts w:ascii="Arial" w:hAnsi="Arial"/>
                <w:b w:val="0"/>
                <w:color w:val="182B43"/>
                <w:sz w:val="16"/>
              </w:rPr>
              <w:t>12</w:t>
            </w:r>
          </w:p>
        </w:tc>
      </w:tr>
      <w:tr>
        <w:tc>
          <w:tcPr>
            <w:tcW w:type="dxa" w:w="3168"/>
            <w:vAlign w:val="center"/>
            <w:shd w:fill="FFFFFF"/>
            <w:tcMar>
              <w:top w:w="95" w:type="dxa"/>
              <w:start w:w="115" w:type="dxa"/>
              <w:bottom w:w="95" w:type="dxa"/>
              <w:end w:w="115" w:type="dxa"/>
            </w:tcMar>
          </w:tcPr>
          <w:p>
            <w:pPr>
              <w:spacing w:after="0" w:line="240" w:lineRule="auto"/>
            </w:pPr>
            <w:r/>
            <w:r>
              <w:rPr>
                <w:rFonts w:ascii="Arial" w:hAnsi="Arial"/>
                <w:b/>
                <w:color w:val="182B43"/>
                <w:sz w:val="16"/>
              </w:rPr>
              <w:t>.NET</w:t>
            </w:r>
          </w:p>
        </w:tc>
        <w:tc>
          <w:tcPr>
            <w:tcW w:type="dxa" w:w="7344"/>
            <w:vAlign w:val="center"/>
            <w:shd w:fill="FFFFFF"/>
            <w:tcMar>
              <w:top w:w="95" w:type="dxa"/>
              <w:start w:w="115" w:type="dxa"/>
              <w:bottom w:w="95" w:type="dxa"/>
              <w:end w:w="115" w:type="dxa"/>
            </w:tcMar>
          </w:tcPr>
          <w:p>
            <w:pPr>
              <w:spacing w:after="0" w:line="240" w:lineRule="auto"/>
            </w:pPr>
            <w:r/>
            <w:r>
              <w:rPr>
                <w:rFonts w:ascii="Arial" w:hAnsi="Arial"/>
                <w:b w:val="0"/>
                <w:color w:val="182B43"/>
                <w:sz w:val="16"/>
              </w:rPr>
              <w:t>8</w:t>
            </w:r>
          </w:p>
        </w:tc>
      </w:tr>
      <w:tr>
        <w:tc>
          <w:tcPr>
            <w:tcW w:type="dxa" w:w="3168"/>
            <w:vAlign w:val="center"/>
            <w:shd w:fill="EFF5FA"/>
            <w:tcMar>
              <w:top w:w="95" w:type="dxa"/>
              <w:start w:w="115" w:type="dxa"/>
              <w:bottom w:w="95" w:type="dxa"/>
              <w:end w:w="115" w:type="dxa"/>
            </w:tcMar>
          </w:tcPr>
          <w:p>
            <w:pPr>
              <w:spacing w:after="0" w:line="240" w:lineRule="auto"/>
            </w:pPr>
            <w:r/>
            <w:r>
              <w:rPr>
                <w:rFonts w:ascii="Arial" w:hAnsi="Arial"/>
                <w:b/>
                <w:color w:val="182B43"/>
                <w:sz w:val="16"/>
              </w:rPr>
              <w:t>ASP.NET Core MVC</w:t>
            </w:r>
          </w:p>
        </w:tc>
        <w:tc>
          <w:tcPr>
            <w:tcW w:type="dxa" w:w="7344"/>
            <w:vAlign w:val="center"/>
            <w:shd w:fill="EFF5FA"/>
            <w:tcMar>
              <w:top w:w="95" w:type="dxa"/>
              <w:start w:w="115" w:type="dxa"/>
              <w:bottom w:w="95" w:type="dxa"/>
              <w:end w:w="115" w:type="dxa"/>
            </w:tcMar>
          </w:tcPr>
          <w:p>
            <w:pPr>
              <w:spacing w:after="0" w:line="240" w:lineRule="auto"/>
            </w:pPr>
            <w:r/>
            <w:r>
              <w:rPr>
                <w:rFonts w:ascii="Arial" w:hAnsi="Arial"/>
                <w:b w:val="0"/>
                <w:color w:val="182B43"/>
                <w:sz w:val="16"/>
              </w:rPr>
              <w:t>Aplicación web</w:t>
            </w:r>
          </w:p>
        </w:tc>
      </w:tr>
      <w:tr>
        <w:tc>
          <w:tcPr>
            <w:tcW w:type="dxa" w:w="3168"/>
            <w:vAlign w:val="center"/>
            <w:shd w:fill="FFFFFF"/>
            <w:tcMar>
              <w:top w:w="95" w:type="dxa"/>
              <w:start w:w="115" w:type="dxa"/>
              <w:bottom w:w="95" w:type="dxa"/>
              <w:end w:w="115" w:type="dxa"/>
            </w:tcMar>
          </w:tcPr>
          <w:p>
            <w:pPr>
              <w:spacing w:after="0" w:line="240" w:lineRule="auto"/>
            </w:pPr>
            <w:r/>
            <w:r>
              <w:rPr>
                <w:rFonts w:ascii="Arial" w:hAnsi="Arial"/>
                <w:b/>
                <w:color w:val="182B43"/>
                <w:sz w:val="16"/>
              </w:rPr>
              <w:t>Windows Forms</w:t>
            </w:r>
          </w:p>
        </w:tc>
        <w:tc>
          <w:tcPr>
            <w:tcW w:type="dxa" w:w="7344"/>
            <w:vAlign w:val="center"/>
            <w:shd w:fill="FFFFFF"/>
            <w:tcMar>
              <w:top w:w="95" w:type="dxa"/>
              <w:start w:w="115" w:type="dxa"/>
              <w:bottom w:w="95" w:type="dxa"/>
              <w:end w:w="115" w:type="dxa"/>
            </w:tcMar>
          </w:tcPr>
          <w:p>
            <w:pPr>
              <w:spacing w:after="0" w:line="240" w:lineRule="auto"/>
            </w:pPr>
            <w:r/>
            <w:r>
              <w:rPr>
                <w:rFonts w:ascii="Arial" w:hAnsi="Arial"/>
                <w:b w:val="0"/>
                <w:color w:val="182B43"/>
                <w:sz w:val="16"/>
              </w:rPr>
              <w:t>Aplicación de escritorio</w:t>
            </w:r>
          </w:p>
        </w:tc>
      </w:tr>
      <w:tr>
        <w:tc>
          <w:tcPr>
            <w:tcW w:type="dxa" w:w="3168"/>
            <w:vAlign w:val="center"/>
            <w:shd w:fill="EFF5FA"/>
            <w:tcMar>
              <w:top w:w="95" w:type="dxa"/>
              <w:start w:w="115" w:type="dxa"/>
              <w:bottom w:w="95" w:type="dxa"/>
              <w:end w:w="115" w:type="dxa"/>
            </w:tcMar>
          </w:tcPr>
          <w:p>
            <w:pPr>
              <w:spacing w:after="0" w:line="240" w:lineRule="auto"/>
            </w:pPr>
            <w:r/>
            <w:r>
              <w:rPr>
                <w:rFonts w:ascii="Arial" w:hAnsi="Arial"/>
                <w:b/>
                <w:color w:val="182B43"/>
                <w:sz w:val="16"/>
              </w:rPr>
              <w:t>Entity Framework Core</w:t>
            </w:r>
          </w:p>
        </w:tc>
        <w:tc>
          <w:tcPr>
            <w:tcW w:type="dxa" w:w="7344"/>
            <w:vAlign w:val="center"/>
            <w:shd w:fill="EFF5FA"/>
            <w:tcMar>
              <w:top w:w="95" w:type="dxa"/>
              <w:start w:w="115" w:type="dxa"/>
              <w:bottom w:w="95" w:type="dxa"/>
              <w:end w:w="115" w:type="dxa"/>
            </w:tcMar>
          </w:tcPr>
          <w:p>
            <w:pPr>
              <w:spacing w:after="0" w:line="240" w:lineRule="auto"/>
            </w:pPr>
            <w:r/>
            <w:r>
              <w:rPr>
                <w:rFonts w:ascii="Arial" w:hAnsi="Arial"/>
                <w:b w:val="0"/>
                <w:color w:val="182B43"/>
                <w:sz w:val="16"/>
              </w:rPr>
              <w:t>8 · ORM y migraciones</w:t>
            </w:r>
          </w:p>
        </w:tc>
      </w:tr>
      <w:tr>
        <w:tc>
          <w:tcPr>
            <w:tcW w:type="dxa" w:w="3168"/>
            <w:vAlign w:val="center"/>
            <w:shd w:fill="FFFFFF"/>
            <w:tcMar>
              <w:top w:w="95" w:type="dxa"/>
              <w:start w:w="115" w:type="dxa"/>
              <w:bottom w:w="95" w:type="dxa"/>
              <w:end w:w="115" w:type="dxa"/>
            </w:tcMar>
          </w:tcPr>
          <w:p>
            <w:pPr>
              <w:spacing w:after="0" w:line="240" w:lineRule="auto"/>
            </w:pPr>
            <w:r/>
            <w:r>
              <w:rPr>
                <w:rFonts w:ascii="Arial" w:hAnsi="Arial"/>
                <w:b/>
                <w:color w:val="182B43"/>
                <w:sz w:val="16"/>
              </w:rPr>
              <w:t>SQL Server</w:t>
            </w:r>
          </w:p>
        </w:tc>
        <w:tc>
          <w:tcPr>
            <w:tcW w:type="dxa" w:w="7344"/>
            <w:vAlign w:val="center"/>
            <w:shd w:fill="FFFFFF"/>
            <w:tcMar>
              <w:top w:w="95" w:type="dxa"/>
              <w:start w:w="115" w:type="dxa"/>
              <w:bottom w:w="95" w:type="dxa"/>
              <w:end w:w="115" w:type="dxa"/>
            </w:tcMar>
          </w:tcPr>
          <w:p>
            <w:pPr>
              <w:spacing w:after="0" w:line="240" w:lineRule="auto"/>
            </w:pPr>
            <w:r/>
            <w:r>
              <w:rPr>
                <w:rFonts w:ascii="Arial" w:hAnsi="Arial"/>
                <w:b w:val="0"/>
                <w:color w:val="182B43"/>
                <w:sz w:val="16"/>
              </w:rPr>
              <w:t>Base compartida; configuración inicial SQLEXPRESS22</w:t>
            </w:r>
          </w:p>
        </w:tc>
      </w:tr>
      <w:tr>
        <w:tc>
          <w:tcPr>
            <w:tcW w:type="dxa" w:w="3168"/>
            <w:vAlign w:val="center"/>
            <w:shd w:fill="EFF5FA"/>
            <w:tcMar>
              <w:top w:w="95" w:type="dxa"/>
              <w:start w:w="115" w:type="dxa"/>
              <w:bottom w:w="95" w:type="dxa"/>
              <w:end w:w="115" w:type="dxa"/>
            </w:tcMar>
          </w:tcPr>
          <w:p>
            <w:pPr>
              <w:spacing w:after="0" w:line="240" w:lineRule="auto"/>
            </w:pPr>
            <w:r/>
            <w:r>
              <w:rPr>
                <w:rFonts w:ascii="Arial" w:hAnsi="Arial"/>
                <w:b/>
                <w:color w:val="182B43"/>
                <w:sz w:val="16"/>
              </w:rPr>
              <w:t>Bootstrap</w:t>
            </w:r>
          </w:p>
        </w:tc>
        <w:tc>
          <w:tcPr>
            <w:tcW w:type="dxa" w:w="7344"/>
            <w:vAlign w:val="center"/>
            <w:shd w:fill="EFF5FA"/>
            <w:tcMar>
              <w:top w:w="95" w:type="dxa"/>
              <w:start w:w="115" w:type="dxa"/>
              <w:bottom w:w="95" w:type="dxa"/>
              <w:end w:w="115" w:type="dxa"/>
            </w:tcMar>
          </w:tcPr>
          <w:p>
            <w:pPr>
              <w:spacing w:after="0" w:line="240" w:lineRule="auto"/>
            </w:pPr>
            <w:r/>
            <w:r>
              <w:rPr>
                <w:rFonts w:ascii="Arial" w:hAnsi="Arial"/>
                <w:b w:val="0"/>
                <w:color w:val="182B43"/>
                <w:sz w:val="16"/>
              </w:rPr>
              <w:t>Navegación y componentes web adaptables</w:t>
            </w:r>
          </w:p>
        </w:tc>
      </w:tr>
    </w:tbl>
    <w:p>
      <w:pPr>
        <w:spacing w:after="0"/>
      </w:pPr>
    </w:p>
    <w:p>
      <w:pPr>
        <w:pStyle w:val="Heading1"/>
      </w:pPr>
      <w:r>
        <w:t>7. Instalación y ejecución local</w:t>
      </w:r>
    </w:p>
    <w:p>
      <w:pPr>
        <w:pStyle w:val="ListBullet"/>
        <w:spacing w:after="60"/>
        <w:ind w:left="317" w:hanging="173"/>
      </w:pPr>
      <w:r>
        <w:rPr>
          <w:rFonts w:ascii="Arial" w:hAnsi="Arial"/>
          <w:color w:val="182B43"/>
          <w:sz w:val="19"/>
        </w:rPr>
        <w:t>Instalar .NET 8 SDK y SQL Server Express. La instancia usada en el equipo de desarrollo es SQLEXPRESS22.</w:t>
      </w:r>
    </w:p>
    <w:p>
      <w:pPr>
        <w:pStyle w:val="ListBullet"/>
        <w:spacing w:after="60"/>
        <w:ind w:left="317" w:hanging="173"/>
      </w:pPr>
      <w:r>
        <w:rPr>
          <w:rFonts w:ascii="Arial" w:hAnsi="Arial"/>
          <w:color w:val="182B43"/>
          <w:sz w:val="19"/>
        </w:rPr>
        <w:t>Verificar la cadena de conexión en NBU.Web/appsettings.json y NBU.Desktop/appsettings.json.</w:t>
      </w:r>
    </w:p>
    <w:p>
      <w:pPr>
        <w:pStyle w:val="ListBullet"/>
        <w:spacing w:after="60"/>
        <w:ind w:left="317" w:hanging="173"/>
      </w:pPr>
      <w:r>
        <w:rPr>
          <w:rFonts w:ascii="Arial" w:hAnsi="Arial"/>
          <w:color w:val="182B43"/>
          <w:sz w:val="19"/>
        </w:rPr>
        <w:t>Desde la raíz, ejecutar dotnet run --project NBU.Web en modo Development. El portal aplica migraciones y agrega datos de muestra.</w:t>
      </w:r>
    </w:p>
    <w:p>
      <w:pPr>
        <w:pStyle w:val="ListBullet"/>
        <w:spacing w:after="60"/>
        <w:ind w:left="317" w:hanging="173"/>
      </w:pPr>
      <w:r>
        <w:rPr>
          <w:rFonts w:ascii="Arial" w:hAnsi="Arial"/>
          <w:color w:val="182B43"/>
          <w:sz w:val="19"/>
        </w:rPr>
        <w:t>Abrir la dirección local indicada por la terminal e iniciar sesión con una de las cuentas de demostración.</w:t>
      </w:r>
    </w:p>
    <w:p>
      <w:pPr>
        <w:pStyle w:val="ListBullet"/>
        <w:spacing w:after="60"/>
        <w:ind w:left="317" w:hanging="173"/>
      </w:pPr>
      <w:r>
        <w:rPr>
          <w:rFonts w:ascii="Arial" w:hAnsi="Arial"/>
          <w:color w:val="182B43"/>
          <w:sz w:val="19"/>
        </w:rPr>
        <w:t>Ejecutar dotnet run --project NBU.Desktop para abrir el acceso administrativo de Windows Forms.</w:t>
      </w:r>
    </w:p>
    <w:p>
      <w:pPr>
        <w:pStyle w:val="ListBullet"/>
        <w:spacing w:after="60"/>
        <w:ind w:left="317" w:hanging="173"/>
      </w:pPr>
      <w:r>
        <w:rPr>
          <w:rFonts w:ascii="Arial" w:hAnsi="Arial"/>
          <w:color w:val="182B43"/>
          <w:sz w:val="19"/>
        </w:rPr>
        <w:t>Para instalar manualmente el esquema en SSMS, seleccionar la base NBU y ejecutar database/NBU.sql.</w:t>
      </w:r>
    </w:p>
    <w:p>
      <w:pPr>
        <w:pStyle w:val="Heading2"/>
      </w:pPr>
      <w:r>
        <w:t>Cuentas de demostración</w:t>
      </w:r>
    </w:p>
    <w:tbl>
      <w:tblPr>
        <w:tblW w:type="auto" w:w="0"/>
        <w:jc w:val="center"/>
        <w:tblLayout w:type="fixed"/>
        <w:tblLook w:firstColumn="1" w:firstRow="1" w:lastColumn="0" w:lastRow="0" w:noHBand="0" w:noVBand="1" w:val="04A0"/>
      </w:tblPr>
      <w:tblGrid>
        <w:gridCol w:w="2160"/>
        <w:gridCol w:w="3888"/>
        <w:gridCol w:w="4464"/>
      </w:tblGrid>
      <w:tr>
        <w:trPr>
          <w:tblHeader w:val="true"/>
        </w:trPr>
        <w:tc>
          <w:tcPr>
            <w:tcW w:type="dxa" w:w="2160"/>
            <w:shd w:fill="092754"/>
            <w:tcMar>
              <w:top w:w="95" w:type="dxa"/>
              <w:start w:w="115" w:type="dxa"/>
              <w:bottom w:w="95" w:type="dxa"/>
              <w:end w:w="115" w:type="dxa"/>
            </w:tcMar>
            <w:vAlign w:val="center"/>
          </w:tcPr>
          <w:p>
            <w:pPr>
              <w:spacing w:after="0"/>
            </w:pPr>
            <w:r/>
            <w:r>
              <w:rPr>
                <w:rFonts w:ascii="Arial" w:hAnsi="Arial"/>
                <w:b/>
                <w:color w:val="FFFFFF"/>
                <w:sz w:val="16"/>
              </w:rPr>
              <w:t>Perfil</w:t>
            </w:r>
          </w:p>
        </w:tc>
        <w:tc>
          <w:tcPr>
            <w:tcW w:type="dxa" w:w="3888"/>
            <w:shd w:fill="092754"/>
            <w:tcMar>
              <w:top w:w="95" w:type="dxa"/>
              <w:start w:w="115" w:type="dxa"/>
              <w:bottom w:w="95" w:type="dxa"/>
              <w:end w:w="115" w:type="dxa"/>
            </w:tcMar>
            <w:vAlign w:val="center"/>
          </w:tcPr>
          <w:p>
            <w:pPr>
              <w:spacing w:after="0"/>
            </w:pPr>
            <w:r/>
            <w:r>
              <w:rPr>
                <w:rFonts w:ascii="Arial" w:hAnsi="Arial"/>
                <w:b/>
                <w:color w:val="FFFFFF"/>
                <w:sz w:val="16"/>
              </w:rPr>
              <w:t>Correo</w:t>
            </w:r>
          </w:p>
        </w:tc>
        <w:tc>
          <w:tcPr>
            <w:tcW w:type="dxa" w:w="4464"/>
            <w:shd w:fill="092754"/>
            <w:tcMar>
              <w:top w:w="95" w:type="dxa"/>
              <w:start w:w="115" w:type="dxa"/>
              <w:bottom w:w="95" w:type="dxa"/>
              <w:end w:w="115" w:type="dxa"/>
            </w:tcMar>
            <w:vAlign w:val="center"/>
          </w:tcPr>
          <w:p>
            <w:pPr>
              <w:spacing w:after="0"/>
            </w:pPr>
            <w:r/>
            <w:r>
              <w:rPr>
                <w:rFonts w:ascii="Arial" w:hAnsi="Arial"/>
                <w:b/>
                <w:color w:val="FFFFFF"/>
                <w:sz w:val="16"/>
              </w:rPr>
              <w:t>Contraseña de demostración</w:t>
            </w:r>
          </w:p>
        </w:tc>
      </w:tr>
      <w:tr>
        <w:tc>
          <w:tcPr>
            <w:tcW w:type="dxa" w:w="2160"/>
            <w:vAlign w:val="center"/>
            <w:shd w:fill="EFF5FA"/>
            <w:tcMar>
              <w:top w:w="95" w:type="dxa"/>
              <w:start w:w="115" w:type="dxa"/>
              <w:bottom w:w="95" w:type="dxa"/>
              <w:end w:w="115" w:type="dxa"/>
            </w:tcMar>
          </w:tcPr>
          <w:p>
            <w:pPr>
              <w:spacing w:after="0" w:line="240" w:lineRule="auto"/>
            </w:pPr>
            <w:r/>
            <w:r>
              <w:rPr>
                <w:rFonts w:ascii="Arial" w:hAnsi="Arial"/>
                <w:b/>
                <w:color w:val="182B43"/>
                <w:sz w:val="16"/>
              </w:rPr>
              <w:t>Administración</w:t>
            </w:r>
          </w:p>
        </w:tc>
        <w:tc>
          <w:tcPr>
            <w:tcW w:type="dxa" w:w="3888"/>
            <w:vAlign w:val="center"/>
            <w:shd w:fill="EFF5FA"/>
            <w:tcMar>
              <w:top w:w="95" w:type="dxa"/>
              <w:start w:w="115" w:type="dxa"/>
              <w:bottom w:w="95" w:type="dxa"/>
              <w:end w:w="115" w:type="dxa"/>
            </w:tcMar>
          </w:tcPr>
          <w:p>
            <w:pPr>
              <w:spacing w:after="0" w:line="240" w:lineRule="auto"/>
            </w:pPr>
            <w:r/>
            <w:r>
              <w:rPr>
                <w:rFonts w:ascii="Arial" w:hAnsi="Arial"/>
                <w:b w:val="0"/>
                <w:color w:val="182B43"/>
                <w:sz w:val="16"/>
              </w:rPr>
              <w:t>admin@nbu.test</w:t>
            </w:r>
          </w:p>
        </w:tc>
        <w:tc>
          <w:tcPr>
            <w:tcW w:type="dxa" w:w="4464"/>
            <w:vAlign w:val="center"/>
            <w:shd w:fill="EFF5FA"/>
            <w:tcMar>
              <w:top w:w="95" w:type="dxa"/>
              <w:start w:w="115" w:type="dxa"/>
              <w:bottom w:w="95" w:type="dxa"/>
              <w:end w:w="115" w:type="dxa"/>
            </w:tcMar>
          </w:tcPr>
          <w:p>
            <w:pPr>
              <w:spacing w:after="0" w:line="240" w:lineRule="auto"/>
            </w:pPr>
            <w:r/>
            <w:r>
              <w:rPr>
                <w:rFonts w:ascii="Arial" w:hAnsi="Arial"/>
                <w:b w:val="0"/>
                <w:color w:val="182B43"/>
                <w:sz w:val="16"/>
              </w:rPr>
              <w:t>NbuAdmin2026!</w:t>
            </w:r>
          </w:p>
        </w:tc>
      </w:tr>
      <w:tr>
        <w:tc>
          <w:tcPr>
            <w:tcW w:type="dxa" w:w="2160"/>
            <w:vAlign w:val="center"/>
            <w:shd w:fill="FFFFFF"/>
            <w:tcMar>
              <w:top w:w="95" w:type="dxa"/>
              <w:start w:w="115" w:type="dxa"/>
              <w:bottom w:w="95" w:type="dxa"/>
              <w:end w:w="115" w:type="dxa"/>
            </w:tcMar>
          </w:tcPr>
          <w:p>
            <w:pPr>
              <w:spacing w:after="0" w:line="240" w:lineRule="auto"/>
            </w:pPr>
            <w:r/>
            <w:r>
              <w:rPr>
                <w:rFonts w:ascii="Arial" w:hAnsi="Arial"/>
                <w:b/>
                <w:color w:val="182B43"/>
                <w:sz w:val="16"/>
              </w:rPr>
              <w:t>Estudiante</w:t>
            </w:r>
          </w:p>
        </w:tc>
        <w:tc>
          <w:tcPr>
            <w:tcW w:type="dxa" w:w="3888"/>
            <w:vAlign w:val="center"/>
            <w:shd w:fill="FFFFFF"/>
            <w:tcMar>
              <w:top w:w="95" w:type="dxa"/>
              <w:start w:w="115" w:type="dxa"/>
              <w:bottom w:w="95" w:type="dxa"/>
              <w:end w:w="115" w:type="dxa"/>
            </w:tcMar>
          </w:tcPr>
          <w:p>
            <w:pPr>
              <w:spacing w:after="0" w:line="240" w:lineRule="auto"/>
            </w:pPr>
            <w:r/>
            <w:r>
              <w:rPr>
                <w:rFonts w:ascii="Arial" w:hAnsi="Arial"/>
                <w:b w:val="0"/>
                <w:color w:val="182B43"/>
                <w:sz w:val="16"/>
              </w:rPr>
              <w:t>ana.mendez@example.test</w:t>
            </w:r>
          </w:p>
        </w:tc>
        <w:tc>
          <w:tcPr>
            <w:tcW w:type="dxa" w:w="4464"/>
            <w:vAlign w:val="center"/>
            <w:shd w:fill="FFFFFF"/>
            <w:tcMar>
              <w:top w:w="95" w:type="dxa"/>
              <w:start w:w="115" w:type="dxa"/>
              <w:bottom w:w="95" w:type="dxa"/>
              <w:end w:w="115" w:type="dxa"/>
            </w:tcMar>
          </w:tcPr>
          <w:p>
            <w:pPr>
              <w:spacing w:after="0" w:line="240" w:lineRule="auto"/>
            </w:pPr>
            <w:r/>
            <w:r>
              <w:rPr>
                <w:rFonts w:ascii="Arial" w:hAnsi="Arial"/>
                <w:b w:val="0"/>
                <w:color w:val="182B43"/>
                <w:sz w:val="16"/>
              </w:rPr>
              <w:t>NbuEstudiante2026!</w:t>
            </w:r>
          </w:p>
        </w:tc>
      </w:tr>
    </w:tbl>
    <w:p>
      <w:pPr>
        <w:spacing w:after="0"/>
      </w:pPr>
    </w:p>
    <w:p>
      <w:pPr>
        <w:widowControl/>
      </w:pPr>
      <w:r>
        <w:rPr>
          <w:rFonts w:ascii="Arial" w:hAnsi="Arial"/>
          <w:color w:val="8B5B16"/>
        </w:rPr>
        <w:t>El seeder solo se ejecuta en Desarrollo. Los nombres, correos, teléfonos y pagos de ejemplo son ficticios. Cambiar las contraseñas iniciales antes de cualquier uso fuera del entorno local.</w:t>
      </w:r>
    </w:p>
    <w:p>
      <w:pPr>
        <w:pStyle w:val="Heading1"/>
      </w:pPr>
      <w:r>
        <w:t>8. Configuración y mantenimiento</w:t>
      </w:r>
    </w:p>
    <w:p>
      <w:pPr>
        <w:pStyle w:val="ListBullet"/>
        <w:spacing w:after="60"/>
        <w:ind w:left="317" w:hanging="173"/>
      </w:pPr>
      <w:r>
        <w:rPr>
          <w:rFonts w:ascii="Arial" w:hAnsi="Arial"/>
          <w:color w:val="182B43"/>
          <w:sz w:val="19"/>
        </w:rPr>
        <w:t>El portal aplica automáticamente las migraciones de EF Core en Development. En un entorno distinto, revisar y aplicar el script SQL de forma controlada.</w:t>
      </w:r>
    </w:p>
    <w:p>
      <w:pPr>
        <w:pStyle w:val="ListBullet"/>
        <w:spacing w:after="60"/>
        <w:ind w:left="317" w:hanging="173"/>
      </w:pPr>
      <w:r>
        <w:rPr>
          <w:rFonts w:ascii="Arial" w:hAnsi="Arial"/>
          <w:color w:val="182B43"/>
          <w:sz w:val="19"/>
        </w:rPr>
        <w:t>No guardar credenciales reales ni datos personales en el repositorio Git.</w:t>
      </w:r>
    </w:p>
    <w:p>
      <w:pPr>
        <w:pStyle w:val="ListBullet"/>
        <w:spacing w:after="60"/>
        <w:ind w:left="317" w:hanging="173"/>
      </w:pPr>
      <w:r>
        <w:rPr>
          <w:rFonts w:ascii="Arial" w:hAnsi="Arial"/>
          <w:color w:val="182B43"/>
          <w:sz w:val="19"/>
        </w:rPr>
        <w:t>El ejecutable de escritorio utiliza la misma base y requiere que SQL Server esté iniciado.</w:t>
      </w:r>
    </w:p>
    <w:p>
      <w:pPr>
        <w:pStyle w:val="ListBullet"/>
        <w:spacing w:after="60"/>
        <w:ind w:left="317" w:hanging="173"/>
      </w:pPr>
      <w:r>
        <w:rPr>
          <w:rFonts w:ascii="Arial" w:hAnsi="Arial"/>
          <w:color w:val="182B43"/>
          <w:sz w:val="19"/>
        </w:rPr>
        <w:t>No distribuir la base con datos reales de estudiantes como parte de una demostración pública.</w:t>
      </w:r>
    </w:p>
    <w:sectPr w:rsidR="00FC693F" w:rsidRPr="0006063C" w:rsidSect="00034616">
      <w:headerReference w:type="default" r:id="rId9"/>
      <w:footerReference w:type="default" r:id="rId10"/>
      <w:pgSz w:w="12240" w:h="15840"/>
      <w:pgMar w:top="936" w:right="1037" w:bottom="893"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758A"/>
        <w:sz w:val="16"/>
      </w:rPr>
      <w:t xml:space="preserve">Tu esfuerzo abre oportunidades  ·  Grupo INS-1111  ·  </w:t>
    </w:r>
    <w:r>
      <w:rPr>
        <w:rFonts w:ascii="Arial" w:hAnsi="Arial"/>
        <w:color w:val="64758A"/>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092754"/>
        <w:sz w:val="16"/>
      </w:rPr>
      <w:t>NBU  |  NICARAGUA BECAS UNIVERSITARIAS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82B4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92754"/>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92754"/>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