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Arial" w:hAnsi="Arial"/>
          <w:b/>
          <w:color w:val="000000"/>
          <w:sz w:val="50"/>
        </w:rPr>
        <w:t>Manual de usuario NBU</w:t>
      </w:r>
    </w:p>
    <w:p>
      <w:pPr>
        <w:spacing w:after="200"/>
      </w:pPr>
      <w:r>
        <w:rPr>
          <w:rFonts w:ascii="Arial" w:hAnsi="Arial"/>
          <w:color w:val="64758A"/>
          <w:sz w:val="21"/>
        </w:rPr>
        <w:t>Guía de acceso para estudiantes y personal de Nicaragua Becas Universitarias</w:t>
      </w:r>
    </w:p>
    <w:p>
      <w:pPr>
        <w:pStyle w:val="Heading1"/>
      </w:pPr>
      <w:r>
        <w:t>1. Antes de ingresar</w:t>
      </w:r>
    </w:p>
    <w:p>
      <w:pPr>
        <w:widowControl/>
      </w:pPr>
      <w:r>
        <w:rPr>
          <w:rFonts w:ascii="Arial" w:hAnsi="Arial"/>
          <w:color w:val="182B43"/>
        </w:rPr>
        <w:t>NBU ofrece una cuenta para estudiantes y otra para personal administrador. Usa las credenciales asignadas. Para la demostración local, las cuentas de ejemplo son: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888"/>
        <w:gridCol w:w="4464"/>
      </w:tblGrid>
      <w:tr>
        <w:trPr>
          <w:tblHeader w:val="true"/>
        </w:trPr>
        <w:tc>
          <w:tcPr>
            <w:tcW w:type="dxa" w:w="2160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Perfil</w:t>
            </w:r>
          </w:p>
        </w:tc>
        <w:tc>
          <w:tcPr>
            <w:tcW w:type="dxa" w:w="3888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Correo</w:t>
            </w:r>
          </w:p>
        </w:tc>
        <w:tc>
          <w:tcPr>
            <w:tcW w:type="dxa" w:w="4464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Contraseña inicial</w:t>
            </w:r>
          </w:p>
        </w:tc>
      </w:tr>
      <w:tr>
        <w:tc>
          <w:tcPr>
            <w:tcW w:type="dxa" w:w="216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Administración</w:t>
            </w:r>
          </w:p>
        </w:tc>
        <w:tc>
          <w:tcPr>
            <w:tcW w:type="dxa" w:w="3888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admin@nbu.test</w:t>
            </w:r>
          </w:p>
        </w:tc>
        <w:tc>
          <w:tcPr>
            <w:tcW w:type="dxa" w:w="4464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NbuAdmin2026!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Estudiante</w:t>
            </w:r>
          </w:p>
        </w:tc>
        <w:tc>
          <w:tcPr>
            <w:tcW w:type="dxa" w:w="3888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ana.mendez@example.test</w:t>
            </w:r>
          </w:p>
        </w:tc>
        <w:tc>
          <w:tcPr>
            <w:tcW w:type="dxa" w:w="4464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NbuEstudiante2026!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/>
          <w:color w:val="8B5B16"/>
        </w:rPr>
        <w:t>Las cuentas y datos de muestra son ficticios y solo están disponibles en Desarrollo. Cambia la contraseña desde el enlace con tu correo después de iniciar sesión.</w:t>
      </w:r>
    </w:p>
    <w:p>
      <w:pPr>
        <w:pStyle w:val="Heading1"/>
      </w:pPr>
      <w:r>
        <w:t>Ingresar al portal</w:t>
      </w:r>
    </w:p>
    <w:p>
      <w:pPr>
        <w:pStyle w:val="ListBullet"/>
        <w:spacing w:after="60"/>
        <w:ind w:left="317" w:hanging="173"/>
      </w:pPr>
      <w:r>
        <w:rPr>
          <w:rFonts w:ascii="Arial" w:hAnsi="Arial"/>
          <w:color w:val="182B43"/>
          <w:sz w:val="19"/>
        </w:rPr>
        <w:t>Abre el sitio NBU en el navegador.</w:t>
      </w:r>
    </w:p>
    <w:p>
      <w:pPr>
        <w:pStyle w:val="ListBullet"/>
        <w:spacing w:after="60"/>
        <w:ind w:left="317" w:hanging="173"/>
      </w:pPr>
      <w:r>
        <w:rPr>
          <w:rFonts w:ascii="Arial" w:hAnsi="Arial"/>
          <w:color w:val="182B43"/>
          <w:sz w:val="19"/>
        </w:rPr>
        <w:t>Selecciona Ingresar.</w:t>
      </w:r>
    </w:p>
    <w:p>
      <w:pPr>
        <w:pStyle w:val="ListBullet"/>
        <w:spacing w:after="60"/>
        <w:ind w:left="317" w:hanging="173"/>
      </w:pPr>
      <w:r>
        <w:rPr>
          <w:rFonts w:ascii="Arial" w:hAnsi="Arial"/>
          <w:color w:val="182B43"/>
          <w:sz w:val="19"/>
        </w:rPr>
        <w:t>Escribe tu correo y contraseña; usa Mantener sesión iniciada solo en tu propio dispositivo.</w:t>
      </w:r>
    </w:p>
    <w:p>
      <w:pPr>
        <w:pStyle w:val="ListBullet"/>
        <w:spacing w:after="60"/>
        <w:ind w:left="317" w:hanging="173"/>
      </w:pPr>
      <w:r>
        <w:rPr>
          <w:rFonts w:ascii="Arial" w:hAnsi="Arial"/>
          <w:color w:val="182B43"/>
          <w:sz w:val="19"/>
        </w:rPr>
        <w:t>Presiona Ingresar. El sistema te lleva al portal de estudiante o al panel administrativo según el rol.</w:t>
      </w:r>
    </w:p>
    <w:p>
      <w:pPr>
        <w:pStyle w:val="Heading1"/>
      </w:pPr>
      <w:r>
        <w:t>2. Recorrido del estudiante</w:t>
      </w:r>
    </w:p>
    <w:p>
      <w:pPr>
        <w:pStyle w:val="Heading2"/>
      </w:pPr>
      <w:r>
        <w:t>Inicio y becas</w:t>
      </w:r>
    </w:p>
    <w:p>
      <w:pPr>
        <w:widowControl/>
      </w:pPr>
      <w:r>
        <w:rPr>
          <w:rFonts w:ascii="Arial" w:hAnsi="Arial"/>
          <w:color w:val="182B43"/>
        </w:rPr>
        <w:t>En Inicio aparecen el número de convocatorias abiertas, solicitudes en revisión, notificaciones sin leer y monto de depósitos registrados. Abre Becas para ver monto, requisitos y fecha de cierre. Si no has solicitado esa beca, usa Solicitar beca. El sistema registra una sola solicitud por estudiante y convocatoria.</w:t>
      </w:r>
    </w:p>
    <w:p>
      <w:pPr>
        <w:pStyle w:val="Heading2"/>
      </w:pPr>
      <w:r>
        <w:t>Solicitudes y pagos</w:t>
      </w:r>
    </w:p>
    <w:p>
      <w:pPr>
        <w:widowControl/>
      </w:pPr>
      <w:r>
        <w:rPr>
          <w:rFonts w:ascii="Arial" w:hAnsi="Arial"/>
          <w:color w:val="182B43"/>
        </w:rPr>
        <w:t>En Mis solicitudes consulta la fecha de envío, estado y observaciones. En Mis pagos revisa cada depósito registrado, el período, el monto y su estado. Solo aparecen los datos asociados a tu cuenta.</w:t>
      </w:r>
    </w:p>
    <w:p>
      <w:pPr>
        <w:widowControl/>
      </w:pPr>
      <w:r>
        <w:rPr>
          <w:rFonts w:ascii="Arial" w:hAnsi="Arial"/>
          <w:b/>
          <w:color w:val="182B43"/>
        </w:rPr>
        <w:t>La sección Transferencias bancarias</w:t>
      </w:r>
      <w:r>
        <w:rPr>
          <w:rFonts w:ascii="Arial" w:hAnsi="Arial"/>
          <w:color w:val="182B43"/>
        </w:rPr>
        <w:t xml:space="preserve"> se muestra como Próximamente y tiene el botón deshabilitado. Esa opción no envía ni recibe dinero. Los pagos que aparecen en el historial son registros hechos por personal NBU sobre depósitos externos.</w:t>
      </w:r>
    </w:p>
    <w:p>
      <w:pPr>
        <w:pStyle w:val="Heading2"/>
      </w:pPr>
      <w:r>
        <w:t>Noticias y notificaciones</w:t>
      </w:r>
    </w:p>
    <w:p>
      <w:pPr>
        <w:widowControl/>
      </w:pPr>
      <w:r>
        <w:rPr>
          <w:rFonts w:ascii="Arial" w:hAnsi="Arial"/>
          <w:color w:val="182B43"/>
        </w:rPr>
        <w:t>Abre Noticias para leer publicaciones y revisar fechas de eventos. En Avisos consulta las notificaciones destinadas a tu cuenta. Usa Marcar leída para actualizar el estado de un aviso.</w:t>
      </w:r>
    </w:p>
    <w:p>
      <w:r>
        <w:br w:type="page"/>
      </w:r>
    </w:p>
    <w:p>
      <w:pPr>
        <w:pStyle w:val="Heading1"/>
      </w:pPr>
      <w:r>
        <w:t>3. Recorrido del administrador</w:t>
      </w:r>
    </w:p>
    <w:p>
      <w:pPr>
        <w:widowControl/>
      </w:pPr>
      <w:r>
        <w:rPr>
          <w:rFonts w:ascii="Arial" w:hAnsi="Arial"/>
          <w:color w:val="182B43"/>
        </w:rPr>
        <w:t>El administrador puede usar el panel web y la aplicación de escritorio. En la web, la barra superior abre los módulos de estudiantes, becas, pagos, noticias/eventos y avisos. En Windows Forms, primero inicia sesión con una cuenta que tenga el rol Admin.</w:t>
      </w:r>
    </w:p>
    <w:p>
      <w:pPr>
        <w:pStyle w:val="Heading2"/>
      </w:pPr>
      <w:r>
        <w:t>Operaciones de cada módulo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712"/>
      </w:tblGrid>
      <w:tr>
        <w:trPr>
          <w:tblHeader w:val="true"/>
        </w:trPr>
        <w:tc>
          <w:tcPr>
            <w:tcW w:type="dxa" w:w="1800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8712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Cómo usarla</w:t>
            </w:r>
          </w:p>
        </w:tc>
      </w:tr>
      <w:tr>
        <w:tc>
          <w:tcPr>
            <w:tcW w:type="dxa" w:w="180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Listar</w:t>
            </w:r>
          </w:p>
        </w:tc>
        <w:tc>
          <w:tcPr>
            <w:tcW w:type="dxa" w:w="871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Abre el módulo para consultar registros. Usa búsqueda o filtros disponibles.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Crear</w:t>
            </w:r>
          </w:p>
        </w:tc>
        <w:tc>
          <w:tcPr>
            <w:tcW w:type="dxa" w:w="8712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Selecciona Nuevo, completa los campos obligatorios y guarda.</w:t>
            </w:r>
          </w:p>
        </w:tc>
      </w:tr>
      <w:tr>
        <w:tc>
          <w:tcPr>
            <w:tcW w:type="dxa" w:w="180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Editar</w:t>
            </w:r>
          </w:p>
        </w:tc>
        <w:tc>
          <w:tcPr>
            <w:tcW w:type="dxa" w:w="871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Abre Editar en el registro, actualiza los datos y guarda.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Eliminar</w:t>
            </w:r>
          </w:p>
        </w:tc>
        <w:tc>
          <w:tcPr>
            <w:tcW w:type="dxa" w:w="8712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Abre Eliminar, revisa el registro y confirma. Si existen relaciones, el sistema informa por qué no se permite.</w:t>
            </w:r>
          </w:p>
        </w:tc>
      </w:tr>
    </w:tbl>
    <w:p>
      <w:pPr>
        <w:spacing w:after="0"/>
      </w:pPr>
    </w:p>
    <w:p>
      <w:pPr>
        <w:pStyle w:val="Heading2"/>
      </w:pPr>
      <w:r>
        <w:t>Flujo de becas y depósitos</w:t>
      </w:r>
    </w:p>
    <w:p>
      <w:pPr>
        <w:pStyle w:val="ListBullet"/>
        <w:spacing w:after="60"/>
        <w:ind w:left="317" w:hanging="173"/>
      </w:pPr>
      <w:r>
        <w:rPr>
          <w:rFonts w:ascii="Arial" w:hAnsi="Arial"/>
          <w:color w:val="182B43"/>
          <w:sz w:val="19"/>
        </w:rPr>
        <w:t>Registra un estudiante beneficiario y una convocatoria de beca.</w:t>
      </w:r>
    </w:p>
    <w:p>
      <w:pPr>
        <w:pStyle w:val="ListBullet"/>
        <w:spacing w:after="60"/>
        <w:ind w:left="317" w:hanging="173"/>
      </w:pPr>
      <w:r>
        <w:rPr>
          <w:rFonts w:ascii="Arial" w:hAnsi="Arial"/>
          <w:color w:val="182B43"/>
          <w:sz w:val="19"/>
        </w:rPr>
        <w:t>El estudiante presenta una solicitud desde su portal o el personal la registra desde administración.</w:t>
      </w:r>
    </w:p>
    <w:p>
      <w:pPr>
        <w:pStyle w:val="ListBullet"/>
        <w:spacing w:after="60"/>
        <w:ind w:left="317" w:hanging="173"/>
      </w:pPr>
      <w:r>
        <w:rPr>
          <w:rFonts w:ascii="Arial" w:hAnsi="Arial"/>
          <w:color w:val="182B43"/>
          <w:sz w:val="19"/>
        </w:rPr>
        <w:t>En Becas y solicitudes, revisa la información y cambia el estado a aceptada, pendiente o rechazada.</w:t>
      </w:r>
    </w:p>
    <w:p>
      <w:pPr>
        <w:pStyle w:val="ListBullet"/>
        <w:spacing w:after="60"/>
        <w:ind w:left="317" w:hanging="173"/>
      </w:pPr>
      <w:r>
        <w:rPr>
          <w:rFonts w:ascii="Arial" w:hAnsi="Arial"/>
          <w:color w:val="182B43"/>
          <w:sz w:val="19"/>
        </w:rPr>
        <w:t>Cuando exista un depósito ya realizado, abre Pagos y registra solicitud aceptada, monto, fecha, período y estado.</w:t>
      </w:r>
    </w:p>
    <w:p>
      <w:pPr>
        <w:pStyle w:val="ListBullet"/>
        <w:spacing w:after="60"/>
        <w:ind w:left="317" w:hanging="173"/>
      </w:pPr>
      <w:r>
        <w:rPr>
          <w:rFonts w:ascii="Arial" w:hAnsi="Arial"/>
          <w:color w:val="182B43"/>
          <w:sz w:val="19"/>
        </w:rPr>
        <w:t>Si al crear una noticia o evento se solicita enviar aviso, el sistema agrega notificaciones a los estudiantes activos.</w:t>
      </w:r>
    </w:p>
    <w:p>
      <w:pPr>
        <w:pStyle w:val="Heading1"/>
      </w:pPr>
      <w:r>
        <w:t>4. Cambiar contraseña</w:t>
      </w:r>
    </w:p>
    <w:p>
      <w:pPr>
        <w:widowControl/>
      </w:pPr>
      <w:r>
        <w:rPr>
          <w:rFonts w:ascii="Arial" w:hAnsi="Arial"/>
          <w:color w:val="182B43"/>
        </w:rPr>
        <w:t>Selecciona tu correo en la barra superior y abre Cambiar contraseña. Escribe la contraseña actual y luego una nueva de al menos 10 caracteres que incluya mayúscula, minúscula, número y símbolo. Confirma la nueva contraseña y guarda.</w:t>
      </w:r>
    </w:p>
    <w:p>
      <w:pPr>
        <w:pStyle w:val="Heading1"/>
      </w:pPr>
      <w:r>
        <w:t>5. Ayuda rápida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920"/>
      </w:tblGrid>
      <w:tr>
        <w:trPr>
          <w:tblHeader w:val="true"/>
        </w:trPr>
        <w:tc>
          <w:tcPr>
            <w:tcW w:type="dxa" w:w="2592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Situación</w:t>
            </w:r>
          </w:p>
        </w:tc>
        <w:tc>
          <w:tcPr>
            <w:tcW w:type="dxa" w:w="7920"/>
            <w:shd w:fill="09275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Qué revisar</w:t>
            </w:r>
          </w:p>
        </w:tc>
      </w:tr>
      <w:tr>
        <w:tc>
          <w:tcPr>
            <w:tcW w:type="dxa" w:w="259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No puedo iniciar sesión</w:t>
            </w:r>
          </w:p>
        </w:tc>
        <w:tc>
          <w:tcPr>
            <w:tcW w:type="dxa" w:w="792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Verifica correo, contraseña y perfil. Tras cinco intentos fallidos, espera cinco minutos.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No aparece una beca</w:t>
            </w:r>
          </w:p>
        </w:tc>
        <w:tc>
          <w:tcPr>
            <w:tcW w:type="dxa" w:w="7920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La convocatoria debe estar abierta y dentro de sus fechas.</w:t>
            </w:r>
          </w:p>
        </w:tc>
      </w:tr>
      <w:tr>
        <w:tc>
          <w:tcPr>
            <w:tcW w:type="dxa" w:w="259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No puedo eliminar un registro</w:t>
            </w:r>
          </w:p>
        </w:tc>
        <w:tc>
          <w:tcPr>
            <w:tcW w:type="dxa" w:w="792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Puede tener solicitudes, pagos o notificaciones relacionadas.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El portal no conecta</w:t>
            </w:r>
          </w:p>
        </w:tc>
        <w:tc>
          <w:tcPr>
            <w:tcW w:type="dxa" w:w="7920"/>
            <w:vAlign w:val="center"/>
            <w:shd w:fill="FFFFFF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Confirma que SQL Server esté iniciado y que la cadena de conexión apunte a la instancia correcta.</w:t>
            </w:r>
          </w:p>
        </w:tc>
      </w:tr>
      <w:tr>
        <w:tc>
          <w:tcPr>
            <w:tcW w:type="dxa" w:w="2592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82B43"/>
                <w:sz w:val="16"/>
              </w:rPr>
              <w:t>Transferencias</w:t>
            </w:r>
          </w:p>
        </w:tc>
        <w:tc>
          <w:tcPr>
            <w:tcW w:type="dxa" w:w="7920"/>
            <w:vAlign w:val="center"/>
            <w:shd w:fill="EFF5FA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182B43"/>
                <w:sz w:val="16"/>
              </w:rPr>
              <w:t>La opción está deshabilitada. No procesa pagos bancarios.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/>
          <w:color w:val="64758A"/>
        </w:rPr>
        <w:t>Para salir de forma segura, usa Salir en la barra superior. No compartas credenciales ni uses las contraseñas de demostración fuera del equipo local.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58A"/>
        <w:sz w:val="16"/>
      </w:rPr>
      <w:t xml:space="preserve">Tu esfuerzo abre oportunidades  ·  Grupo INS-1111  ·  </w:t>
    </w:r>
    <w:r>
      <w:rPr>
        <w:rFonts w:ascii="Arial" w:hAnsi="Arial"/>
        <w:color w:val="64758A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092754"/>
        <w:sz w:val="16"/>
      </w:rPr>
      <w:t>NBU  |  NICARAGUA BECAS UNIVERSITARIAS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82B4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927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9275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