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6C41" w:rsidRDefault="00180375">
      <w:pPr>
        <w:spacing w:after="40"/>
        <w:jc w:val="center"/>
      </w:pPr>
      <w:r>
        <w:rPr>
          <w:b/>
          <w:bCs/>
          <w:color w:val="1C7293"/>
        </w:rPr>
        <w:t>TRACK 2 — POLICY &amp; REGULATION</w:t>
      </w:r>
    </w:p>
    <w:p w:rsidR="004D6C41" w:rsidRDefault="00180375">
      <w:pPr>
        <w:spacing w:after="40"/>
        <w:jc w:val="center"/>
      </w:pPr>
      <w:r>
        <w:rPr>
          <w:b/>
          <w:bCs/>
          <w:color w:val="21295C"/>
          <w:sz w:val="34"/>
          <w:szCs w:val="34"/>
        </w:rPr>
        <w:t xml:space="preserve">Extending </w:t>
      </w:r>
      <w:proofErr w:type="spellStart"/>
      <w:r>
        <w:rPr>
          <w:b/>
          <w:bCs/>
          <w:color w:val="21295C"/>
          <w:sz w:val="34"/>
          <w:szCs w:val="34"/>
        </w:rPr>
        <w:t>DigiYatra</w:t>
      </w:r>
      <w:proofErr w:type="spellEnd"/>
      <w:r>
        <w:rPr>
          <w:b/>
          <w:bCs/>
          <w:color w:val="21295C"/>
          <w:sz w:val="34"/>
          <w:szCs w:val="34"/>
        </w:rPr>
        <w:t xml:space="preserve"> into Private Insurance Claims Verification</w:t>
      </w:r>
    </w:p>
    <w:p w:rsidR="004D6C41" w:rsidRDefault="00180375">
      <w:pPr>
        <w:spacing w:after="60"/>
        <w:jc w:val="center"/>
      </w:pPr>
      <w:r>
        <w:rPr>
          <w:i/>
          <w:iCs/>
          <w:color w:val="5B6472"/>
          <w:sz w:val="22"/>
          <w:szCs w:val="22"/>
        </w:rPr>
        <w:t>A Nine-Point Policy Analysis, with Sources</w:t>
      </w:r>
    </w:p>
    <w:p w:rsidR="004D6C41" w:rsidRDefault="00180375">
      <w:pPr>
        <w:spacing w:after="300"/>
        <w:jc w:val="center"/>
      </w:pPr>
      <w:r>
        <w:rPr>
          <w:color w:val="5B6472"/>
          <w:sz w:val="18"/>
          <w:szCs w:val="18"/>
        </w:rPr>
        <w:t xml:space="preserve">CDPG National Student Case Challenge 2026 — </w:t>
      </w:r>
      <w:proofErr w:type="spellStart"/>
      <w:r>
        <w:rPr>
          <w:color w:val="5B6472"/>
          <w:sz w:val="18"/>
          <w:szCs w:val="18"/>
        </w:rPr>
        <w:t>Center</w:t>
      </w:r>
      <w:proofErr w:type="spellEnd"/>
      <w:r>
        <w:rPr>
          <w:color w:val="5B6472"/>
          <w:sz w:val="18"/>
          <w:szCs w:val="18"/>
        </w:rPr>
        <w:t xml:space="preserve"> for Digital Public Goods, IIM Bangalore</w:t>
      </w:r>
    </w:p>
    <w:p w:rsidR="004D6C41" w:rsidRDefault="004D6C41">
      <w:pPr>
        <w:pBdr>
          <w:bottom w:val="single" w:sz="6" w:space="1" w:color="D6E0E3"/>
        </w:pBdr>
        <w:spacing w:before="60" w:after="60"/>
      </w:pPr>
    </w:p>
    <w:p w:rsidR="004D6C41" w:rsidRDefault="00180375">
      <w:pPr>
        <w:pStyle w:val="Heading1"/>
        <w:spacing w:before="320" w:after="120"/>
      </w:pPr>
      <w:r>
        <w:rPr>
          <w:b/>
          <w:bCs/>
          <w:color w:val="21295C"/>
          <w:sz w:val="26"/>
          <w:szCs w:val="26"/>
        </w:rPr>
        <w:t>Context</w:t>
      </w:r>
    </w:p>
    <w:p w:rsidR="004D6C41" w:rsidRDefault="00180375">
      <w:pPr>
        <w:spacing w:after="120"/>
      </w:pPr>
      <w:r>
        <w:rPr>
          <w:color w:val="1B1F2A"/>
          <w:sz w:val="22"/>
          <w:szCs w:val="22"/>
        </w:rPr>
        <w:t xml:space="preserve">This brief evaluates the policy implications of extending </w:t>
      </w:r>
      <w:proofErr w:type="spellStart"/>
      <w:r>
        <w:rPr>
          <w:color w:val="1B1F2A"/>
          <w:sz w:val="22"/>
          <w:szCs w:val="22"/>
        </w:rPr>
        <w:t>DigiYatra's</w:t>
      </w:r>
      <w:proofErr w:type="spellEnd"/>
      <w:r>
        <w:rPr>
          <w:color w:val="1B1F2A"/>
          <w:sz w:val="22"/>
          <w:szCs w:val="22"/>
        </w:rPr>
        <w:t xml:space="preserve"> facial-verification credential beyond airports into private insurance claims verification — specifically, a private insurer using a claimant's </w:t>
      </w:r>
      <w:proofErr w:type="spellStart"/>
      <w:r>
        <w:rPr>
          <w:color w:val="1B1F2A"/>
          <w:sz w:val="22"/>
          <w:szCs w:val="22"/>
        </w:rPr>
        <w:t>DigiYatra</w:t>
      </w:r>
      <w:proofErr w:type="spellEnd"/>
      <w:r>
        <w:rPr>
          <w:color w:val="1B1F2A"/>
          <w:sz w:val="22"/>
          <w:szCs w:val="22"/>
        </w:rPr>
        <w:t>-linked identity credential to ver</w:t>
      </w:r>
      <w:r>
        <w:rPr>
          <w:color w:val="1B1F2A"/>
          <w:sz w:val="22"/>
          <w:szCs w:val="22"/>
        </w:rPr>
        <w:t xml:space="preserve">ify identity for crop, property, or life insurance </w:t>
      </w:r>
      <w:proofErr w:type="spellStart"/>
      <w:r>
        <w:rPr>
          <w:color w:val="1B1F2A"/>
          <w:sz w:val="22"/>
          <w:szCs w:val="22"/>
        </w:rPr>
        <w:t>payouts</w:t>
      </w:r>
      <w:proofErr w:type="spellEnd"/>
      <w:r>
        <w:rPr>
          <w:color w:val="1B1F2A"/>
          <w:sz w:val="22"/>
          <w:szCs w:val="22"/>
        </w:rPr>
        <w:t xml:space="preserve"> following a declared disaster (earthquake, flood, or cyclone). Each of the nine required policy dimensions is addressed below, followed by the primary source used to ground that section.</w:t>
      </w:r>
    </w:p>
    <w:p w:rsidR="004D6C41" w:rsidRDefault="00180375">
      <w:pPr>
        <w:pStyle w:val="Heading1"/>
        <w:spacing w:before="320" w:after="120"/>
      </w:pPr>
      <w:r>
        <w:rPr>
          <w:b/>
          <w:bCs/>
          <w:color w:val="21295C"/>
          <w:sz w:val="26"/>
          <w:szCs w:val="26"/>
        </w:rPr>
        <w:t>1. Necessi</w:t>
      </w:r>
      <w:r>
        <w:rPr>
          <w:b/>
          <w:bCs/>
          <w:color w:val="21295C"/>
          <w:sz w:val="26"/>
          <w:szCs w:val="26"/>
        </w:rPr>
        <w:t>ty vs. Convenience</w:t>
      </w:r>
    </w:p>
    <w:p w:rsidR="004D6C41" w:rsidRDefault="00180375">
      <w:pPr>
        <w:spacing w:after="120"/>
        <w:rPr>
          <w:color w:val="1B1F2A"/>
          <w:sz w:val="22"/>
          <w:szCs w:val="22"/>
        </w:rPr>
      </w:pPr>
      <w:r>
        <w:rPr>
          <w:color w:val="1B1F2A"/>
          <w:sz w:val="22"/>
          <w:szCs w:val="22"/>
        </w:rPr>
        <w:t>Post-disaster insurance fraud — duplicate and ghost claims — is a documented, real cost that raises premiums across the board, making this a genuine necessity case rather than manufactured convenience. Importantly, insurers are not start</w:t>
      </w:r>
      <w:r>
        <w:rPr>
          <w:color w:val="1B1F2A"/>
          <w:sz w:val="22"/>
          <w:szCs w:val="22"/>
        </w:rPr>
        <w:t xml:space="preserve">ing from zero: IRDAI's Master AML/CFT Guidelines already make KYC and AML verification mandatory prior to </w:t>
      </w:r>
      <w:proofErr w:type="spellStart"/>
      <w:r>
        <w:rPr>
          <w:color w:val="1B1F2A"/>
          <w:sz w:val="22"/>
          <w:szCs w:val="22"/>
        </w:rPr>
        <w:t>onboarding</w:t>
      </w:r>
      <w:proofErr w:type="spellEnd"/>
      <w:r>
        <w:rPr>
          <w:color w:val="1B1F2A"/>
          <w:sz w:val="22"/>
          <w:szCs w:val="22"/>
        </w:rPr>
        <w:t xml:space="preserve"> individual customers across all classes of general, health, and life insurance. The real policy question is therefore not whether verificat</w:t>
      </w:r>
      <w:r>
        <w:rPr>
          <w:color w:val="1B1F2A"/>
          <w:sz w:val="22"/>
          <w:szCs w:val="22"/>
        </w:rPr>
        <w:t>ion should happen, but whether facial authentication adds something today's already-mandatory KYC process cannot achieve through existing methods.</w:t>
      </w:r>
      <w:bookmarkStart w:id="0" w:name="_GoBack"/>
      <w:bookmarkEnd w:id="0"/>
    </w:p>
    <w:p w:rsidR="00180375" w:rsidRDefault="00180375">
      <w:pPr>
        <w:spacing w:after="120"/>
        <w:rPr>
          <w:color w:val="1B1F2A"/>
          <w:sz w:val="22"/>
          <w:szCs w:val="22"/>
        </w:rPr>
      </w:pPr>
      <w:r>
        <w:rPr>
          <w:color w:val="1B1F2A"/>
          <w:sz w:val="22"/>
          <w:szCs w:val="22"/>
        </w:rPr>
        <w:t xml:space="preserve">Video based identification </w:t>
      </w:r>
      <w:proofErr w:type="spellStart"/>
      <w:r>
        <w:rPr>
          <w:color w:val="1B1F2A"/>
          <w:sz w:val="22"/>
          <w:szCs w:val="22"/>
        </w:rPr>
        <w:t>vbip</w:t>
      </w:r>
      <w:proofErr w:type="spellEnd"/>
      <w:r>
        <w:rPr>
          <w:color w:val="1B1F2A"/>
          <w:sz w:val="22"/>
          <w:szCs w:val="22"/>
        </w:rPr>
        <w:t xml:space="preserve"> is still being carried out to verify the existence of the customer in India, this data is cross checked with </w:t>
      </w:r>
      <w:proofErr w:type="spellStart"/>
      <w:r>
        <w:rPr>
          <w:color w:val="1B1F2A"/>
          <w:sz w:val="22"/>
          <w:szCs w:val="22"/>
        </w:rPr>
        <w:t>adhar</w:t>
      </w:r>
      <w:proofErr w:type="spellEnd"/>
      <w:r>
        <w:rPr>
          <w:color w:val="1B1F2A"/>
          <w:sz w:val="22"/>
          <w:szCs w:val="22"/>
        </w:rPr>
        <w:t xml:space="preserve"> </w:t>
      </w:r>
      <w:proofErr w:type="spellStart"/>
      <w:r>
        <w:rPr>
          <w:color w:val="1B1F2A"/>
          <w:sz w:val="22"/>
          <w:szCs w:val="22"/>
        </w:rPr>
        <w:t>authenticationT</w:t>
      </w:r>
      <w:proofErr w:type="spellEnd"/>
    </w:p>
    <w:p w:rsidR="00180375" w:rsidRDefault="00180375">
      <w:pPr>
        <w:spacing w:after="120"/>
      </w:pPr>
      <w:r>
        <w:rPr>
          <w:color w:val="1B1F2A"/>
          <w:sz w:val="22"/>
          <w:szCs w:val="22"/>
        </w:rPr>
        <w:t>t</w:t>
      </w:r>
      <w:r>
        <w:rPr>
          <w:rFonts w:ascii="open sans" w:hAnsi="open sans"/>
          <w:color w:val="212529"/>
          <w:spacing w:val="12"/>
          <w:sz w:val="26"/>
          <w:szCs w:val="26"/>
          <w:shd w:val="clear" w:color="auto" w:fill="FFFFFF"/>
        </w:rPr>
        <w:t>he authorized person/insurer must ensure that the sequence and/or type of questions asked during video interactions vary in order to demonstrate that the interactions are real-time and not pre-recorded.</w:t>
      </w:r>
      <w:r w:rsidRPr="00180375">
        <w:rPr>
          <w:rFonts w:ascii="open sans" w:hAnsi="open sans"/>
          <w:color w:val="212529"/>
          <w:spacing w:val="12"/>
          <w:sz w:val="26"/>
          <w:szCs w:val="26"/>
          <w:shd w:val="clear" w:color="auto" w:fill="FFFFFF"/>
        </w:rPr>
        <w:t xml:space="preserve"> </w:t>
      </w:r>
      <w:r>
        <w:rPr>
          <w:rFonts w:ascii="open sans" w:hAnsi="open sans"/>
          <w:color w:val="212529"/>
          <w:spacing w:val="12"/>
          <w:sz w:val="26"/>
          <w:szCs w:val="26"/>
          <w:shd w:val="clear" w:color="auto" w:fill="FFFFFF"/>
        </w:rPr>
        <w:t>he authorized person/insurer must ensure that the sequence and/or type of questions asked during video interactions vary in order to demonstrate that the interactions are real-time and not pre-recorded.</w:t>
      </w:r>
      <w:r>
        <w:rPr>
          <w:color w:val="1B1F2A"/>
          <w:sz w:val="22"/>
          <w:szCs w:val="22"/>
        </w:rPr>
        <w:t xml:space="preserve"> </w:t>
      </w:r>
    </w:p>
    <w:p w:rsidR="004D6C41" w:rsidRDefault="00180375">
      <w:pPr>
        <w:spacing w:after="240"/>
      </w:pPr>
      <w:r>
        <w:rPr>
          <w:b/>
          <w:bCs/>
          <w:i/>
          <w:iCs/>
          <w:color w:val="1C7293"/>
        </w:rPr>
        <w:t xml:space="preserve">Source: </w:t>
      </w:r>
      <w:r>
        <w:rPr>
          <w:i/>
          <w:iCs/>
          <w:color w:val="5B6472"/>
        </w:rPr>
        <w:t>IRDAI Master AML/CFT Guidelines overview (</w:t>
      </w:r>
      <w:proofErr w:type="spellStart"/>
      <w:r>
        <w:rPr>
          <w:i/>
          <w:iCs/>
          <w:color w:val="5B6472"/>
        </w:rPr>
        <w:t>Melento</w:t>
      </w:r>
      <w:proofErr w:type="spellEnd"/>
      <w:r>
        <w:rPr>
          <w:i/>
          <w:iCs/>
          <w:color w:val="5B6472"/>
        </w:rPr>
        <w:t>/</w:t>
      </w:r>
      <w:proofErr w:type="spellStart"/>
      <w:r>
        <w:rPr>
          <w:i/>
          <w:iCs/>
          <w:color w:val="5B6472"/>
        </w:rPr>
        <w:t>SignDesk</w:t>
      </w:r>
      <w:proofErr w:type="spellEnd"/>
      <w:r>
        <w:rPr>
          <w:i/>
          <w:iCs/>
          <w:color w:val="5B6472"/>
        </w:rPr>
        <w:t xml:space="preserve">) — </w:t>
      </w:r>
      <w:hyperlink r:id="rId5" w:history="1">
        <w:r>
          <w:rPr>
            <w:rStyle w:val="Hyperlink"/>
          </w:rPr>
          <w:t>https://melento.ai/en-in/blog/irdai-aml-master-guidelines-explained</w:t>
        </w:r>
      </w:hyperlink>
    </w:p>
    <w:p w:rsidR="004D6C41" w:rsidRDefault="00180375">
      <w:pPr>
        <w:pStyle w:val="Heading1"/>
        <w:spacing w:before="320" w:after="120"/>
      </w:pPr>
      <w:r>
        <w:rPr>
          <w:b/>
          <w:bCs/>
          <w:color w:val="21295C"/>
          <w:sz w:val="26"/>
          <w:szCs w:val="26"/>
        </w:rPr>
        <w:t>2. Least Intrusive Alternative</w:t>
      </w:r>
    </w:p>
    <w:p w:rsidR="004D6C41" w:rsidRDefault="00180375">
      <w:pPr>
        <w:spacing w:after="120"/>
      </w:pPr>
      <w:r>
        <w:rPr>
          <w:color w:val="1B1F2A"/>
          <w:sz w:val="22"/>
          <w:szCs w:val="22"/>
        </w:rPr>
        <w:t xml:space="preserve">IRDAI already recognizes multiple accepted KYC methods: </w:t>
      </w:r>
      <w:proofErr w:type="spellStart"/>
      <w:r>
        <w:rPr>
          <w:color w:val="1B1F2A"/>
          <w:sz w:val="22"/>
          <w:szCs w:val="22"/>
        </w:rPr>
        <w:t>Aadhaar</w:t>
      </w:r>
      <w:proofErr w:type="spellEnd"/>
      <w:r>
        <w:rPr>
          <w:color w:val="1B1F2A"/>
          <w:sz w:val="22"/>
          <w:szCs w:val="22"/>
        </w:rPr>
        <w:t>-based e-KYC (biometric or OTP-based authenticati</w:t>
      </w:r>
      <w:r>
        <w:rPr>
          <w:color w:val="1B1F2A"/>
          <w:sz w:val="22"/>
          <w:szCs w:val="22"/>
        </w:rPr>
        <w:t>on through UIDAI), offline document-based KYC, video-based identity authentication, PAN-based KYC, and OTP-based e-KYC. Before facial verification is approved for insurance claims, the insurer should be required to demonstrate that these five already-appro</w:t>
      </w:r>
      <w:r>
        <w:rPr>
          <w:color w:val="1B1F2A"/>
          <w:sz w:val="22"/>
          <w:szCs w:val="22"/>
        </w:rPr>
        <w:t>ved methods are insufficient for the specific fraud risk being addressed — the burden of proof sits with the party proposing the more intrusive method.</w:t>
      </w:r>
    </w:p>
    <w:p w:rsidR="004D6C41" w:rsidRDefault="00180375">
      <w:pPr>
        <w:spacing w:after="240"/>
      </w:pPr>
      <w:r>
        <w:rPr>
          <w:b/>
          <w:bCs/>
          <w:i/>
          <w:iCs/>
          <w:color w:val="1C7293"/>
        </w:rPr>
        <w:t xml:space="preserve">Source: </w:t>
      </w:r>
      <w:r>
        <w:rPr>
          <w:i/>
          <w:iCs/>
          <w:color w:val="5B6472"/>
        </w:rPr>
        <w:t>Insurance KYC: Decoding IRDAI AML/CFT Guidelines (</w:t>
      </w:r>
      <w:proofErr w:type="spellStart"/>
      <w:r>
        <w:rPr>
          <w:i/>
          <w:iCs/>
          <w:color w:val="5B6472"/>
        </w:rPr>
        <w:t>Digio</w:t>
      </w:r>
      <w:proofErr w:type="spellEnd"/>
      <w:r>
        <w:rPr>
          <w:i/>
          <w:iCs/>
          <w:color w:val="5B6472"/>
        </w:rPr>
        <w:t xml:space="preserve">) — </w:t>
      </w:r>
      <w:hyperlink r:id="rId6" w:history="1">
        <w:r>
          <w:rPr>
            <w:rStyle w:val="Hyperlink"/>
          </w:rPr>
          <w:t>https://www.digio.in/blog/insurance-kyc-decoding-irdai-aml-cft-guidelines/</w:t>
        </w:r>
      </w:hyperlink>
    </w:p>
    <w:p w:rsidR="004D6C41" w:rsidRDefault="00180375">
      <w:pPr>
        <w:pStyle w:val="Heading1"/>
        <w:spacing w:before="320" w:after="120"/>
      </w:pPr>
      <w:r>
        <w:rPr>
          <w:b/>
          <w:bCs/>
          <w:color w:val="21295C"/>
          <w:sz w:val="26"/>
          <w:szCs w:val="26"/>
        </w:rPr>
        <w:t>3. Function Creep</w:t>
      </w:r>
    </w:p>
    <w:p w:rsidR="004D6C41" w:rsidRDefault="00180375">
      <w:pPr>
        <w:spacing w:after="120"/>
      </w:pPr>
      <w:r>
        <w:rPr>
          <w:color w:val="1B1F2A"/>
          <w:sz w:val="22"/>
          <w:szCs w:val="22"/>
        </w:rPr>
        <w:t>The sharpest risk in this case: a credential verified for the narrow purpose of "confirm this specific claim"</w:t>
      </w:r>
      <w:r>
        <w:rPr>
          <w:color w:val="1B1F2A"/>
          <w:sz w:val="22"/>
          <w:szCs w:val="22"/>
        </w:rPr>
        <w:t xml:space="preserve"> could quietly expand into ongoing </w:t>
      </w:r>
      <w:proofErr w:type="spellStart"/>
      <w:r>
        <w:rPr>
          <w:color w:val="1B1F2A"/>
          <w:sz w:val="22"/>
          <w:szCs w:val="22"/>
        </w:rPr>
        <w:t>behavioral</w:t>
      </w:r>
      <w:proofErr w:type="spellEnd"/>
      <w:r>
        <w:rPr>
          <w:color w:val="1B1F2A"/>
          <w:sz w:val="22"/>
          <w:szCs w:val="22"/>
        </w:rPr>
        <w:t xml:space="preserve"> or risk profiling of the policyholder for future premium pricing or underwriting decisions never disclosed at the point of consent. India's DPDP Act frames purpose limitation </w:t>
      </w:r>
      <w:r>
        <w:rPr>
          <w:color w:val="1B1F2A"/>
          <w:sz w:val="22"/>
          <w:szCs w:val="22"/>
        </w:rPr>
        <w:lastRenderedPageBreak/>
        <w:t>precisely along these lines — legit</w:t>
      </w:r>
      <w:r>
        <w:rPr>
          <w:color w:val="1B1F2A"/>
          <w:sz w:val="22"/>
          <w:szCs w:val="22"/>
        </w:rPr>
        <w:t>imate uses under Section 7 are scoped to specific, named circumstances (e.g., disaster response, medical emergency), not open-ended data use, which is the legal principle any anti-function-creep safeguard in this design should mirror.</w:t>
      </w:r>
    </w:p>
    <w:p w:rsidR="004D6C41" w:rsidRDefault="00180375">
      <w:pPr>
        <w:spacing w:after="240"/>
      </w:pPr>
      <w:r>
        <w:rPr>
          <w:b/>
          <w:bCs/>
          <w:i/>
          <w:iCs/>
          <w:color w:val="1C7293"/>
        </w:rPr>
        <w:t xml:space="preserve">Source: </w:t>
      </w:r>
      <w:r>
        <w:rPr>
          <w:i/>
          <w:iCs/>
          <w:color w:val="5B6472"/>
        </w:rPr>
        <w:t>Digital Perso</w:t>
      </w:r>
      <w:r>
        <w:rPr>
          <w:i/>
          <w:iCs/>
          <w:color w:val="5B6472"/>
        </w:rPr>
        <w:t>nal Data Protection Act, 2023 — Section 7, Certain Legitimate Uses (</w:t>
      </w:r>
      <w:proofErr w:type="spellStart"/>
      <w:r>
        <w:rPr>
          <w:i/>
          <w:iCs/>
          <w:color w:val="5B6472"/>
        </w:rPr>
        <w:t>ApniLaw</w:t>
      </w:r>
      <w:proofErr w:type="spellEnd"/>
      <w:r>
        <w:rPr>
          <w:i/>
          <w:iCs/>
          <w:color w:val="5B6472"/>
        </w:rPr>
        <w:t xml:space="preserve"> / Bare Act) — </w:t>
      </w:r>
      <w:hyperlink r:id="rId7" w:history="1">
        <w:r>
          <w:rPr>
            <w:rStyle w:val="Hyperlink"/>
          </w:rPr>
          <w:t>https://www.apnilaw.com/bare-act/dp</w:t>
        </w:r>
        <w:r>
          <w:rPr>
            <w:rStyle w:val="Hyperlink"/>
          </w:rPr>
          <w:t>dp/section-7-digital-personal-data-protection-act-dpdp-certain-legitimate-uses/</w:t>
        </w:r>
      </w:hyperlink>
    </w:p>
    <w:p w:rsidR="004D6C41" w:rsidRDefault="00180375">
      <w:pPr>
        <w:pStyle w:val="Heading1"/>
        <w:spacing w:before="320" w:after="120"/>
      </w:pPr>
      <w:r>
        <w:rPr>
          <w:b/>
          <w:bCs/>
          <w:color w:val="21295C"/>
          <w:sz w:val="26"/>
          <w:szCs w:val="26"/>
        </w:rPr>
        <w:t>4. Proportionality</w:t>
      </w:r>
    </w:p>
    <w:p w:rsidR="004D6C41" w:rsidRDefault="00180375">
      <w:pPr>
        <w:spacing w:after="120"/>
      </w:pPr>
      <w:r>
        <w:rPr>
          <w:color w:val="1B1F2A"/>
          <w:sz w:val="22"/>
          <w:szCs w:val="22"/>
        </w:rPr>
        <w:t>Verification intensity should scale with claim value and fraud risk, rather than applying a single blanket standard. IRDAI's own KYC framework already differ</w:t>
      </w:r>
      <w:r>
        <w:rPr>
          <w:color w:val="1B1F2A"/>
          <w:sz w:val="22"/>
          <w:szCs w:val="22"/>
        </w:rPr>
        <w:t xml:space="preserve">entiates by risk in principle (e.g., stricter document requirements for higher-value or judicial-person policies), supporting a tiered model: existing lightweight KYC (OTP, PAN) for small claims, and biometric verification plus step-up checks reserved for </w:t>
      </w:r>
      <w:r>
        <w:rPr>
          <w:color w:val="1B1F2A"/>
          <w:sz w:val="22"/>
          <w:szCs w:val="22"/>
        </w:rPr>
        <w:t xml:space="preserve">large-value </w:t>
      </w:r>
      <w:proofErr w:type="spellStart"/>
      <w:r>
        <w:rPr>
          <w:color w:val="1B1F2A"/>
          <w:sz w:val="22"/>
          <w:szCs w:val="22"/>
        </w:rPr>
        <w:t>payouts</w:t>
      </w:r>
      <w:proofErr w:type="spellEnd"/>
      <w:r>
        <w:rPr>
          <w:color w:val="1B1F2A"/>
          <w:sz w:val="22"/>
          <w:szCs w:val="22"/>
        </w:rPr>
        <w:t xml:space="preserve"> such as life insurance.</w:t>
      </w:r>
    </w:p>
    <w:p w:rsidR="004D6C41" w:rsidRDefault="00180375">
      <w:pPr>
        <w:spacing w:after="240"/>
      </w:pPr>
      <w:r>
        <w:rPr>
          <w:b/>
          <w:bCs/>
          <w:i/>
          <w:iCs/>
          <w:color w:val="1C7293"/>
        </w:rPr>
        <w:t xml:space="preserve">Source: </w:t>
      </w:r>
      <w:r>
        <w:rPr>
          <w:i/>
          <w:iCs/>
          <w:color w:val="5B6472"/>
        </w:rPr>
        <w:t xml:space="preserve">New IRDAI Regulations for KYC in Car Insurance (Tata AIG) — reference for tiered/method-based KYC structure — </w:t>
      </w:r>
      <w:hyperlink r:id="rId8" w:history="1">
        <w:r>
          <w:rPr>
            <w:rStyle w:val="Hyperlink"/>
          </w:rPr>
          <w:t>https://www.tataaig.com/knowledge-center/car-insurance/irdai-regulations-for-kyc-in-car-insurance</w:t>
        </w:r>
      </w:hyperlink>
    </w:p>
    <w:p w:rsidR="004D6C41" w:rsidRDefault="00180375">
      <w:pPr>
        <w:pStyle w:val="Heading1"/>
        <w:spacing w:before="320" w:after="120"/>
      </w:pPr>
      <w:r>
        <w:rPr>
          <w:b/>
          <w:bCs/>
          <w:color w:val="21295C"/>
          <w:sz w:val="26"/>
          <w:szCs w:val="26"/>
        </w:rPr>
        <w:t>5. Informed Consent</w:t>
      </w:r>
    </w:p>
    <w:p w:rsidR="004D6C41" w:rsidRDefault="00180375">
      <w:pPr>
        <w:spacing w:after="120"/>
      </w:pPr>
      <w:r>
        <w:rPr>
          <w:color w:val="1B1F2A"/>
          <w:sz w:val="22"/>
          <w:szCs w:val="22"/>
        </w:rPr>
        <w:t>Claimants filing a post-disaster insurance claim are frequently under significant financial and emotional stress, which weakens the voluntariness of any consent given in that moment. Separately, India's DPDP Act Section 7(h) permits a data fiduciary to pro</w:t>
      </w:r>
      <w:r>
        <w:rPr>
          <w:color w:val="1B1F2A"/>
          <w:sz w:val="22"/>
          <w:szCs w:val="22"/>
        </w:rPr>
        <w:t>cess personal data without consent to ensure safety or provide assistance during a declared disaster — but this exemption is narrowly scoped to the emergency itself, not to downstream commercial processes like an insurance claim filed afterward. This disti</w:t>
      </w:r>
      <w:r>
        <w:rPr>
          <w:color w:val="1B1F2A"/>
          <w:sz w:val="22"/>
          <w:szCs w:val="22"/>
        </w:rPr>
        <w:t>nction matters: the emergency legitimate-use exemption should not be stretched to justify skipping proper consent for the separate, later act of filing and processing an insurance claim.</w:t>
      </w:r>
    </w:p>
    <w:p w:rsidR="004D6C41" w:rsidRDefault="00180375">
      <w:pPr>
        <w:spacing w:after="240"/>
      </w:pPr>
      <w:r>
        <w:rPr>
          <w:b/>
          <w:bCs/>
          <w:i/>
          <w:iCs/>
          <w:color w:val="1C7293"/>
        </w:rPr>
        <w:t xml:space="preserve">Source: </w:t>
      </w:r>
      <w:r>
        <w:rPr>
          <w:i/>
          <w:iCs/>
          <w:color w:val="5B6472"/>
        </w:rPr>
        <w:t xml:space="preserve">Digital Personal Data Protection Act, 2023 — Section 7, full </w:t>
      </w:r>
      <w:r>
        <w:rPr>
          <w:i/>
          <w:iCs/>
          <w:color w:val="5B6472"/>
        </w:rPr>
        <w:t xml:space="preserve">text (Indian Kanoon) — </w:t>
      </w:r>
      <w:hyperlink r:id="rId9" w:history="1">
        <w:r>
          <w:rPr>
            <w:rStyle w:val="Hyperlink"/>
          </w:rPr>
          <w:t>https://indiankanoon.org/doc/62814281/</w:t>
        </w:r>
      </w:hyperlink>
    </w:p>
    <w:p w:rsidR="004D6C41" w:rsidRDefault="00180375">
      <w:pPr>
        <w:pStyle w:val="Heading1"/>
        <w:spacing w:before="320" w:after="120"/>
      </w:pPr>
      <w:r>
        <w:rPr>
          <w:b/>
          <w:bCs/>
          <w:color w:val="21295C"/>
          <w:sz w:val="26"/>
          <w:szCs w:val="26"/>
        </w:rPr>
        <w:t>6. Exclusion</w:t>
      </w:r>
    </w:p>
    <w:p w:rsidR="004D6C41" w:rsidRDefault="00180375">
      <w:pPr>
        <w:spacing w:after="120"/>
      </w:pPr>
      <w:r>
        <w:rPr>
          <w:color w:val="1B1F2A"/>
          <w:sz w:val="22"/>
          <w:szCs w:val="22"/>
        </w:rPr>
        <w:t>Facial recognition accuracy drops sharply for people with facial injuries — a peer-reviewed 2017 study found that responders c</w:t>
      </w:r>
      <w:r>
        <w:rPr>
          <w:color w:val="1B1F2A"/>
          <w:sz w:val="22"/>
          <w:szCs w:val="22"/>
        </w:rPr>
        <w:t>ould expect a correct match between submitted photos and photos of injured patients only 39% to 45% of the time. Since disaster claimants are disproportionately likely to have been injured, a failed biometric match must never result in automatic delay or d</w:t>
      </w:r>
      <w:r>
        <w:rPr>
          <w:color w:val="1B1F2A"/>
          <w:sz w:val="22"/>
          <w:szCs w:val="22"/>
        </w:rPr>
        <w:t xml:space="preserve">enial of a claim. IRDAI's existing acceptance of offline, document-based KYC provides a ready-made, already-approved </w:t>
      </w:r>
      <w:proofErr w:type="spellStart"/>
      <w:r>
        <w:rPr>
          <w:color w:val="1B1F2A"/>
          <w:sz w:val="22"/>
          <w:szCs w:val="22"/>
        </w:rPr>
        <w:t>fallback</w:t>
      </w:r>
      <w:proofErr w:type="spellEnd"/>
      <w:r>
        <w:rPr>
          <w:color w:val="1B1F2A"/>
          <w:sz w:val="22"/>
          <w:szCs w:val="22"/>
        </w:rPr>
        <w:t xml:space="preserve"> path — this is not a new mechanism that needs inventing, but a matter of ensuring it remains genuinely equal in speed and outcome.</w:t>
      </w:r>
    </w:p>
    <w:p w:rsidR="004D6C41" w:rsidRDefault="00180375">
      <w:pPr>
        <w:spacing w:after="240"/>
      </w:pPr>
      <w:r>
        <w:rPr>
          <w:b/>
          <w:bCs/>
          <w:i/>
          <w:iCs/>
          <w:color w:val="1C7293"/>
        </w:rPr>
        <w:t xml:space="preserve">Source: </w:t>
      </w:r>
      <w:r>
        <w:rPr>
          <w:i/>
          <w:iCs/>
          <w:color w:val="5B6472"/>
        </w:rPr>
        <w:t xml:space="preserve">Use of Facial Recognition Software to Identify Disaster Victims With Facial Injuries — Broach et al., Disaster Medicine and Public Health Preparedness (Cambridge University Press, 2017) — </w:t>
      </w:r>
      <w:hyperlink r:id="rId10" w:history="1">
        <w:r>
          <w:rPr>
            <w:rStyle w:val="Hyperlink"/>
          </w:rPr>
          <w:t>https://www.cambridge.org/core/product/1446E5396BC4A516860A7D4DDEFC34A3</w:t>
        </w:r>
      </w:hyperlink>
    </w:p>
    <w:p w:rsidR="004D6C41" w:rsidRDefault="00180375">
      <w:pPr>
        <w:pStyle w:val="Heading1"/>
        <w:spacing w:before="320" w:after="120"/>
      </w:pPr>
      <w:r>
        <w:rPr>
          <w:b/>
          <w:bCs/>
          <w:color w:val="21295C"/>
          <w:sz w:val="26"/>
          <w:szCs w:val="26"/>
        </w:rPr>
        <w:t>7. Surveillance</w:t>
      </w:r>
    </w:p>
    <w:p w:rsidR="004D6C41" w:rsidRDefault="00180375">
      <w:pPr>
        <w:spacing w:after="120"/>
      </w:pPr>
      <w:r>
        <w:rPr>
          <w:color w:val="1B1F2A"/>
          <w:sz w:val="22"/>
          <w:szCs w:val="22"/>
        </w:rPr>
        <w:t xml:space="preserve">Accumulated verification data across multiple claims and policies over time could </w:t>
      </w:r>
      <w:r>
        <w:rPr>
          <w:color w:val="1B1F2A"/>
          <w:sz w:val="22"/>
          <w:szCs w:val="22"/>
        </w:rPr>
        <w:t xml:space="preserve">allow an insurer to build a </w:t>
      </w:r>
      <w:proofErr w:type="spellStart"/>
      <w:r>
        <w:rPr>
          <w:color w:val="1B1F2A"/>
          <w:sz w:val="22"/>
          <w:szCs w:val="22"/>
        </w:rPr>
        <w:t>behavioral</w:t>
      </w:r>
      <w:proofErr w:type="spellEnd"/>
      <w:r>
        <w:rPr>
          <w:color w:val="1B1F2A"/>
          <w:sz w:val="22"/>
          <w:szCs w:val="22"/>
        </w:rPr>
        <w:t xml:space="preserve"> or risk profile of a policyholder well beyond what any single claim required — a narrower, sector-specific form of the surveillance risk the brief raises. The same DPDP Section 7 purpose-limitation logic that governs </w:t>
      </w:r>
      <w:r>
        <w:rPr>
          <w:color w:val="1B1F2A"/>
          <w:sz w:val="22"/>
          <w:szCs w:val="22"/>
        </w:rPr>
        <w:t>the emergency-use exemption should be extended contractually to bind insurers: verification data collected for Claim X cannot be retained or cross-referenced for any purpose beyond that claim's lifecycle.</w:t>
      </w:r>
    </w:p>
    <w:p w:rsidR="004D6C41" w:rsidRDefault="00180375">
      <w:pPr>
        <w:spacing w:after="240"/>
      </w:pPr>
      <w:r>
        <w:rPr>
          <w:b/>
          <w:bCs/>
          <w:i/>
          <w:iCs/>
          <w:color w:val="1C7293"/>
        </w:rPr>
        <w:t xml:space="preserve">Source: </w:t>
      </w:r>
      <w:r>
        <w:rPr>
          <w:i/>
          <w:iCs/>
          <w:color w:val="5B6472"/>
        </w:rPr>
        <w:t xml:space="preserve">Digital Personal Data Protection Act, 2023 </w:t>
      </w:r>
      <w:r>
        <w:rPr>
          <w:i/>
          <w:iCs/>
          <w:color w:val="5B6472"/>
        </w:rPr>
        <w:t xml:space="preserve">— Section 7 with interpretation and worked examples (DPDPA.com) — </w:t>
      </w:r>
      <w:hyperlink r:id="rId11" w:history="1">
        <w:r>
          <w:rPr>
            <w:rStyle w:val="Hyperlink"/>
          </w:rPr>
          <w:t>https://www.dpdpa.com/dpdpa2023/chapter-2/section7.html</w:t>
        </w:r>
      </w:hyperlink>
    </w:p>
    <w:p w:rsidR="004D6C41" w:rsidRDefault="00180375">
      <w:pPr>
        <w:pStyle w:val="Heading1"/>
        <w:spacing w:before="320" w:after="120"/>
      </w:pPr>
      <w:r>
        <w:rPr>
          <w:b/>
          <w:bCs/>
          <w:color w:val="21295C"/>
          <w:sz w:val="26"/>
          <w:szCs w:val="26"/>
        </w:rPr>
        <w:t>8. Commercial Misuse</w:t>
      </w:r>
    </w:p>
    <w:p w:rsidR="004D6C41" w:rsidRDefault="00180375">
      <w:pPr>
        <w:spacing w:after="120"/>
      </w:pPr>
      <w:r>
        <w:rPr>
          <w:color w:val="1B1F2A"/>
          <w:sz w:val="22"/>
          <w:szCs w:val="22"/>
        </w:rPr>
        <w:lastRenderedPageBreak/>
        <w:t>This is the most sector-specific and cons</w:t>
      </w:r>
      <w:r>
        <w:rPr>
          <w:color w:val="1B1F2A"/>
          <w:sz w:val="22"/>
          <w:szCs w:val="22"/>
        </w:rPr>
        <w:t xml:space="preserve">equential risk of the nine points: private insurers have a direct profit motive to misuse verification data — for example, treating a low-confidence biometric match as informal grounds to delay, flag, or deny a claim, effectively </w:t>
      </w:r>
      <w:proofErr w:type="spellStart"/>
      <w:r>
        <w:rPr>
          <w:color w:val="1B1F2A"/>
          <w:sz w:val="22"/>
          <w:szCs w:val="22"/>
        </w:rPr>
        <w:t>weaponizing</w:t>
      </w:r>
      <w:proofErr w:type="spellEnd"/>
      <w:r>
        <w:rPr>
          <w:color w:val="1B1F2A"/>
          <w:sz w:val="22"/>
          <w:szCs w:val="22"/>
        </w:rPr>
        <w:t xml:space="preserve"> verification u</w:t>
      </w:r>
      <w:r>
        <w:rPr>
          <w:color w:val="1B1F2A"/>
          <w:sz w:val="22"/>
          <w:szCs w:val="22"/>
        </w:rPr>
        <w:t>ncertainty against the claimant's financial interest. Any policy framework must explicitly prohibit the use of biometric confidence scores in claim-approval decisions, restricting the system to a strict binary match/no-match output reaching the claims-proc</w:t>
      </w:r>
      <w:r>
        <w:rPr>
          <w:color w:val="1B1F2A"/>
          <w:sz w:val="22"/>
          <w:szCs w:val="22"/>
        </w:rPr>
        <w:t>essing layer.</w:t>
      </w:r>
    </w:p>
    <w:p w:rsidR="004D6C41" w:rsidRDefault="00180375">
      <w:pPr>
        <w:spacing w:after="240"/>
      </w:pPr>
      <w:r>
        <w:rPr>
          <w:b/>
          <w:bCs/>
          <w:i/>
          <w:iCs/>
          <w:color w:val="1C7293"/>
        </w:rPr>
        <w:t xml:space="preserve">Source: </w:t>
      </w:r>
      <w:r>
        <w:rPr>
          <w:i/>
          <w:iCs/>
          <w:color w:val="5B6472"/>
        </w:rPr>
        <w:t>IRDAI Releases Master AML/CFT Guidelines For Insurers (</w:t>
      </w:r>
      <w:proofErr w:type="spellStart"/>
      <w:r>
        <w:rPr>
          <w:i/>
          <w:iCs/>
          <w:color w:val="5B6472"/>
        </w:rPr>
        <w:t>SignDesk</w:t>
      </w:r>
      <w:proofErr w:type="spellEnd"/>
      <w:r>
        <w:rPr>
          <w:i/>
          <w:iCs/>
          <w:color w:val="5B6472"/>
        </w:rPr>
        <w:t xml:space="preserve">) — insurer obligations and oversight context — </w:t>
      </w:r>
      <w:hyperlink r:id="rId12" w:history="1">
        <w:r>
          <w:rPr>
            <w:rStyle w:val="Hyperlink"/>
          </w:rPr>
          <w:t>https://melento.ai/en-in/blog/irdai-aml</w:t>
        </w:r>
        <w:r>
          <w:rPr>
            <w:rStyle w:val="Hyperlink"/>
          </w:rPr>
          <w:t>-master-guidelines-explained</w:t>
        </w:r>
      </w:hyperlink>
    </w:p>
    <w:p w:rsidR="004D6C41" w:rsidRDefault="00180375">
      <w:pPr>
        <w:pStyle w:val="Heading1"/>
        <w:spacing w:before="320" w:after="120"/>
      </w:pPr>
      <w:r>
        <w:rPr>
          <w:b/>
          <w:bCs/>
          <w:color w:val="21295C"/>
          <w:sz w:val="26"/>
          <w:szCs w:val="26"/>
        </w:rPr>
        <w:t>9. Trust</w:t>
      </w:r>
    </w:p>
    <w:p w:rsidR="004D6C41" w:rsidRDefault="00180375">
      <w:pPr>
        <w:spacing w:after="120"/>
      </w:pPr>
      <w:r>
        <w:rPr>
          <w:color w:val="1B1F2A"/>
          <w:sz w:val="22"/>
          <w:szCs w:val="22"/>
        </w:rPr>
        <w:t>India's insurance sector already carries documented public trust challenges around claim handling and denials. Introducing biometric verification without visible, strict safeguards risks deepening the public perception</w:t>
      </w:r>
      <w:r>
        <w:rPr>
          <w:color w:val="1B1F2A"/>
          <w:sz w:val="22"/>
          <w:szCs w:val="22"/>
        </w:rPr>
        <w:t xml:space="preserve"> that insurers deploy technology to avoid paying out rather than to serve customers faster — making transparent governance (independent audit trails, published verification-failure </w:t>
      </w:r>
      <w:proofErr w:type="spellStart"/>
      <w:r>
        <w:rPr>
          <w:color w:val="1B1F2A"/>
          <w:sz w:val="22"/>
          <w:szCs w:val="22"/>
        </w:rPr>
        <w:t>fallback</w:t>
      </w:r>
      <w:proofErr w:type="spellEnd"/>
      <w:r>
        <w:rPr>
          <w:color w:val="1B1F2A"/>
          <w:sz w:val="22"/>
          <w:szCs w:val="22"/>
        </w:rPr>
        <w:t xml:space="preserve"> guarantees) essential to preserving, rather than eroding, public t</w:t>
      </w:r>
      <w:r>
        <w:rPr>
          <w:color w:val="1B1F2A"/>
          <w:sz w:val="22"/>
          <w:szCs w:val="22"/>
        </w:rPr>
        <w:t xml:space="preserve">rust in both the insurer and in </w:t>
      </w:r>
      <w:proofErr w:type="spellStart"/>
      <w:r>
        <w:rPr>
          <w:color w:val="1B1F2A"/>
          <w:sz w:val="22"/>
          <w:szCs w:val="22"/>
        </w:rPr>
        <w:t>DigiYatra</w:t>
      </w:r>
      <w:proofErr w:type="spellEnd"/>
      <w:r>
        <w:rPr>
          <w:color w:val="1B1F2A"/>
          <w:sz w:val="22"/>
          <w:szCs w:val="22"/>
        </w:rPr>
        <w:t xml:space="preserve"> as underlying infrastructure.</w:t>
      </w:r>
    </w:p>
    <w:p w:rsidR="004D6C41" w:rsidRDefault="00180375">
      <w:pPr>
        <w:spacing w:after="240"/>
      </w:pPr>
      <w:r>
        <w:rPr>
          <w:b/>
          <w:bCs/>
          <w:i/>
          <w:iCs/>
          <w:color w:val="1C7293"/>
        </w:rPr>
        <w:t xml:space="preserve">Source: </w:t>
      </w:r>
      <w:r>
        <w:rPr>
          <w:i/>
          <w:iCs/>
          <w:color w:val="5B6472"/>
        </w:rPr>
        <w:t xml:space="preserve">IRDAI regulatory framework for KYC in insurance — mandatory identity/address verification requirements (Bajaj General Insurance) — </w:t>
      </w:r>
      <w:hyperlink r:id="rId13" w:history="1">
        <w:r>
          <w:rPr>
            <w:rStyle w:val="Hyperlink"/>
          </w:rPr>
          <w:t>https://www.bajajgeneralinsurance.com/blog/motor-insurance-articles/new-irdai-rules-in-car-insurance.html</w:t>
        </w:r>
      </w:hyperlink>
    </w:p>
    <w:p w:rsidR="004D6C41" w:rsidRDefault="004D6C41">
      <w:pPr>
        <w:pBdr>
          <w:bottom w:val="single" w:sz="6" w:space="1" w:color="D6E0E3"/>
        </w:pBdr>
        <w:spacing w:before="60" w:after="60"/>
      </w:pPr>
    </w:p>
    <w:p w:rsidR="004D6C41" w:rsidRDefault="00180375">
      <w:pPr>
        <w:pStyle w:val="Heading1"/>
        <w:spacing w:before="320" w:after="120"/>
      </w:pPr>
      <w:r>
        <w:rPr>
          <w:b/>
          <w:bCs/>
          <w:color w:val="21295C"/>
          <w:sz w:val="26"/>
          <w:szCs w:val="26"/>
        </w:rPr>
        <w:t>Design Rules for Building This Ecosystem</w:t>
      </w:r>
    </w:p>
    <w:p w:rsidR="004D6C41" w:rsidRDefault="00180375">
      <w:pPr>
        <w:spacing w:after="120"/>
      </w:pPr>
      <w:r>
        <w:rPr>
          <w:color w:val="1B1F2A"/>
          <w:sz w:val="22"/>
          <w:szCs w:val="22"/>
        </w:rPr>
        <w:t>Grounded in the regulatory sour</w:t>
      </w:r>
      <w:r>
        <w:rPr>
          <w:color w:val="1B1F2A"/>
          <w:sz w:val="22"/>
          <w:szCs w:val="22"/>
        </w:rPr>
        <w:t xml:space="preserve">ces above, the following rules should govern any policy proposal to extend </w:t>
      </w:r>
      <w:proofErr w:type="spellStart"/>
      <w:r>
        <w:rPr>
          <w:color w:val="1B1F2A"/>
          <w:sz w:val="22"/>
          <w:szCs w:val="22"/>
        </w:rPr>
        <w:t>DigiYatra</w:t>
      </w:r>
      <w:proofErr w:type="spellEnd"/>
      <w:r>
        <w:rPr>
          <w:color w:val="1B1F2A"/>
          <w:sz w:val="22"/>
          <w:szCs w:val="22"/>
        </w:rPr>
        <w:t xml:space="preserve"> into private insurance claims verification:</w:t>
      </w:r>
    </w:p>
    <w:p w:rsidR="004D6C41" w:rsidRDefault="00180375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Supplement, never replace — facial verification must be offered alongside IRDAI's existing approved KYC methods (</w:t>
      </w:r>
      <w:proofErr w:type="spellStart"/>
      <w:r>
        <w:rPr>
          <w:sz w:val="22"/>
          <w:szCs w:val="22"/>
        </w:rPr>
        <w:t>Aadhaar</w:t>
      </w:r>
      <w:proofErr w:type="spellEnd"/>
      <w:r>
        <w:rPr>
          <w:sz w:val="22"/>
          <w:szCs w:val="22"/>
        </w:rPr>
        <w:t xml:space="preserve"> e-KYC,</w:t>
      </w:r>
      <w:r>
        <w:rPr>
          <w:sz w:val="22"/>
          <w:szCs w:val="22"/>
        </w:rPr>
        <w:t xml:space="preserve"> video KYC, offline document KYC, OTP), never as the sole verification path.</w:t>
      </w:r>
    </w:p>
    <w:p w:rsidR="004D6C41" w:rsidRDefault="00180375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Purpose-bind every verification event — a token issued for one claim cannot be reused or referenced for a different claim, or for underwriting or pricing decisions.</w:t>
      </w:r>
    </w:p>
    <w:p w:rsidR="004D6C41" w:rsidRDefault="00180375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Mandatory equi</w:t>
      </w:r>
      <w:r>
        <w:rPr>
          <w:sz w:val="22"/>
          <w:szCs w:val="22"/>
        </w:rPr>
        <w:t xml:space="preserve">valent </w:t>
      </w:r>
      <w:proofErr w:type="spellStart"/>
      <w:r>
        <w:rPr>
          <w:sz w:val="22"/>
          <w:szCs w:val="22"/>
        </w:rPr>
        <w:t>fallback</w:t>
      </w:r>
      <w:proofErr w:type="spellEnd"/>
      <w:r>
        <w:rPr>
          <w:sz w:val="22"/>
          <w:szCs w:val="22"/>
        </w:rPr>
        <w:t xml:space="preserve"> — claimants who fail or decline biometric verification must receive equally fast processing via an already-approved method, never a punitive slower path.</w:t>
      </w:r>
    </w:p>
    <w:p w:rsidR="004D6C41" w:rsidRDefault="00180375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Ban confidence-score-based claim decisions — insurers must be prohibited from using a </w:t>
      </w:r>
      <w:r>
        <w:rPr>
          <w:sz w:val="22"/>
          <w:szCs w:val="22"/>
        </w:rPr>
        <w:t>biometric match's confidence score as grounds to delay, flag, or deny a claim; only a binary match/no-match result should reach the claims-decision layer.</w:t>
      </w:r>
    </w:p>
    <w:p w:rsidR="004D6C41" w:rsidRDefault="00180375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Time-boxed retention tied to claim lifecycle — verification data should be deleted once the claim is </w:t>
      </w:r>
      <w:r>
        <w:rPr>
          <w:sz w:val="22"/>
          <w:szCs w:val="22"/>
        </w:rPr>
        <w:t>settled and any regulatory audit-retention window expires.</w:t>
      </w:r>
    </w:p>
    <w:p w:rsidR="004D6C41" w:rsidRDefault="00180375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Independent audit trail — every verification event should be logged for external regulatory review (IRDAI), separate from the insurer's own internal systems.</w:t>
      </w:r>
    </w:p>
    <w:p w:rsidR="004D6C41" w:rsidRDefault="00180375"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>Tiered proportionality by claim value —</w:t>
      </w:r>
      <w:r>
        <w:rPr>
          <w:sz w:val="22"/>
          <w:szCs w:val="22"/>
        </w:rPr>
        <w:t xml:space="preserve"> define explicit claim-value thresholds above which biometric verification is permitted, below which existing lighter-touch KYC suffices.</w:t>
      </w:r>
    </w:p>
    <w:p w:rsidR="004D6C41" w:rsidRDefault="004D6C41">
      <w:pPr>
        <w:pBdr>
          <w:bottom w:val="single" w:sz="6" w:space="1" w:color="D6E0E3"/>
        </w:pBdr>
        <w:spacing w:before="60" w:after="60"/>
      </w:pPr>
    </w:p>
    <w:p w:rsidR="004D6C41" w:rsidRDefault="00180375">
      <w:pPr>
        <w:spacing w:before="120"/>
      </w:pPr>
      <w:r>
        <w:rPr>
          <w:i/>
          <w:iCs/>
          <w:color w:val="5B6472"/>
          <w:sz w:val="18"/>
          <w:szCs w:val="18"/>
        </w:rPr>
        <w:t>Note: sources listed are the primary references used to ground each section's regulatory or empirical claims as of th</w:t>
      </w:r>
      <w:r>
        <w:rPr>
          <w:i/>
          <w:iCs/>
          <w:color w:val="5B6472"/>
          <w:sz w:val="18"/>
          <w:szCs w:val="18"/>
        </w:rPr>
        <w:t>e research date. Teams should verify current applicability of all cited guidelines before final submission, as regulations may be updated.</w:t>
      </w:r>
    </w:p>
    <w:sectPr w:rsidR="004D6C4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D12550"/>
    <w:multiLevelType w:val="hybridMultilevel"/>
    <w:tmpl w:val="2E524A7E"/>
    <w:lvl w:ilvl="0" w:tplc="577C8750">
      <w:start w:val="1"/>
      <w:numFmt w:val="decimal"/>
      <w:lvlText w:val="%1."/>
      <w:lvlJc w:val="left"/>
      <w:pPr>
        <w:ind w:left="450" w:hanging="300"/>
      </w:pPr>
    </w:lvl>
    <w:lvl w:ilvl="1" w:tplc="B088EC60">
      <w:numFmt w:val="decimal"/>
      <w:lvlText w:val=""/>
      <w:lvlJc w:val="left"/>
    </w:lvl>
    <w:lvl w:ilvl="2" w:tplc="DB18B5AC">
      <w:numFmt w:val="decimal"/>
      <w:lvlText w:val=""/>
      <w:lvlJc w:val="left"/>
    </w:lvl>
    <w:lvl w:ilvl="3" w:tplc="2EC2381C">
      <w:numFmt w:val="decimal"/>
      <w:lvlText w:val=""/>
      <w:lvlJc w:val="left"/>
    </w:lvl>
    <w:lvl w:ilvl="4" w:tplc="EA80B7CA">
      <w:numFmt w:val="decimal"/>
      <w:lvlText w:val=""/>
      <w:lvlJc w:val="left"/>
    </w:lvl>
    <w:lvl w:ilvl="5" w:tplc="6BFE62D4">
      <w:numFmt w:val="decimal"/>
      <w:lvlText w:val=""/>
      <w:lvlJc w:val="left"/>
    </w:lvl>
    <w:lvl w:ilvl="6" w:tplc="E4809A40">
      <w:numFmt w:val="decimal"/>
      <w:lvlText w:val=""/>
      <w:lvlJc w:val="left"/>
    </w:lvl>
    <w:lvl w:ilvl="7" w:tplc="FED86808">
      <w:numFmt w:val="decimal"/>
      <w:lvlText w:val=""/>
      <w:lvlJc w:val="left"/>
    </w:lvl>
    <w:lvl w:ilvl="8" w:tplc="922C47BE">
      <w:numFmt w:val="decimal"/>
      <w:lvlText w:val=""/>
      <w:lvlJc w:val="left"/>
    </w:lvl>
  </w:abstractNum>
  <w:abstractNum w:abstractNumId="1" w15:restartNumberingAfterBreak="0">
    <w:nsid w:val="792F5DBB"/>
    <w:multiLevelType w:val="hybridMultilevel"/>
    <w:tmpl w:val="0FA238D6"/>
    <w:lvl w:ilvl="0" w:tplc="F02A0754">
      <w:start w:val="1"/>
      <w:numFmt w:val="bullet"/>
      <w:lvlText w:val="●"/>
      <w:lvlJc w:val="left"/>
      <w:pPr>
        <w:ind w:left="720" w:hanging="360"/>
      </w:pPr>
    </w:lvl>
    <w:lvl w:ilvl="1" w:tplc="A21C8BE4">
      <w:start w:val="1"/>
      <w:numFmt w:val="bullet"/>
      <w:lvlText w:val="○"/>
      <w:lvlJc w:val="left"/>
      <w:pPr>
        <w:ind w:left="1440" w:hanging="360"/>
      </w:pPr>
    </w:lvl>
    <w:lvl w:ilvl="2" w:tplc="0D4EABF4">
      <w:start w:val="1"/>
      <w:numFmt w:val="bullet"/>
      <w:lvlText w:val="■"/>
      <w:lvlJc w:val="left"/>
      <w:pPr>
        <w:ind w:left="2160" w:hanging="360"/>
      </w:pPr>
    </w:lvl>
    <w:lvl w:ilvl="3" w:tplc="58DAF470">
      <w:start w:val="1"/>
      <w:numFmt w:val="bullet"/>
      <w:lvlText w:val="●"/>
      <w:lvlJc w:val="left"/>
      <w:pPr>
        <w:ind w:left="2880" w:hanging="360"/>
      </w:pPr>
    </w:lvl>
    <w:lvl w:ilvl="4" w:tplc="243A3248">
      <w:start w:val="1"/>
      <w:numFmt w:val="bullet"/>
      <w:lvlText w:val="○"/>
      <w:lvlJc w:val="left"/>
      <w:pPr>
        <w:ind w:left="3600" w:hanging="360"/>
      </w:pPr>
    </w:lvl>
    <w:lvl w:ilvl="5" w:tplc="43CE9B48">
      <w:start w:val="1"/>
      <w:numFmt w:val="bullet"/>
      <w:lvlText w:val="■"/>
      <w:lvlJc w:val="left"/>
      <w:pPr>
        <w:ind w:left="4320" w:hanging="360"/>
      </w:pPr>
    </w:lvl>
    <w:lvl w:ilvl="6" w:tplc="95B00384">
      <w:start w:val="1"/>
      <w:numFmt w:val="bullet"/>
      <w:lvlText w:val="●"/>
      <w:lvlJc w:val="left"/>
      <w:pPr>
        <w:ind w:left="5040" w:hanging="360"/>
      </w:pPr>
    </w:lvl>
    <w:lvl w:ilvl="7" w:tplc="22128028">
      <w:start w:val="1"/>
      <w:numFmt w:val="bullet"/>
      <w:lvlText w:val="●"/>
      <w:lvlJc w:val="left"/>
      <w:pPr>
        <w:ind w:left="5760" w:hanging="360"/>
      </w:pPr>
    </w:lvl>
    <w:lvl w:ilvl="8" w:tplc="E2568E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C41"/>
    <w:rsid w:val="00180375"/>
    <w:rsid w:val="004D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ECB76"/>
  <w15:docId w15:val="{95603270-5387-480C-B9C8-00DE80AD7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8037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ataaig.com/knowledge-center/car-insurance/irdai-regulations-for-kyc-in-car-insurance" TargetMode="External"/><Relationship Id="rId13" Type="http://schemas.openxmlformats.org/officeDocument/2006/relationships/hyperlink" Target="https://www.bajajgeneralinsurance.com/blog/motor-insurance-articles/new-irdai-rules-in-car-insuranc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pnilaw.com/bare-act/dpdp/section-7-digital-personal-data-protection-act-dpdp-certain-legitimate-uses/" TargetMode="External"/><Relationship Id="rId12" Type="http://schemas.openxmlformats.org/officeDocument/2006/relationships/hyperlink" Target="https://melento.ai/en-in/blog/irdai-aml-master-guidelines-explaine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igio.in/blog/insurance-kyc-decoding-irdai-aml-cft-guidelines/" TargetMode="External"/><Relationship Id="rId11" Type="http://schemas.openxmlformats.org/officeDocument/2006/relationships/hyperlink" Target="https://www.dpdpa.com/dpdpa2023/chapter-2/section7.html" TargetMode="External"/><Relationship Id="rId5" Type="http://schemas.openxmlformats.org/officeDocument/2006/relationships/hyperlink" Target="https://melento.ai/en-in/blog/irdai-aml-master-guidelines-explained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cambridge.org/core/product/1446E5396BC4A516860A7D4DDEFC34A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diankanoon.org/doc/62814281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1643</Words>
  <Characters>9368</Characters>
  <Application>Microsoft Office Word</Application>
  <DocSecurity>0</DocSecurity>
  <Lines>78</Lines>
  <Paragraphs>21</Paragraphs>
  <ScaleCrop>false</ScaleCrop>
  <Company/>
  <LinksUpToDate>false</LinksUpToDate>
  <CharactersWithSpaces>10990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2026-09-04T04:09:00Z</dcterms:created>
  <dcterms:modified xsi:type="dcterms:W3CDTF">2026-09-04T10:34:00Z</dcterms:modified>
</cp:coreProperties>
</file>