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C0E5A" w14:textId="08AA840B" w:rsidR="0013759F" w:rsidRPr="0013759F" w:rsidRDefault="0013759F" w:rsidP="0001336F">
      <w:pPr>
        <w:pStyle w:val="Title"/>
        <w:rPr>
          <w:sz w:val="180"/>
        </w:rPr>
      </w:pPr>
      <w:bookmarkStart w:id="0" w:name="The_pathway"/>
      <w:r w:rsidRPr="0013759F">
        <w:t xml:space="preserve">Chest </w:t>
      </w:r>
      <w:r w:rsidRPr="0001336F">
        <w:t>Pain</w:t>
      </w:r>
      <w:r w:rsidRPr="0013759F">
        <w:t xml:space="preserve"> Pathway</w:t>
      </w:r>
      <w:bookmarkEnd w:id="0"/>
    </w:p>
    <w:p w14:paraId="326F6F32" w14:textId="36211EA0" w:rsidR="00D25C27" w:rsidRPr="00CB6B08" w:rsidRDefault="00D25C27" w:rsidP="0013759F">
      <w:pPr>
        <w:rPr>
          <w:rFonts w:ascii="Helvetica" w:hAnsi="Helvetica" w:cs="Helvetica"/>
          <w:b/>
          <w:szCs w:val="28"/>
        </w:rPr>
      </w:pPr>
    </w:p>
    <w:p w14:paraId="416F967F" w14:textId="77777777" w:rsidR="00D25C27" w:rsidRPr="0013759F" w:rsidRDefault="00000000" w:rsidP="0013759F">
      <w:pPr>
        <w:pStyle w:val="Heading1"/>
        <w:spacing w:before="360" w:after="240"/>
      </w:pPr>
      <w:bookmarkStart w:id="1" w:name="The_purpose_of_the_pathway_"/>
      <w:r w:rsidRPr="0013759F">
        <w:rPr>
          <w:rFonts w:ascii="Calibri" w:hAnsi="Calibri"/>
          <w:color w:val="004C99"/>
          <w:sz w:val="32"/>
        </w:rPr>
        <w:t>The purpose of the pathway.</w:t>
      </w:r>
      <w:bookmarkEnd w:id="1"/>
      <w:r w:rsidRPr="0013759F">
        <w:rPr>
          <w:rFonts w:ascii="Calibri" w:hAnsi="Calibri"/>
          <w:color w:val="004C99"/>
          <w:sz w:val="32"/>
        </w:rPr>
        <w:t xml:space="preserve"> </w:t>
      </w:r>
    </w:p>
    <w:p w14:paraId="70ED4D17" w14:textId="77777777" w:rsidR="00D25C27" w:rsidRPr="00CB6B08" w:rsidRDefault="00000000" w:rsidP="0004382F">
      <w:pPr>
        <w:spacing w:after="120" w:line="276" w:lineRule="auto"/>
        <w:rPr>
          <w:szCs w:val="28"/>
        </w:rPr>
      </w:pPr>
      <w:r w:rsidRPr="00CB6B08">
        <w:rPr>
          <w:szCs w:val="28"/>
        </w:rPr>
        <w:t>Over the past year, our Emergency Department has received [insert data] patients presenting with chest pain, representing approximately X% of all adult presentations.</w:t>
      </w:r>
    </w:p>
    <w:p w14:paraId="5AB36C15" w14:textId="77777777" w:rsidR="00D25C27" w:rsidRPr="00CB6B08" w:rsidRDefault="00000000" w:rsidP="0004382F">
      <w:pPr>
        <w:spacing w:after="120" w:line="276" w:lineRule="auto"/>
        <w:rPr>
          <w:szCs w:val="28"/>
        </w:rPr>
      </w:pPr>
      <w:r w:rsidRPr="00CB6B08">
        <w:rPr>
          <w:szCs w:val="28"/>
        </w:rPr>
        <w:t>Evidence from multiple studies demonstrates that outcomes improve when chest pain evaluation follows a standardized, evidence-based algorithm such as the HEART or modified HEART pathway. This protocol aims to streamline decision-making, reduce unnecessary admissions, and maintain patient safety.</w:t>
      </w:r>
    </w:p>
    <w:p w14:paraId="39A93ED0" w14:textId="57BDB263" w:rsidR="00D25C27" w:rsidRPr="0013759F" w:rsidRDefault="00000000" w:rsidP="0013759F">
      <w:pPr>
        <w:pStyle w:val="Heading1"/>
        <w:spacing w:before="360" w:after="240"/>
        <w:rPr>
          <w:sz w:val="40"/>
        </w:rPr>
      </w:pPr>
      <w:bookmarkStart w:id="2" w:name="Description_of_the_Pathway_"/>
      <w:r w:rsidRPr="0013759F">
        <w:rPr>
          <w:rFonts w:ascii="Calibri" w:hAnsi="Calibri"/>
          <w:color w:val="004C99"/>
          <w:sz w:val="32"/>
        </w:rPr>
        <w:t>Description of the Pathway</w:t>
      </w:r>
      <w:bookmarkEnd w:id="2"/>
      <w:r w:rsidRPr="0013759F">
        <w:rPr>
          <w:rFonts w:ascii="Calibri" w:hAnsi="Calibri"/>
          <w:color w:val="004C99"/>
          <w:sz w:val="32"/>
        </w:rPr>
        <w:t xml:space="preserve"> </w:t>
      </w:r>
    </w:p>
    <w:p w14:paraId="2CDB8B07" w14:textId="77777777" w:rsidR="00D25C27" w:rsidRPr="0013759F" w:rsidRDefault="00000000" w:rsidP="0013759F">
      <w:pPr>
        <w:pStyle w:val="Heading2"/>
        <w:spacing w:before="240" w:after="120"/>
      </w:pPr>
      <w:bookmarkStart w:id="3" w:name="Inclusion_criteria_"/>
      <w:r w:rsidRPr="0013759F">
        <w:rPr>
          <w:rFonts w:ascii="Calibri" w:hAnsi="Calibri"/>
          <w:color w:val="0066CC"/>
          <w:sz w:val="26"/>
        </w:rPr>
        <w:t>Inclusion criteria</w:t>
      </w:r>
      <w:bookmarkEnd w:id="3"/>
      <w:r w:rsidRPr="0013759F">
        <w:rPr>
          <w:rFonts w:ascii="Calibri" w:hAnsi="Calibri"/>
          <w:color w:val="0066CC"/>
          <w:sz w:val="26"/>
        </w:rPr>
        <w:t xml:space="preserve"> </w:t>
      </w:r>
    </w:p>
    <w:p w14:paraId="7D7160BC" w14:textId="77777777" w:rsidR="00D25C27" w:rsidRPr="00CB6B08" w:rsidRDefault="00000000">
      <w:pPr>
        <w:numPr>
          <w:ilvl w:val="0"/>
          <w:numId w:val="1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Adults (≥18 years) presenting to the ED with chest pain prompting evaluation for possible acute coronary syndrome (ACS).</w:t>
      </w:r>
    </w:p>
    <w:p w14:paraId="3BE359F2" w14:textId="6495D4F6" w:rsidR="00D25C27" w:rsidRPr="00CB6B08" w:rsidRDefault="00000000" w:rsidP="0013759F">
      <w:pPr>
        <w:numPr>
          <w:ilvl w:val="0"/>
          <w:numId w:val="1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 xml:space="preserve">Peak of chest pain occurred </w:t>
      </w:r>
      <w:r w:rsidRPr="00CB6B08">
        <w:rPr>
          <w:b/>
          <w:szCs w:val="28"/>
        </w:rPr>
        <w:t xml:space="preserve">≥2 hours before </w:t>
      </w:r>
      <w:r w:rsidR="007A6E0A">
        <w:rPr>
          <w:b/>
          <w:szCs w:val="28"/>
        </w:rPr>
        <w:t>blood with drawing</w:t>
      </w:r>
      <w:r w:rsidRPr="00CB6B08">
        <w:rPr>
          <w:szCs w:val="28"/>
        </w:rPr>
        <w:t xml:space="preserve"> (to ensure reliable hs-troponin interpretation).</w:t>
      </w:r>
    </w:p>
    <w:p w14:paraId="1BFE644B" w14:textId="77777777" w:rsidR="00D25C27" w:rsidRPr="0013759F" w:rsidRDefault="00000000" w:rsidP="0013759F">
      <w:pPr>
        <w:pStyle w:val="Heading2"/>
        <w:spacing w:before="240" w:after="120"/>
      </w:pPr>
      <w:bookmarkStart w:id="4" w:name="Exclusion_criteria"/>
      <w:r w:rsidRPr="0013759F">
        <w:rPr>
          <w:rFonts w:ascii="Calibri" w:hAnsi="Calibri"/>
          <w:color w:val="0066CC"/>
          <w:sz w:val="26"/>
        </w:rPr>
        <w:t>Exclusion criteria.</w:t>
      </w:r>
      <w:bookmarkEnd w:id="4"/>
    </w:p>
    <w:p w14:paraId="095A60C0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Chief complaint not chest pain.</w:t>
      </w:r>
    </w:p>
    <w:p w14:paraId="6B3E4E82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Peak pain intensity &lt;2 hours before presentation (delayed troponin kinetics).</w:t>
      </w:r>
    </w:p>
    <w:p w14:paraId="5056CA3C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Clear non-cardiac cause of chest pain (e.g., aortic dissection, pneumonia, pulmonary embolism).</w:t>
      </w:r>
    </w:p>
    <w:p w14:paraId="2C994720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Cardiac arrhythmia–related presentations (AF, SVT, flutter) without ischemic chest pain symptoms.</w:t>
      </w:r>
    </w:p>
    <w:p w14:paraId="0F4A5C9C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Known ESRD on hemodialysis (excluded due to altered troponin baseline).</w:t>
      </w:r>
    </w:p>
    <w:p w14:paraId="32CF992D" w14:textId="77777777" w:rsidR="00D25C27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Pregnancy (requires individualized assessment).</w:t>
      </w:r>
    </w:p>
    <w:p w14:paraId="23051471" w14:textId="4347CDDA" w:rsidR="007A6E0A" w:rsidRDefault="007A6E0A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>
        <w:rPr>
          <w:szCs w:val="28"/>
        </w:rPr>
        <w:t>Patient is not stable hemodynemically</w:t>
      </w:r>
    </w:p>
    <w:p w14:paraId="5D765ECE" w14:textId="5ED21F5E" w:rsidR="007A6E0A" w:rsidRPr="007A6E0A" w:rsidRDefault="007A6E0A" w:rsidP="007A6E0A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>
        <w:rPr>
          <w:szCs w:val="28"/>
        </w:rPr>
        <w:t xml:space="preserve">ECG showed STEMI </w:t>
      </w:r>
    </w:p>
    <w:p w14:paraId="65E434F7" w14:textId="2379C0A9" w:rsidR="00D25C27" w:rsidRPr="00CB6B08" w:rsidRDefault="00000000" w:rsidP="0001336F">
      <w:pPr>
        <w:spacing w:after="120" w:line="276" w:lineRule="auto"/>
        <w:rPr>
          <w:szCs w:val="28"/>
        </w:rPr>
      </w:pPr>
      <w:r w:rsidRPr="00CB6B08">
        <w:rPr>
          <w:i/>
          <w:szCs w:val="28"/>
        </w:rPr>
        <w:t>Note:</w:t>
      </w:r>
      <w:r w:rsidRPr="00CB6B08">
        <w:rPr>
          <w:szCs w:val="28"/>
        </w:rPr>
        <w:t xml:space="preserve"> Chest pain equivalents (e.g., dyspnea, epigastric discomfort, unexplained fatigue) may be considered in later protocol phases.</w:t>
      </w:r>
    </w:p>
    <w:p w14:paraId="0878502A" w14:textId="77777777" w:rsidR="0001336F" w:rsidRDefault="0001336F">
      <w:pPr>
        <w:rPr>
          <w:rFonts w:cs="Palatino"/>
          <w:b/>
          <w:color w:val="004C99"/>
          <w:sz w:val="32"/>
        </w:rPr>
      </w:pPr>
      <w:bookmarkStart w:id="5" w:name="Initial_workup_and_Care"/>
      <w:r>
        <w:rPr>
          <w:color w:val="004C99"/>
          <w:sz w:val="32"/>
        </w:rPr>
        <w:br w:type="page"/>
      </w:r>
    </w:p>
    <w:p w14:paraId="67171CAB" w14:textId="13C505B3" w:rsidR="00D25C27" w:rsidRPr="0013759F" w:rsidRDefault="00000000" w:rsidP="0013759F">
      <w:pPr>
        <w:pStyle w:val="Heading2"/>
        <w:spacing w:before="360" w:after="240"/>
      </w:pPr>
      <w:r w:rsidRPr="0013759F">
        <w:rPr>
          <w:rFonts w:ascii="Calibri" w:hAnsi="Calibri"/>
          <w:color w:val="004C99"/>
          <w:sz w:val="32"/>
        </w:rPr>
        <w:lastRenderedPageBreak/>
        <w:t>Initial workup and Care</w:t>
      </w:r>
      <w:bookmarkEnd w:id="5"/>
    </w:p>
    <w:p w14:paraId="7CB3A7E8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Upon arrival, the patient checks in and receives an ECG within 10 minutes.</w:t>
      </w:r>
    </w:p>
    <w:p w14:paraId="133D5CAE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A staff physician reviews the ECG and activates the Chest Pain Pathway if no STEMI is identified.</w:t>
      </w:r>
    </w:p>
    <w:p w14:paraId="34193A2E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High-sensitivity troponin (hs-cTnI) and other baseline labs are drawn.</w:t>
      </w:r>
    </w:p>
    <w:p w14:paraId="46D9CEAD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The treating physician oversees care, including clinical reassessment, additional testing, or specialist consultation as indicated.</w:t>
      </w:r>
    </w:p>
    <w:p w14:paraId="2CDAA621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Cardiology involvement or advanced imaging (CTCA, echo, etc.) terminates pathway management.</w:t>
      </w:r>
    </w:p>
    <w:p w14:paraId="5B240D50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HEART Score is calculated after the initial troponin result to determine patient disposition.</w:t>
      </w:r>
    </w:p>
    <w:p w14:paraId="111FA14A" w14:textId="77777777" w:rsidR="00D25C27" w:rsidRPr="0013759F" w:rsidRDefault="00000000" w:rsidP="0013759F">
      <w:pPr>
        <w:pStyle w:val="Heading2"/>
        <w:spacing w:before="360" w:after="240"/>
      </w:pPr>
      <w:bookmarkStart w:id="6" w:name="Modified_HEART_Score_HighSensi"/>
      <w:r w:rsidRPr="0013759F">
        <w:rPr>
          <w:rFonts w:ascii="Calibri" w:hAnsi="Calibri"/>
          <w:color w:val="004C99"/>
          <w:sz w:val="32"/>
        </w:rPr>
        <w:t>Modified HEART Score (High-Sensitivity Troponin Version)</w:t>
      </w:r>
      <w:bookmarkEnd w:id="6"/>
    </w:p>
    <w:p w14:paraId="65030AE0" w14:textId="77777777" w:rsidR="00D25C27" w:rsidRPr="0013759F" w:rsidRDefault="00000000" w:rsidP="0013759F">
      <w:pPr>
        <w:pStyle w:val="Heading3"/>
        <w:spacing w:before="240"/>
      </w:pPr>
      <w:bookmarkStart w:id="7" w:name="H_History"/>
      <w:r w:rsidRPr="0013759F">
        <w:rPr>
          <w:rFonts w:ascii="Calibri" w:hAnsi="Calibri"/>
          <w:color w:val="0066CC"/>
          <w:sz w:val="26"/>
        </w:rPr>
        <w:t>H – History</w:t>
      </w:r>
      <w:bookmarkEnd w:id="7"/>
    </w:p>
    <w:p w14:paraId="40C53227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The </w:t>
      </w:r>
      <w:r w:rsidRPr="00CB6B08">
        <w:rPr>
          <w:b/>
          <w:szCs w:val="28"/>
        </w:rPr>
        <w:t>history</w:t>
      </w:r>
      <w:r w:rsidRPr="00CB6B08">
        <w:rPr>
          <w:szCs w:val="28"/>
        </w:rPr>
        <w:t xml:space="preserve"> component assesses the degree to which the patient’s symptoms are typical for angina or ACS.</w:t>
      </w:r>
    </w:p>
    <w:p w14:paraId="6821E8E4" w14:textId="77777777" w:rsidR="00D25C27" w:rsidRPr="00CB6B08" w:rsidRDefault="00000000">
      <w:pPr>
        <w:numPr>
          <w:ilvl w:val="0"/>
          <w:numId w:val="3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Pain is </w:t>
      </w:r>
      <w:r w:rsidRPr="00CB6B08">
        <w:rPr>
          <w:i/>
          <w:szCs w:val="28"/>
        </w:rPr>
        <w:t>slightly suspicious</w:t>
      </w:r>
      <w:r w:rsidRPr="00CB6B08">
        <w:rPr>
          <w:szCs w:val="28"/>
        </w:rPr>
        <w:t xml:space="preserve"> — non-anginal or atypical, such as sharp, pleuritic, or positional discomfort not provoked by exertion.</w:t>
      </w:r>
    </w:p>
    <w:p w14:paraId="77F07427" w14:textId="77777777" w:rsidR="00D25C27" w:rsidRPr="00CB6B08" w:rsidRDefault="00000000">
      <w:pPr>
        <w:numPr>
          <w:ilvl w:val="0"/>
          <w:numId w:val="3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Pain is </w:t>
      </w:r>
      <w:r w:rsidRPr="00CB6B08">
        <w:rPr>
          <w:i/>
          <w:szCs w:val="28"/>
        </w:rPr>
        <w:t>moderately suspicious</w:t>
      </w:r>
      <w:r w:rsidRPr="00CB6B08">
        <w:rPr>
          <w:szCs w:val="28"/>
        </w:rPr>
        <w:t xml:space="preserve"> — shares some features of angina but lacks classic characteristics.</w:t>
      </w:r>
    </w:p>
    <w:p w14:paraId="5EA4E9A3" w14:textId="77777777" w:rsidR="00D25C27" w:rsidRPr="00CB6B08" w:rsidRDefault="00000000">
      <w:pPr>
        <w:numPr>
          <w:ilvl w:val="0"/>
          <w:numId w:val="3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Pain is </w:t>
      </w:r>
      <w:r w:rsidRPr="00CB6B08">
        <w:rPr>
          <w:i/>
          <w:szCs w:val="28"/>
        </w:rPr>
        <w:t>highly suspicious</w:t>
      </w:r>
      <w:r w:rsidRPr="00CB6B08">
        <w:rPr>
          <w:szCs w:val="28"/>
        </w:rPr>
        <w:t xml:space="preserve"> — typical angina, described as pressure, heaviness, or squeezing in the chest, often radiating to the jaw, neck, shoulder, or arm, and provoked by exertion or stress.</w:t>
      </w:r>
    </w:p>
    <w:p w14:paraId="77A3FA96" w14:textId="77777777" w:rsidR="00D25C27" w:rsidRPr="0013759F" w:rsidRDefault="00000000" w:rsidP="0013759F">
      <w:pPr>
        <w:pStyle w:val="Heading3"/>
        <w:spacing w:before="240"/>
      </w:pPr>
      <w:bookmarkStart w:id="8" w:name="E_ECG"/>
      <w:r w:rsidRPr="0013759F">
        <w:rPr>
          <w:rFonts w:ascii="Calibri" w:hAnsi="Calibri"/>
          <w:color w:val="0066CC"/>
          <w:sz w:val="26"/>
        </w:rPr>
        <w:t>E – ECG</w:t>
      </w:r>
      <w:bookmarkEnd w:id="8"/>
    </w:p>
    <w:p w14:paraId="409D78A8" w14:textId="77777777" w:rsidR="00D25C27" w:rsidRPr="00CB6B08" w:rsidRDefault="00000000">
      <w:pPr>
        <w:numPr>
          <w:ilvl w:val="0"/>
          <w:numId w:val="4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Normal ECG</w:t>
      </w:r>
      <w:r w:rsidRPr="00CB6B08">
        <w:rPr>
          <w:szCs w:val="28"/>
        </w:rPr>
        <w:t xml:space="preserve"> — no ST-segment or T-wave changes.</w:t>
      </w:r>
    </w:p>
    <w:p w14:paraId="742A8F35" w14:textId="77777777" w:rsidR="00D25C27" w:rsidRPr="00CB6B08" w:rsidRDefault="00000000">
      <w:pPr>
        <w:numPr>
          <w:ilvl w:val="0"/>
          <w:numId w:val="4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Non-specific repolarization changes</w:t>
      </w:r>
      <w:r w:rsidRPr="00CB6B08">
        <w:rPr>
          <w:szCs w:val="28"/>
        </w:rPr>
        <w:t xml:space="preserve"> — such as minor ST/T-wave abnormalities, left bundle branch block (LBBB), or paced rhythm without clear ischemic features.</w:t>
      </w:r>
    </w:p>
    <w:p w14:paraId="1FC4DDB7" w14:textId="77777777" w:rsidR="00D25C27" w:rsidRPr="00CB6B08" w:rsidRDefault="00000000">
      <w:pPr>
        <w:numPr>
          <w:ilvl w:val="0"/>
          <w:numId w:val="4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Significant ST depression or dynamic ischemic changes</w:t>
      </w:r>
      <w:r w:rsidRPr="00CB6B08">
        <w:rPr>
          <w:szCs w:val="28"/>
        </w:rPr>
        <w:t xml:space="preserve"> — defined as ≥1 mm ST depression or evolving T-wave inversion consistent with ischemia.</w:t>
      </w:r>
    </w:p>
    <w:p w14:paraId="5E7A79E3" w14:textId="77777777" w:rsidR="00D25C27" w:rsidRPr="0013759F" w:rsidRDefault="00000000" w:rsidP="0013759F">
      <w:pPr>
        <w:pStyle w:val="Heading3"/>
        <w:spacing w:before="240"/>
      </w:pPr>
      <w:bookmarkStart w:id="9" w:name="A_Age"/>
      <w:r w:rsidRPr="0013759F">
        <w:rPr>
          <w:rFonts w:ascii="Calibri" w:hAnsi="Calibri"/>
          <w:color w:val="0066CC"/>
          <w:sz w:val="26"/>
        </w:rPr>
        <w:t>A – Age</w:t>
      </w:r>
      <w:bookmarkEnd w:id="9"/>
    </w:p>
    <w:p w14:paraId="55625187" w14:textId="77777777" w:rsidR="00D25C27" w:rsidRPr="00CB6B08" w:rsidRDefault="00000000">
      <w:pPr>
        <w:numPr>
          <w:ilvl w:val="0"/>
          <w:numId w:val="5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≤45 years</w:t>
      </w:r>
    </w:p>
    <w:p w14:paraId="37DE7E36" w14:textId="77777777" w:rsidR="00D25C27" w:rsidRPr="00CB6B08" w:rsidRDefault="00000000">
      <w:pPr>
        <w:numPr>
          <w:ilvl w:val="0"/>
          <w:numId w:val="5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46–65 years</w:t>
      </w:r>
    </w:p>
    <w:p w14:paraId="6D9CB31C" w14:textId="77777777" w:rsidR="00D25C27" w:rsidRPr="00CB6B08" w:rsidRDefault="00000000">
      <w:pPr>
        <w:numPr>
          <w:ilvl w:val="0"/>
          <w:numId w:val="5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≥65 years</w:t>
      </w:r>
    </w:p>
    <w:p w14:paraId="091BD985" w14:textId="77777777" w:rsidR="00D32950" w:rsidRDefault="00D32950">
      <w:pPr>
        <w:rPr>
          <w:rFonts w:eastAsiaTheme="majorEastAsia" w:cstheme="majorBidi"/>
          <w:b/>
          <w:color w:val="0066CC"/>
          <w:sz w:val="26"/>
          <w:szCs w:val="24"/>
        </w:rPr>
      </w:pPr>
      <w:bookmarkStart w:id="10" w:name="R_Risk_Factors"/>
      <w:r>
        <w:rPr>
          <w:color w:val="0066CC"/>
          <w:sz w:val="26"/>
        </w:rPr>
        <w:br w:type="page"/>
      </w:r>
    </w:p>
    <w:p w14:paraId="2F901CAE" w14:textId="7BB9270B" w:rsidR="00D25C27" w:rsidRPr="0013759F" w:rsidRDefault="00000000" w:rsidP="0013759F">
      <w:pPr>
        <w:pStyle w:val="Heading3"/>
        <w:spacing w:before="240"/>
      </w:pPr>
      <w:r w:rsidRPr="0013759F">
        <w:rPr>
          <w:rFonts w:ascii="Calibri" w:hAnsi="Calibri"/>
          <w:color w:val="0066CC"/>
          <w:sz w:val="26"/>
        </w:rPr>
        <w:lastRenderedPageBreak/>
        <w:t>R – Risk Factors</w:t>
      </w:r>
      <w:bookmarkEnd w:id="10"/>
    </w:p>
    <w:p w14:paraId="5BB50D20" w14:textId="77777777" w:rsidR="00D25C27" w:rsidRPr="00CB6B08" w:rsidRDefault="00000000">
      <w:pPr>
        <w:numPr>
          <w:ilvl w:val="0"/>
          <w:numId w:val="6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No major cardiovascular risk factors.</w:t>
      </w:r>
    </w:p>
    <w:p w14:paraId="4BC55CD1" w14:textId="77777777" w:rsidR="00D25C27" w:rsidRPr="00CB6B08" w:rsidRDefault="00000000">
      <w:pPr>
        <w:numPr>
          <w:ilvl w:val="1"/>
          <w:numId w:val="6"/>
        </w:numPr>
        <w:tabs>
          <w:tab w:val="left" w:pos="940"/>
          <w:tab w:val="left" w:pos="1440"/>
        </w:tabs>
        <w:spacing w:after="120" w:line="276" w:lineRule="auto"/>
        <w:rPr>
          <w:szCs w:val="28"/>
        </w:rPr>
      </w:pPr>
      <w:r w:rsidRPr="00CB6B08">
        <w:rPr>
          <w:szCs w:val="28"/>
        </w:rPr>
        <w:t>No history of hypertension, diabetes mellitus, dyslipidemia, smoking, obesity, or family history of premature coronary artery disease (CAD).</w:t>
      </w:r>
    </w:p>
    <w:p w14:paraId="6D868FBF" w14:textId="77777777" w:rsidR="00D25C27" w:rsidRPr="00CB6B08" w:rsidRDefault="00000000">
      <w:pPr>
        <w:numPr>
          <w:ilvl w:val="0"/>
          <w:numId w:val="6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One or two risk factors present.</w:t>
      </w:r>
    </w:p>
    <w:p w14:paraId="5E4579B6" w14:textId="77777777" w:rsidR="00D25C27" w:rsidRPr="00CB6B08" w:rsidRDefault="00000000">
      <w:pPr>
        <w:numPr>
          <w:ilvl w:val="1"/>
          <w:numId w:val="6"/>
        </w:numPr>
        <w:tabs>
          <w:tab w:val="left" w:pos="940"/>
          <w:tab w:val="left" w:pos="1440"/>
        </w:tabs>
        <w:spacing w:after="120" w:line="276" w:lineRule="auto"/>
        <w:rPr>
          <w:szCs w:val="28"/>
        </w:rPr>
      </w:pPr>
      <w:r w:rsidRPr="00CB6B08">
        <w:rPr>
          <w:szCs w:val="28"/>
        </w:rPr>
        <w:t>Examples: hypertension (≥140/90 mmHg or on antihypertensive therapy), diabetes, dyslipidemia (total cholesterol ≥200 mg/dL or on statin therapy), current or recent (&lt;3 years) smoking, obesity (BMI ≥30), or family history of premature CAD (male &lt;55 years, female &lt;65 years).</w:t>
      </w:r>
    </w:p>
    <w:p w14:paraId="2A5B278A" w14:textId="77777777" w:rsidR="00D25C27" w:rsidRPr="00CB6B08" w:rsidRDefault="00000000">
      <w:pPr>
        <w:numPr>
          <w:ilvl w:val="0"/>
          <w:numId w:val="6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Three or more risk factors or established vascular disease.</w:t>
      </w:r>
    </w:p>
    <w:p w14:paraId="0608AC9B" w14:textId="77777777" w:rsidR="00D25C27" w:rsidRPr="00CB6B08" w:rsidRDefault="00000000">
      <w:pPr>
        <w:numPr>
          <w:ilvl w:val="1"/>
          <w:numId w:val="6"/>
        </w:numPr>
        <w:tabs>
          <w:tab w:val="left" w:pos="940"/>
          <w:tab w:val="left" w:pos="1440"/>
        </w:tabs>
        <w:spacing w:after="120" w:line="276" w:lineRule="auto"/>
        <w:rPr>
          <w:szCs w:val="28"/>
        </w:rPr>
      </w:pPr>
      <w:r w:rsidRPr="00CB6B08">
        <w:rPr>
          <w:szCs w:val="28"/>
        </w:rPr>
        <w:t>Includes ≥3 of the above factors or known cardiovascular disease such as prior myocardial infarction, PCI or CABG, documented CAD on angiography/CTCA, previous stroke or TIA, or peripheral arterial disease.</w:t>
      </w:r>
    </w:p>
    <w:p w14:paraId="15D27720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b/>
          <w:szCs w:val="28"/>
        </w:rPr>
        <w:t>Note:</w:t>
      </w:r>
      <w:r w:rsidRPr="00CB6B08">
        <w:rPr>
          <w:szCs w:val="28"/>
        </w:rPr>
        <w:t xml:space="preserve"> Presence of known CAD or vascular disease automatically scores 2 points, regardless of other factors.</w:t>
      </w:r>
    </w:p>
    <w:p w14:paraId="4630BEAC" w14:textId="77777777" w:rsidR="00D25C27" w:rsidRPr="0013759F" w:rsidRDefault="00000000" w:rsidP="0013759F">
      <w:pPr>
        <w:pStyle w:val="Heading3"/>
        <w:spacing w:before="240"/>
      </w:pPr>
      <w:bookmarkStart w:id="11" w:name="T_Troponin_Modified_for_HighSe"/>
      <w:r w:rsidRPr="0013759F">
        <w:rPr>
          <w:rFonts w:ascii="Calibri" w:hAnsi="Calibri"/>
          <w:color w:val="0066CC"/>
          <w:sz w:val="26"/>
        </w:rPr>
        <w:t>T – Troponin (Modified for High-Sensitivity Assays)</w:t>
      </w:r>
      <w:bookmarkEnd w:id="11"/>
    </w:p>
    <w:p w14:paraId="570FA13A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High-sensitivity cardiac troponin (hs-cTn) results are interpreted according to assay-specific thresholds.</w:t>
      </w:r>
    </w:p>
    <w:p w14:paraId="0DA9189F" w14:textId="77777777" w:rsidR="00D25C27" w:rsidRPr="00CB6B08" w:rsidRDefault="00000000">
      <w:pPr>
        <w:numPr>
          <w:ilvl w:val="0"/>
          <w:numId w:val="7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Troponin </w:t>
      </w:r>
      <w:r w:rsidRPr="00CB6B08">
        <w:rPr>
          <w:i/>
          <w:szCs w:val="28"/>
        </w:rPr>
        <w:t>below the limit of detection (LoD)</w:t>
      </w:r>
      <w:r w:rsidRPr="00CB6B08">
        <w:rPr>
          <w:szCs w:val="28"/>
        </w:rPr>
        <w:t xml:space="preserve"> — typically  </w:t>
      </w:r>
      <w:r w:rsidRPr="00CB6B08">
        <w:rPr>
          <w:b/>
          <w:szCs w:val="28"/>
        </w:rPr>
        <w:t>hs-cTnI &lt;6 ng/L</w:t>
      </w:r>
      <w:r w:rsidRPr="00CB6B08">
        <w:rPr>
          <w:szCs w:val="28"/>
        </w:rPr>
        <w:t>.</w:t>
      </w:r>
    </w:p>
    <w:p w14:paraId="2B224A7A" w14:textId="77777777" w:rsidR="00D25C27" w:rsidRPr="00CB6B08" w:rsidRDefault="00000000">
      <w:pPr>
        <w:numPr>
          <w:ilvl w:val="0"/>
          <w:numId w:val="7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Troponin </w:t>
      </w:r>
      <w:r w:rsidRPr="00CB6B08">
        <w:rPr>
          <w:i/>
          <w:szCs w:val="28"/>
        </w:rPr>
        <w:t>detectable but below the 99th percentile upper reference limit</w:t>
      </w:r>
      <w:r w:rsidRPr="00CB6B08">
        <w:rPr>
          <w:szCs w:val="28"/>
        </w:rPr>
        <w:t xml:space="preserve"> —  </w:t>
      </w:r>
      <w:r w:rsidRPr="00CB6B08">
        <w:rPr>
          <w:b/>
          <w:szCs w:val="28"/>
        </w:rPr>
        <w:t>hs-cTnI 6–33 ng/L (men) / 6–15 ng/L (women)</w:t>
      </w:r>
      <w:r w:rsidRPr="00CB6B08">
        <w:rPr>
          <w:szCs w:val="28"/>
        </w:rPr>
        <w:t>.</w:t>
      </w:r>
    </w:p>
    <w:p w14:paraId="5D90056E" w14:textId="77777777" w:rsidR="00D25C27" w:rsidRPr="00CB6B08" w:rsidRDefault="00000000">
      <w:pPr>
        <w:numPr>
          <w:ilvl w:val="0"/>
          <w:numId w:val="7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Troponin </w:t>
      </w:r>
      <w:r w:rsidRPr="00CB6B08">
        <w:rPr>
          <w:i/>
          <w:szCs w:val="28"/>
        </w:rPr>
        <w:t>above the 99th percentile</w:t>
      </w:r>
      <w:r w:rsidRPr="00CB6B08">
        <w:rPr>
          <w:szCs w:val="28"/>
        </w:rPr>
        <w:t xml:space="preserve"> (positive troponin) — </w:t>
      </w:r>
      <w:r w:rsidRPr="00CB6B08">
        <w:rPr>
          <w:b/>
          <w:szCs w:val="28"/>
        </w:rPr>
        <w:t>hs-cTnI ≥34 ng/L (men) / ≥16 ng/L (women)</w:t>
      </w:r>
      <w:r w:rsidRPr="00CB6B08">
        <w:rPr>
          <w:szCs w:val="28"/>
        </w:rPr>
        <w:t>.</w:t>
      </w:r>
    </w:p>
    <w:p w14:paraId="5FE2DE47" w14:textId="77777777" w:rsidR="0001336F" w:rsidRDefault="0001336F">
      <w:pPr>
        <w:rPr>
          <w:rFonts w:cs="Palatino"/>
          <w:b/>
          <w:color w:val="004C99"/>
          <w:sz w:val="32"/>
        </w:rPr>
      </w:pPr>
      <w:bookmarkStart w:id="12" w:name="Risk_Stratification_According_"/>
      <w:r>
        <w:rPr>
          <w:color w:val="004C99"/>
          <w:sz w:val="32"/>
        </w:rPr>
        <w:br w:type="page"/>
      </w:r>
    </w:p>
    <w:p w14:paraId="792D485D" w14:textId="341D3765" w:rsidR="00D25C27" w:rsidRPr="0013759F" w:rsidRDefault="00000000" w:rsidP="0013759F">
      <w:pPr>
        <w:pStyle w:val="Heading1"/>
        <w:spacing w:before="360" w:after="240"/>
      </w:pPr>
      <w:r w:rsidRPr="0013759F">
        <w:rPr>
          <w:rFonts w:ascii="Calibri" w:hAnsi="Calibri"/>
          <w:color w:val="004C99"/>
          <w:sz w:val="32"/>
        </w:rPr>
        <w:lastRenderedPageBreak/>
        <w:t>Risk Stratification According to Evidence</w:t>
      </w:r>
      <w:bookmarkEnd w:id="12"/>
    </w:p>
    <w:p w14:paraId="3F19ABD9" w14:textId="7D5DA301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Depends on the heart score and the results of the troponin and ECG the paients will be classified intp three groups</w:t>
      </w:r>
    </w:p>
    <w:p w14:paraId="56E28071" w14:textId="77777777" w:rsidR="00D25C27" w:rsidRPr="0013759F" w:rsidRDefault="00000000" w:rsidP="0013759F">
      <w:pPr>
        <w:pStyle w:val="Heading2"/>
        <w:spacing w:before="240" w:after="120"/>
      </w:pPr>
      <w:bookmarkStart w:id="13" w:name="LowRisk_Category_Modified_HEAR"/>
      <w:r w:rsidRPr="0013759F">
        <w:rPr>
          <w:rFonts w:ascii="Calibri" w:hAnsi="Calibri"/>
          <w:color w:val="0066CC"/>
          <w:sz w:val="26"/>
        </w:rPr>
        <w:t>Low-Risk Category (Modified HEART ≤3 + hs-cTnI &lt; LoD)</w:t>
      </w:r>
      <w:bookmarkEnd w:id="13"/>
    </w:p>
    <w:p w14:paraId="1993A777" w14:textId="77777777" w:rsidR="00D25C27" w:rsidRPr="00CB6B08" w:rsidRDefault="00000000" w:rsidP="005267E5">
      <w:pPr>
        <w:keepNext/>
        <w:spacing w:before="180" w:after="120"/>
        <w:rPr>
          <w:szCs w:val="28"/>
        </w:rPr>
      </w:pPr>
      <w:r w:rsidRPr="00CB6B08">
        <w:rPr>
          <w:b/>
          <w:color w:val="444444"/>
          <w:sz w:val="24"/>
          <w:szCs w:val="28"/>
        </w:rPr>
        <w:t>If all of these criteria are true.:</w:t>
      </w:r>
    </w:p>
    <w:p w14:paraId="508C3CC6" w14:textId="77777777" w:rsidR="00D25C27" w:rsidRPr="005267E5" w:rsidRDefault="00000000" w:rsidP="005267E5">
      <w:pPr>
        <w:pStyle w:val="ListParagraph"/>
        <w:numPr>
          <w:ilvl w:val="0"/>
          <w:numId w:val="12"/>
        </w:numPr>
        <w:spacing w:after="120" w:line="276" w:lineRule="auto"/>
        <w:ind w:left="360"/>
      </w:pPr>
      <w:r w:rsidRPr="005267E5">
        <w:t xml:space="preserve">Initial hs-cTnI is below LoD/LOQ. </w:t>
      </w:r>
    </w:p>
    <w:p w14:paraId="2F0448C7" w14:textId="77777777" w:rsidR="00D25C27" w:rsidRPr="005267E5" w:rsidRDefault="00000000" w:rsidP="005267E5">
      <w:pPr>
        <w:pStyle w:val="ListParagraph"/>
        <w:numPr>
          <w:ilvl w:val="0"/>
          <w:numId w:val="12"/>
        </w:numPr>
        <w:spacing w:after="120" w:line="276" w:lineRule="auto"/>
        <w:ind w:left="360"/>
      </w:pPr>
      <w:r w:rsidRPr="005267E5">
        <w:t xml:space="preserve">HEART score is ≤3. </w:t>
      </w:r>
    </w:p>
    <w:p w14:paraId="5268D3C2" w14:textId="77777777" w:rsidR="00D25C27" w:rsidRPr="005267E5" w:rsidRDefault="00000000" w:rsidP="005267E5">
      <w:pPr>
        <w:pStyle w:val="ListParagraph"/>
        <w:numPr>
          <w:ilvl w:val="0"/>
          <w:numId w:val="12"/>
        </w:numPr>
        <w:spacing w:after="120" w:line="276" w:lineRule="auto"/>
        <w:ind w:left="360"/>
      </w:pPr>
      <w:r w:rsidRPr="005267E5">
        <w:t xml:space="preserve">No ischemic ECG </w:t>
      </w:r>
    </w:p>
    <w:p w14:paraId="36BE241E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Patients meeting these criteria demonstrate &lt;1% risk of 30-day MACE (Backus et al., 2013; Mahler et al., 2015; Khand et al., 2023).</w:t>
      </w:r>
    </w:p>
    <w:p w14:paraId="377C5F40" w14:textId="77777777" w:rsidR="00D25C27" w:rsidRPr="0013759F" w:rsidRDefault="00000000" w:rsidP="005267E5">
      <w:pPr>
        <w:pStyle w:val="Heading3"/>
        <w:spacing w:before="180"/>
      </w:pPr>
      <w:bookmarkStart w:id="14" w:name="Suggested_Disposition"/>
      <w:r w:rsidRPr="0013759F">
        <w:rPr>
          <w:rFonts w:ascii="Calibri" w:hAnsi="Calibri"/>
          <w:color w:val="444444"/>
          <w:sz w:val="24"/>
        </w:rPr>
        <w:t>Suggested Disposition</w:t>
      </w:r>
      <w:bookmarkEnd w:id="14"/>
    </w:p>
    <w:p w14:paraId="395EF79D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Discharge home after initial negative troponin and non-ischemic ECG.</w:t>
      </w:r>
    </w:p>
    <w:p w14:paraId="0B4E01F4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Provide written return precautions and outpatient follow-up (primary care or cardiology as indicated).</w:t>
      </w:r>
    </w:p>
    <w:p w14:paraId="4AAD9ECB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Document: “Chest Pain Pathway – Low Risk” in ED chart.</w:t>
      </w:r>
    </w:p>
    <w:p w14:paraId="01B1B195" w14:textId="77777777" w:rsidR="00D25C27" w:rsidRPr="00CB6B08" w:rsidRDefault="00D25C27">
      <w:pPr>
        <w:spacing w:after="240"/>
        <w:rPr>
          <w:szCs w:val="28"/>
        </w:rPr>
      </w:pPr>
    </w:p>
    <w:p w14:paraId="18F660D2" w14:textId="1D7639AA" w:rsidR="00D25C27" w:rsidRPr="0013759F" w:rsidRDefault="00000000" w:rsidP="005267E5">
      <w:pPr>
        <w:pStyle w:val="Heading2"/>
        <w:spacing w:before="240" w:after="120"/>
      </w:pPr>
      <w:bookmarkStart w:id="15" w:name="IntermediateRisk_Category_Modi"/>
      <w:r w:rsidRPr="0013759F">
        <w:rPr>
          <w:rFonts w:ascii="Calibri" w:hAnsi="Calibri"/>
          <w:color w:val="0066CC"/>
          <w:sz w:val="26"/>
        </w:rPr>
        <w:t>Intermediate-Risk Category (Modified HEART 4–6 or hs-cTnI ≥ LoD but &lt; 99th percentile)</w:t>
      </w:r>
      <w:bookmarkEnd w:id="15"/>
    </w:p>
    <w:p w14:paraId="61E083F9" w14:textId="2891D323" w:rsidR="00D25C27" w:rsidRPr="00CB6B08" w:rsidRDefault="00000000" w:rsidP="005267E5">
      <w:pPr>
        <w:keepNext/>
        <w:tabs>
          <w:tab w:val="left" w:pos="56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before="180" w:after="120" w:line="263" w:lineRule="auto"/>
        <w:rPr>
          <w:rFonts w:ascii="Palatino" w:hAnsi="Palatino" w:cs="Palatino"/>
          <w:szCs w:val="28"/>
        </w:rPr>
      </w:pPr>
      <w:r w:rsidRPr="00CB6B08">
        <w:rPr>
          <w:rFonts w:cs="Palatino"/>
          <w:b/>
          <w:color w:val="444444"/>
          <w:sz w:val="24"/>
          <w:szCs w:val="28"/>
        </w:rPr>
        <w:t>If one of these are true.:</w:t>
      </w:r>
    </w:p>
    <w:p w14:paraId="7D33DBD1" w14:textId="77777777" w:rsidR="00D25C27" w:rsidRPr="00CB6B08" w:rsidRDefault="00000000">
      <w:pPr>
        <w:numPr>
          <w:ilvl w:val="0"/>
          <w:numId w:val="9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>HEART of 4–6</w:t>
      </w:r>
    </w:p>
    <w:p w14:paraId="4984E480" w14:textId="77777777" w:rsidR="00D25C27" w:rsidRPr="00CB6B08" w:rsidRDefault="00000000">
      <w:pPr>
        <w:numPr>
          <w:ilvl w:val="0"/>
          <w:numId w:val="9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>troponin above LoD but below the MI threshold</w:t>
      </w:r>
    </w:p>
    <w:p w14:paraId="285E49DE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Represents ~30–40% of chest pain patients in ED cohorts.</w:t>
      </w:r>
    </w:p>
    <w:p w14:paraId="4444825F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Observed 30-day MACE ≈ </w:t>
      </w:r>
      <w:r w:rsidRPr="00CB6B08">
        <w:rPr>
          <w:b/>
          <w:szCs w:val="28"/>
        </w:rPr>
        <w:t>5–15%</w:t>
      </w:r>
      <w:r w:rsidRPr="00CB6B08">
        <w:rPr>
          <w:szCs w:val="28"/>
        </w:rPr>
        <w:t>, depending on population (Poldervaart 2017; Khand 2017).</w:t>
      </w:r>
    </w:p>
    <w:p w14:paraId="134A3D3F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Safety of discharge after repeat negative hs-troponin at 1–3 hours confirmed in prospective studies.</w:t>
      </w:r>
    </w:p>
    <w:p w14:paraId="221C5F59" w14:textId="77777777" w:rsidR="00D25C27" w:rsidRPr="0013759F" w:rsidRDefault="00000000" w:rsidP="005267E5">
      <w:pPr>
        <w:pStyle w:val="Heading3"/>
        <w:spacing w:before="180"/>
      </w:pPr>
      <w:bookmarkStart w:id="16" w:name="Suggested_Disposition-1"/>
      <w:r w:rsidRPr="0013759F">
        <w:rPr>
          <w:rFonts w:ascii="Calibri" w:hAnsi="Calibri"/>
          <w:color w:val="444444"/>
          <w:sz w:val="24"/>
        </w:rPr>
        <w:t>Suggested Disposition</w:t>
      </w:r>
      <w:bookmarkEnd w:id="16"/>
    </w:p>
    <w:p w14:paraId="35829B6B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Admit to ED observation unit.</w:t>
      </w:r>
    </w:p>
    <w:p w14:paraId="6E9139A6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Repeat ECG and hs-cTnI at </w:t>
      </w:r>
      <w:r w:rsidRPr="00CB6B08">
        <w:rPr>
          <w:b/>
          <w:szCs w:val="28"/>
        </w:rPr>
        <w:t>2–3 hours</w:t>
      </w:r>
      <w:r w:rsidRPr="00CB6B08">
        <w:rPr>
          <w:szCs w:val="28"/>
        </w:rPr>
        <w:t>.</w:t>
      </w:r>
    </w:p>
    <w:p w14:paraId="545D9714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If </w:t>
      </w:r>
      <w:r w:rsidRPr="00CB6B08">
        <w:rPr>
          <w:b/>
          <w:szCs w:val="28"/>
        </w:rPr>
        <w:t>Δtroponin &lt;5 ng/L</w:t>
      </w:r>
      <w:r w:rsidRPr="00CB6B08">
        <w:rPr>
          <w:szCs w:val="28"/>
        </w:rPr>
        <w:t xml:space="preserve"> and ECG remains non-ischemic </w:t>
      </w:r>
      <w:r w:rsidRPr="00CB6B08">
        <w:rPr>
          <w:rFonts w:cs="Times New Roman"/>
          <w:szCs w:val="28"/>
        </w:rPr>
        <w:t>→</w:t>
      </w:r>
      <w:r w:rsidRPr="00CB6B08">
        <w:rPr>
          <w:szCs w:val="28"/>
        </w:rPr>
        <w:t xml:space="preserve"> discharge with next-day CT coronary angiography.</w:t>
      </w:r>
    </w:p>
    <w:p w14:paraId="4C7499A6" w14:textId="4E34C84B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If Δtroponin ≥5 ng/L or ischemic ECG </w:t>
      </w:r>
      <w:r w:rsidRPr="00CB6B08">
        <w:rPr>
          <w:rFonts w:cs="Times New Roman"/>
          <w:szCs w:val="28"/>
        </w:rPr>
        <w:t>→</w:t>
      </w:r>
      <w:r w:rsidRPr="00CB6B08">
        <w:rPr>
          <w:szCs w:val="28"/>
        </w:rPr>
        <w:t xml:space="preserve"> cardiology consult and likely admission.</w:t>
      </w:r>
    </w:p>
    <w:p w14:paraId="30374B66" w14:textId="4E34C84B" w:rsidR="00D25C27" w:rsidRPr="0013759F" w:rsidRDefault="00000000" w:rsidP="005267E5">
      <w:pPr>
        <w:pStyle w:val="Heading2"/>
        <w:spacing w:before="240" w:after="120"/>
      </w:pPr>
      <w:bookmarkStart w:id="17" w:name="HighRisk_Category_Modified_HEA"/>
      <w:r w:rsidRPr="0013759F">
        <w:rPr>
          <w:rFonts w:ascii="Calibri" w:hAnsi="Calibri"/>
          <w:color w:val="0066CC"/>
          <w:sz w:val="26"/>
        </w:rPr>
        <w:lastRenderedPageBreak/>
        <w:t>High-Risk Category (Modified HEART ≥7 or hs-cTnI ≥ 99th percentile)</w:t>
      </w:r>
      <w:bookmarkEnd w:id="17"/>
    </w:p>
    <w:p w14:paraId="428A5364" w14:textId="77777777" w:rsidR="00D25C27" w:rsidRPr="00CB6B08" w:rsidRDefault="00000000">
      <w:pPr>
        <w:keepNext/>
        <w:tabs>
          <w:tab w:val="left" w:pos="56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before="180" w:after="120" w:line="263" w:lineRule="auto"/>
        <w:rPr>
          <w:rFonts w:ascii="Palatino" w:hAnsi="Palatino" w:cs="Palatino"/>
          <w:szCs w:val="28"/>
        </w:rPr>
      </w:pPr>
      <w:r w:rsidRPr="00CB6B08">
        <w:rPr>
          <w:rFonts w:cs="Palatino"/>
          <w:b/>
          <w:color w:val="444444"/>
          <w:sz w:val="24"/>
          <w:szCs w:val="28"/>
        </w:rPr>
        <w:t>If one of these are true.:</w:t>
      </w:r>
    </w:p>
    <w:p w14:paraId="4FAE052F" w14:textId="77777777" w:rsidR="00D25C27" w:rsidRPr="00CB6B08" w:rsidRDefault="00000000">
      <w:pPr>
        <w:numPr>
          <w:ilvl w:val="0"/>
          <w:numId w:val="10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 xml:space="preserve">initial hs-cTnT was ≥99th percentile (≥14 ng/L UK) </w:t>
      </w:r>
    </w:p>
    <w:p w14:paraId="61B34B22" w14:textId="43D47206" w:rsidR="00D25C27" w:rsidRPr="00CB6B08" w:rsidRDefault="00000000" w:rsidP="005267E5">
      <w:pPr>
        <w:numPr>
          <w:ilvl w:val="0"/>
          <w:numId w:val="10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>HEART score ≥7</w:t>
      </w:r>
    </w:p>
    <w:p w14:paraId="2852E0CE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30-day MACE ≥ </w:t>
      </w:r>
      <w:r w:rsidRPr="00CB6B08">
        <w:rPr>
          <w:b/>
          <w:szCs w:val="28"/>
        </w:rPr>
        <w:t>50%</w:t>
      </w:r>
      <w:r w:rsidRPr="00CB6B08">
        <w:rPr>
          <w:szCs w:val="28"/>
        </w:rPr>
        <w:t xml:space="preserve"> in validation studies.</w:t>
      </w:r>
    </w:p>
    <w:p w14:paraId="6C637DB4" w14:textId="48271749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These patients require inpatient cardiology management, invasive angiography consideration, and high-intensity medical therapy initiation.</w:t>
      </w:r>
    </w:p>
    <w:p w14:paraId="3FDA50D6" w14:textId="77777777" w:rsidR="00D25C27" w:rsidRPr="0013759F" w:rsidRDefault="00000000" w:rsidP="005267E5">
      <w:pPr>
        <w:pStyle w:val="Heading3"/>
        <w:spacing w:before="180"/>
      </w:pPr>
      <w:bookmarkStart w:id="18" w:name="Suggested_Disposition-2"/>
      <w:r w:rsidRPr="0013759F">
        <w:rPr>
          <w:rFonts w:ascii="Calibri" w:hAnsi="Calibri"/>
          <w:color w:val="444444"/>
          <w:sz w:val="24"/>
        </w:rPr>
        <w:t>Suggested Disposition</w:t>
      </w:r>
      <w:bookmarkEnd w:id="18"/>
    </w:p>
    <w:p w14:paraId="355BF18B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Urgent cardiology consultation and admission to a monitored bed</w:t>
      </w:r>
    </w:p>
    <w:p w14:paraId="234E2622" w14:textId="306679C9" w:rsidR="00D25C27" w:rsidRPr="0013759F" w:rsidRDefault="00000000" w:rsidP="005267E5">
      <w:pPr>
        <w:pStyle w:val="Heading1"/>
        <w:spacing w:before="360" w:after="240"/>
      </w:pPr>
      <w:bookmarkStart w:id="19" w:name="Quality_Metrics"/>
      <w:r w:rsidRPr="0013759F">
        <w:rPr>
          <w:rFonts w:ascii="Calibri" w:hAnsi="Calibri"/>
          <w:color w:val="004C99"/>
          <w:sz w:val="32"/>
        </w:rPr>
        <w:t>Quality Metrics</w:t>
      </w:r>
      <w:bookmarkEnd w:id="19"/>
    </w:p>
    <w:tbl>
      <w:tblPr>
        <w:tblW w:w="9026" w:type="dxa"/>
        <w:tblCellSpacing w:w="10" w:type="dxa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3119"/>
        <w:gridCol w:w="5907"/>
      </w:tblGrid>
      <w:tr w:rsidR="00D25C27" w:rsidRPr="0013759F" w14:paraId="6F94EAE5" w14:textId="77777777" w:rsidTr="005267E5">
        <w:trPr>
          <w:tblCellSpacing w:w="10" w:type="dxa"/>
        </w:trPr>
        <w:tc>
          <w:tcPr>
            <w:tcW w:w="3089" w:type="dxa"/>
            <w:shd w:val="clear" w:color="auto" w:fill="4472C4"/>
            <w:vAlign w:val="center"/>
          </w:tcPr>
          <w:p w14:paraId="0819A884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b/>
                <w:color w:val="FFFFFF"/>
                <w:szCs w:val="28"/>
              </w:rPr>
              <w:t>Domain</w:t>
            </w:r>
          </w:p>
        </w:tc>
        <w:tc>
          <w:tcPr>
            <w:tcW w:w="5877" w:type="dxa"/>
            <w:shd w:val="clear" w:color="auto" w:fill="4472C4"/>
            <w:vAlign w:val="center"/>
          </w:tcPr>
          <w:p w14:paraId="5B629257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b/>
                <w:color w:val="FFFFFF"/>
                <w:szCs w:val="28"/>
              </w:rPr>
              <w:t>Indicator</w:t>
            </w:r>
          </w:p>
        </w:tc>
      </w:tr>
      <w:tr w:rsidR="00D25C27" w:rsidRPr="0013759F" w14:paraId="7A6A47EE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3F04447C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Utilization</w:t>
            </w:r>
          </w:p>
        </w:tc>
        <w:tc>
          <w:tcPr>
            <w:tcW w:w="5877" w:type="dxa"/>
            <w:vAlign w:val="center"/>
          </w:tcPr>
          <w:p w14:paraId="21C4151A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% of chest pain patients enrolled in pathway</w:t>
            </w:r>
          </w:p>
        </w:tc>
      </w:tr>
      <w:tr w:rsidR="00D25C27" w:rsidRPr="0013759F" w14:paraId="6DC632FF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5A566C39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Process</w:t>
            </w:r>
          </w:p>
        </w:tc>
        <w:tc>
          <w:tcPr>
            <w:tcW w:w="5877" w:type="dxa"/>
            <w:vAlign w:val="center"/>
          </w:tcPr>
          <w:p w14:paraId="40829CCD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Median door-to-ECG time (target ≤10 min)</w:t>
            </w:r>
          </w:p>
        </w:tc>
      </w:tr>
      <w:tr w:rsidR="00D25C27" w:rsidRPr="0013759F" w14:paraId="05AA846B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679F4843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Process</w:t>
            </w:r>
          </w:p>
        </w:tc>
        <w:tc>
          <w:tcPr>
            <w:tcW w:w="5877" w:type="dxa"/>
            <w:vAlign w:val="center"/>
          </w:tcPr>
          <w:p w14:paraId="64A41445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% of low-risk patients discharged after single hs-cTn</w:t>
            </w:r>
          </w:p>
        </w:tc>
      </w:tr>
      <w:tr w:rsidR="00D25C27" w:rsidRPr="0013759F" w14:paraId="03C39E1C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79A6BF2E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Outcome</w:t>
            </w:r>
          </w:p>
        </w:tc>
        <w:tc>
          <w:tcPr>
            <w:tcW w:w="5877" w:type="dxa"/>
            <w:vAlign w:val="center"/>
          </w:tcPr>
          <w:p w14:paraId="0D013E67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30-day MACE in discharged patients</w:t>
            </w:r>
          </w:p>
        </w:tc>
      </w:tr>
      <w:tr w:rsidR="00D25C27" w:rsidRPr="0013759F" w14:paraId="5AC452E0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02953D7E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Outcome</w:t>
            </w:r>
          </w:p>
        </w:tc>
        <w:tc>
          <w:tcPr>
            <w:tcW w:w="5877" w:type="dxa"/>
            <w:vAlign w:val="center"/>
          </w:tcPr>
          <w:p w14:paraId="3264A96C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72-hour return rate</w:t>
            </w:r>
          </w:p>
        </w:tc>
      </w:tr>
      <w:tr w:rsidR="00D25C27" w:rsidRPr="0013759F" w14:paraId="40E67CCD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38AC4686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Satisfaction</w:t>
            </w:r>
          </w:p>
        </w:tc>
        <w:tc>
          <w:tcPr>
            <w:tcW w:w="5877" w:type="dxa"/>
            <w:vAlign w:val="center"/>
          </w:tcPr>
          <w:p w14:paraId="441A52C7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Physician and nursing satisfaction survey scores</w:t>
            </w:r>
          </w:p>
        </w:tc>
      </w:tr>
    </w:tbl>
    <w:p w14:paraId="654E9C83" w14:textId="77777777" w:rsidR="0067135B" w:rsidRPr="00CB6B08" w:rsidRDefault="0067135B" w:rsidP="0004382F">
      <w:pPr>
        <w:rPr>
          <w:szCs w:val="28"/>
          <w:lang w:val="en-US"/>
        </w:rPr>
      </w:pPr>
    </w:p>
    <w:sectPr w:rsidR="0067135B" w:rsidRPr="00CB6B08">
      <w:headerReference w:type="default" r:id="rId7"/>
      <w:footerReference w:type="default" r:id="rId8"/>
      <w:endnotePr>
        <w:numFmt w:val="decimal"/>
      </w:endnotePr>
      <w:pgSz w:w="11905" w:h="16837"/>
      <w:pgMar w:top="1440" w:right="1440" w:bottom="1440" w:left="1440" w:header="599" w:footer="579" w:gutter="0"/>
      <w:pgNumType w:start="1"/>
      <w:cols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3E189" w14:textId="77777777" w:rsidR="00651641" w:rsidRDefault="00651641">
      <w:r>
        <w:separator/>
      </w:r>
    </w:p>
  </w:endnote>
  <w:endnote w:type="continuationSeparator" w:id="0">
    <w:p w14:paraId="1A201D85" w14:textId="77777777" w:rsidR="00651641" w:rsidRDefault="00651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Roman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D054C" w14:textId="77777777" w:rsidR="00D25C27" w:rsidRDefault="00000000">
    <w:pPr>
      <w:jc w:val="center"/>
      <w:rPr>
        <w:rFonts w:ascii="Helvetica" w:hAnsi="Helvetica" w:cs="Helvetica"/>
      </w:rPr>
    </w:pPr>
    <w:r>
      <w:rPr>
        <w:rFonts w:ascii="Helvetica" w:hAnsi="Helvetica" w:cs="Helvetica"/>
      </w:rPr>
      <w:fldChar w:fldCharType="begin"/>
    </w:r>
    <w:r>
      <w:rPr>
        <w:rFonts w:ascii="Helvetica" w:hAnsi="Helvetica" w:cs="Helvetica"/>
        <w:sz w:val="24"/>
      </w:rPr>
      <w:instrText>PAGE \* MERGEFORMAT</w:instrText>
    </w:r>
    <w:r>
      <w:rPr>
        <w:rFonts w:ascii="Helvetica" w:hAnsi="Helvetica" w:cs="Helvetica"/>
      </w:rPr>
      <w:fldChar w:fldCharType="separate"/>
    </w:r>
    <w:r>
      <w:rPr>
        <w:rFonts w:ascii="Helvetica" w:hAnsi="Helvetica" w:cs="Helvetica"/>
        <w:sz w:val="24"/>
      </w:rPr>
      <w:t>1</w:t>
    </w:r>
    <w:r>
      <w:rPr>
        <w:rFonts w:ascii="Helvetica" w:hAnsi="Helvetica" w:cs="Helvetic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BBFCD" w14:textId="77777777" w:rsidR="00651641" w:rsidRDefault="00651641">
      <w:r>
        <w:separator/>
      </w:r>
    </w:p>
  </w:footnote>
  <w:footnote w:type="continuationSeparator" w:id="0">
    <w:p w14:paraId="3BA9CE88" w14:textId="77777777" w:rsidR="00651641" w:rsidRDefault="00651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D181" w14:textId="77777777" w:rsidR="00205974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0AFE"/>
    <w:multiLevelType w:val="hybridMultilevel"/>
    <w:tmpl w:val="ACF2764C"/>
    <w:lvl w:ilvl="0" w:tplc="C0482116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C538725C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8E9EEFEE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33E66D42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F9409E44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2F042160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DFD0B8EE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1F042D38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44CC95F8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1" w15:restartNumberingAfterBreak="0">
    <w:nsid w:val="0ED243AE"/>
    <w:multiLevelType w:val="hybridMultilevel"/>
    <w:tmpl w:val="6D84F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A04C8"/>
    <w:multiLevelType w:val="hybridMultilevel"/>
    <w:tmpl w:val="53E03502"/>
    <w:lvl w:ilvl="0" w:tplc="D7543EF4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6E680B16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8CC602FE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492445CA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CD6AD52A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4E6AB694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F522C484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89DA157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695686CE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3" w15:restartNumberingAfterBreak="0">
    <w:nsid w:val="0F931DF2"/>
    <w:multiLevelType w:val="hybridMultilevel"/>
    <w:tmpl w:val="1FF8F960"/>
    <w:lvl w:ilvl="0" w:tplc="88E2B72A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69F0A3B0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47829FD0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96BC32F2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D3D4E8BE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81CC17F4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342492CC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11B2464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2730B64E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4" w15:restartNumberingAfterBreak="0">
    <w:nsid w:val="265D7BF2"/>
    <w:multiLevelType w:val="hybridMultilevel"/>
    <w:tmpl w:val="9AEE3CD0"/>
    <w:lvl w:ilvl="0" w:tplc="4FA8546A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C55AA86A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7982CE2A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B68E04E2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A4780E94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9C2CE33C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F0184C52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67022B2E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096CCD4C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5" w15:restartNumberingAfterBreak="0">
    <w:nsid w:val="26C1795B"/>
    <w:multiLevelType w:val="hybridMultilevel"/>
    <w:tmpl w:val="CC882750"/>
    <w:lvl w:ilvl="0" w:tplc="9C5AD492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87BE1D1E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60867776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4D32F63E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696CC16E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52AE3488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D388876E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0E3EB132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40626598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6" w15:restartNumberingAfterBreak="0">
    <w:nsid w:val="29084DF7"/>
    <w:multiLevelType w:val="hybridMultilevel"/>
    <w:tmpl w:val="6C40703A"/>
    <w:lvl w:ilvl="0" w:tplc="BED45C5C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B12EC95A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39C80B0E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7DA6EBDA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B380AD36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7BE44C64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2108B4C8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F3F82AC8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817CD22A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7" w15:restartNumberingAfterBreak="0">
    <w:nsid w:val="306F4C17"/>
    <w:multiLevelType w:val="hybridMultilevel"/>
    <w:tmpl w:val="BADAB80C"/>
    <w:lvl w:ilvl="0" w:tplc="3954AF42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EC5C3266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FF946A84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C5F01254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9F0C2B40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9BF22318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B1C690B0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5686E9E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8FD69BCA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8" w15:restartNumberingAfterBreak="0">
    <w:nsid w:val="519B72C4"/>
    <w:multiLevelType w:val="hybridMultilevel"/>
    <w:tmpl w:val="2D5C96AC"/>
    <w:lvl w:ilvl="0" w:tplc="C4B4CF1A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9F0E80D4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BDA4B1A2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27AAFC30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4D9E3BA8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28269A78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9C48F36C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048001E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E09692DA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9" w15:restartNumberingAfterBreak="0">
    <w:nsid w:val="534718DC"/>
    <w:multiLevelType w:val="hybridMultilevel"/>
    <w:tmpl w:val="C8FCF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162DB0"/>
    <w:multiLevelType w:val="hybridMultilevel"/>
    <w:tmpl w:val="EF32E4DA"/>
    <w:lvl w:ilvl="0" w:tplc="2ED40222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18605F08">
      <w:start w:val="1"/>
      <w:numFmt w:val="bullet"/>
      <w:lvlText w:val="o"/>
      <w:lvlJc w:val="left"/>
      <w:pPr>
        <w:ind w:left="1440" w:hanging="500"/>
      </w:pPr>
      <w:rPr>
        <w:rFonts w:ascii="Courier New" w:hAnsi="Courier New" w:cs="Courier New"/>
      </w:rPr>
    </w:lvl>
    <w:lvl w:ilvl="2" w:tplc="2CB2FC72">
      <w:start w:val="1"/>
      <w:numFmt w:val="bullet"/>
      <w:lvlText w:val=""/>
      <w:lvlJc w:val="left"/>
      <w:pPr>
        <w:ind w:left="2160" w:hanging="500"/>
      </w:pPr>
      <w:rPr>
        <w:rFonts w:ascii="Symbol" w:hAnsi="Symbol" w:hint="default"/>
      </w:rPr>
    </w:lvl>
    <w:lvl w:ilvl="3" w:tplc="689CC6BA">
      <w:start w:val="1"/>
      <w:numFmt w:val="bullet"/>
      <w:lvlText w:val="o"/>
      <w:lvlJc w:val="left"/>
      <w:pPr>
        <w:ind w:left="2880" w:hanging="500"/>
      </w:pPr>
      <w:rPr>
        <w:rFonts w:ascii="Courier New" w:hAnsi="Courier New" w:cs="Courier New"/>
      </w:rPr>
    </w:lvl>
    <w:lvl w:ilvl="4" w:tplc="78D02A4E">
      <w:start w:val="1"/>
      <w:numFmt w:val="bullet"/>
      <w:lvlText w:val=""/>
      <w:lvlJc w:val="left"/>
      <w:pPr>
        <w:ind w:left="3600" w:hanging="500"/>
      </w:pPr>
      <w:rPr>
        <w:rFonts w:ascii="Symbol" w:hAnsi="Symbol" w:hint="default"/>
      </w:rPr>
    </w:lvl>
    <w:lvl w:ilvl="5" w:tplc="40FA145A">
      <w:start w:val="1"/>
      <w:numFmt w:val="bullet"/>
      <w:lvlText w:val="o"/>
      <w:lvlJc w:val="left"/>
      <w:pPr>
        <w:ind w:left="4320" w:hanging="500"/>
      </w:pPr>
      <w:rPr>
        <w:rFonts w:ascii="Courier New" w:hAnsi="Courier New" w:cs="Courier New"/>
      </w:rPr>
    </w:lvl>
    <w:lvl w:ilvl="6" w:tplc="1D1E833A">
      <w:start w:val="1"/>
      <w:numFmt w:val="bullet"/>
      <w:lvlText w:val=""/>
      <w:lvlJc w:val="left"/>
      <w:pPr>
        <w:ind w:left="5040" w:hanging="500"/>
      </w:pPr>
      <w:rPr>
        <w:rFonts w:ascii="Symbol" w:hAnsi="Symbol" w:hint="default"/>
      </w:rPr>
    </w:lvl>
    <w:lvl w:ilvl="7" w:tplc="C504AB52">
      <w:start w:val="1"/>
      <w:numFmt w:val="bullet"/>
      <w:lvlText w:val="o"/>
      <w:lvlJc w:val="left"/>
      <w:pPr>
        <w:ind w:left="5760" w:hanging="500"/>
      </w:pPr>
      <w:rPr>
        <w:rFonts w:ascii="Courier New" w:hAnsi="Courier New" w:cs="Courier New"/>
      </w:rPr>
    </w:lvl>
    <w:lvl w:ilvl="8" w:tplc="FD460CE0">
      <w:start w:val="1"/>
      <w:numFmt w:val="bullet"/>
      <w:lvlText w:val=""/>
      <w:lvlJc w:val="left"/>
      <w:pPr>
        <w:ind w:left="6480" w:hanging="500"/>
      </w:pPr>
      <w:rPr>
        <w:rFonts w:ascii="Symbol" w:hAnsi="Symbol" w:hint="default"/>
      </w:rPr>
    </w:lvl>
  </w:abstractNum>
  <w:abstractNum w:abstractNumId="11" w15:restartNumberingAfterBreak="0">
    <w:nsid w:val="7AF30920"/>
    <w:multiLevelType w:val="hybridMultilevel"/>
    <w:tmpl w:val="A410A4D0"/>
    <w:lvl w:ilvl="0" w:tplc="5094B6F8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D9EE09FC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57B65604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6A2A31B6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65BA14A4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1D2CA06C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FD5691D2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AF8E7F32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0F3835C0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num w:numId="1" w16cid:durableId="1164779081">
    <w:abstractNumId w:val="11"/>
  </w:num>
  <w:num w:numId="2" w16cid:durableId="2145998537">
    <w:abstractNumId w:val="3"/>
  </w:num>
  <w:num w:numId="3" w16cid:durableId="469130903">
    <w:abstractNumId w:val="5"/>
  </w:num>
  <w:num w:numId="4" w16cid:durableId="1326711282">
    <w:abstractNumId w:val="8"/>
  </w:num>
  <w:num w:numId="5" w16cid:durableId="1360164734">
    <w:abstractNumId w:val="2"/>
  </w:num>
  <w:num w:numId="6" w16cid:durableId="1322853017">
    <w:abstractNumId w:val="10"/>
  </w:num>
  <w:num w:numId="7" w16cid:durableId="469788841">
    <w:abstractNumId w:val="0"/>
  </w:num>
  <w:num w:numId="8" w16cid:durableId="84424682">
    <w:abstractNumId w:val="6"/>
  </w:num>
  <w:num w:numId="9" w16cid:durableId="2096704883">
    <w:abstractNumId w:val="4"/>
  </w:num>
  <w:num w:numId="10" w16cid:durableId="137496164">
    <w:abstractNumId w:val="7"/>
  </w:num>
  <w:num w:numId="11" w16cid:durableId="1405303051">
    <w:abstractNumId w:val="1"/>
  </w:num>
  <w:num w:numId="12" w16cid:durableId="19035656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C27"/>
    <w:rsid w:val="0001336F"/>
    <w:rsid w:val="0004382F"/>
    <w:rsid w:val="0013759F"/>
    <w:rsid w:val="00205974"/>
    <w:rsid w:val="002701FB"/>
    <w:rsid w:val="005267E5"/>
    <w:rsid w:val="00651641"/>
    <w:rsid w:val="0067135B"/>
    <w:rsid w:val="007A6E0A"/>
    <w:rsid w:val="007C2988"/>
    <w:rsid w:val="009E1DA8"/>
    <w:rsid w:val="00A9327B"/>
    <w:rsid w:val="00C67824"/>
    <w:rsid w:val="00CB6B08"/>
    <w:rsid w:val="00D25C27"/>
    <w:rsid w:val="00D32950"/>
    <w:rsid w:val="00F04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51CD51"/>
  <w15:docId w15:val="{394D949F-B140-F942-8F59-B8BF96120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Roman" w:eastAsia="Times New Roman" w:hAnsi="Times Roman" w:cs="Times Roman"/>
        <w:sz w:val="24"/>
        <w:lang w:val="en-SA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82F"/>
    <w:rPr>
      <w:rFonts w:ascii="Calibri" w:hAnsi="Calibri"/>
      <w:sz w:val="22"/>
    </w:rPr>
  </w:style>
  <w:style w:type="paragraph" w:styleId="Heading1">
    <w:name w:val="heading 1"/>
    <w:uiPriority w:val="9"/>
    <w:qFormat/>
    <w:rsid w:val="005267E5"/>
    <w:pPr>
      <w:keepNext/>
      <w:keepLines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before="260" w:line="263" w:lineRule="auto"/>
      <w:outlineLvl w:val="0"/>
    </w:pPr>
    <w:rPr>
      <w:rFonts w:ascii="Palatino" w:hAnsi="Palatino" w:cs="Palatino"/>
      <w:b/>
      <w:sz w:val="48"/>
    </w:rPr>
  </w:style>
  <w:style w:type="paragraph" w:styleId="Heading2">
    <w:name w:val="heading 2"/>
    <w:uiPriority w:val="9"/>
    <w:unhideWhenUsed/>
    <w:qFormat/>
    <w:rsid w:val="0013759F"/>
    <w:pPr>
      <w:keepNext/>
      <w:keepLines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before="260" w:line="263" w:lineRule="auto"/>
      <w:outlineLvl w:val="1"/>
    </w:pPr>
    <w:rPr>
      <w:rFonts w:ascii="Palatino" w:hAnsi="Palatino" w:cs="Palatino"/>
      <w:b/>
      <w:sz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759F"/>
    <w:pPr>
      <w:keepNext/>
      <w:keepLines/>
      <w:spacing w:before="40" w:after="120"/>
      <w:outlineLvl w:val="2"/>
    </w:pPr>
    <w:rPr>
      <w:rFonts w:asciiTheme="majorBidi" w:eastAsiaTheme="majorEastAsia" w:hAnsiTheme="majorBidi" w:cstheme="majorBidi"/>
      <w:b/>
      <w:color w:val="0A2F40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3759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3759F"/>
    <w:rPr>
      <w:rFonts w:asciiTheme="majorBidi" w:eastAsiaTheme="majorEastAsia" w:hAnsiTheme="majorBidi" w:cstheme="majorBidi"/>
      <w:b/>
      <w:color w:val="0A2F40" w:themeColor="accent1" w:themeShade="7F"/>
      <w:sz w:val="36"/>
      <w:szCs w:val="24"/>
    </w:rPr>
  </w:style>
  <w:style w:type="paragraph" w:styleId="ListParagraph">
    <w:name w:val="List Paragraph"/>
    <w:basedOn w:val="Normal"/>
    <w:uiPriority w:val="34"/>
    <w:qFormat/>
    <w:rsid w:val="005267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992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Chest Pain Pathway</vt:lpstr>
    </vt:vector>
  </TitlesOfParts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Chest Pain Pathway</dc:title>
  <cp:lastModifiedBy>Majed Althagafi</cp:lastModifiedBy>
  <cp:revision>3</cp:revision>
  <dcterms:created xsi:type="dcterms:W3CDTF">2025-11-18T16:53:00Z</dcterms:created>
  <dcterms:modified xsi:type="dcterms:W3CDTF">2025-11-18T17:25:00Z</dcterms:modified>
</cp:coreProperties>
</file>