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0E5A" w14:textId="08AA840B" w:rsidR="0013759F" w:rsidRPr="0013759F" w:rsidRDefault="0013759F" w:rsidP="0001336F">
      <w:pPr>
        <w:pStyle w:val="Title"/>
        <w:rPr>
          <w:sz w:val="180"/>
        </w:rPr>
      </w:pPr>
      <w:bookmarkStart w:id="0" w:name="The_pathway"/>
      <w:r w:rsidRPr="0013759F">
        <w:t xml:space="preserve">Chest </w:t>
      </w:r>
      <w:r w:rsidRPr="0001336F">
        <w:t>Pain</w:t>
      </w:r>
      <w:r w:rsidRPr="0013759F">
        <w:t xml:space="preserve"> Pathway</w:t>
      </w:r>
      <w:bookmarkEnd w:id="0"/>
    </w:p>
    <w:p w14:paraId="326F6F32" w14:textId="36211EA0" w:rsidR="00D25C27" w:rsidRPr="00CB6B08" w:rsidRDefault="00D25C27" w:rsidP="0013759F">
      <w:pPr>
        <w:rPr>
          <w:rFonts w:ascii="Helvetica" w:hAnsi="Helvetica" w:cs="Helvetica"/>
          <w:b/>
          <w:szCs w:val="28"/>
        </w:rPr>
      </w:pPr>
    </w:p>
    <w:p w14:paraId="39A93ED0" w14:textId="57BDB263" w:rsidR="00D25C27" w:rsidRPr="0013759F" w:rsidRDefault="00000000" w:rsidP="0013759F">
      <w:pPr>
        <w:pStyle w:val="Heading1"/>
        <w:spacing w:before="360" w:after="240"/>
        <w:rPr>
          <w:sz w:val="40"/>
        </w:rPr>
      </w:pPr>
      <w:bookmarkStart w:id="1" w:name="Description_of_the_Pathway_"/>
      <w:r w:rsidRPr="0013759F">
        <w:rPr>
          <w:rFonts w:ascii="Calibri" w:hAnsi="Calibri"/>
          <w:color w:val="004C99"/>
          <w:sz w:val="32"/>
        </w:rPr>
        <w:t>Description of the Pathway</w:t>
      </w:r>
      <w:bookmarkEnd w:id="1"/>
      <w:r w:rsidRPr="0013759F">
        <w:rPr>
          <w:rFonts w:ascii="Calibri" w:hAnsi="Calibri"/>
          <w:color w:val="004C99"/>
          <w:sz w:val="32"/>
        </w:rPr>
        <w:t xml:space="preserve"> </w:t>
      </w:r>
    </w:p>
    <w:p w14:paraId="2CDB8B07" w14:textId="77777777" w:rsidR="00D25C27" w:rsidRPr="0013759F" w:rsidRDefault="00000000" w:rsidP="0013759F">
      <w:pPr>
        <w:pStyle w:val="Heading2"/>
        <w:spacing w:before="240" w:after="120"/>
      </w:pPr>
      <w:bookmarkStart w:id="2" w:name="Inclusion_criteria_"/>
      <w:r w:rsidRPr="0013759F">
        <w:rPr>
          <w:rFonts w:ascii="Calibri" w:hAnsi="Calibri"/>
          <w:color w:val="0066CC"/>
          <w:sz w:val="26"/>
        </w:rPr>
        <w:t>Inclusion criteria</w:t>
      </w:r>
      <w:bookmarkEnd w:id="2"/>
      <w:r w:rsidRPr="0013759F">
        <w:rPr>
          <w:rFonts w:ascii="Calibri" w:hAnsi="Calibri"/>
          <w:color w:val="0066CC"/>
          <w:sz w:val="26"/>
        </w:rPr>
        <w:t xml:space="preserve"> </w:t>
      </w:r>
    </w:p>
    <w:p w14:paraId="7D7160BC" w14:textId="77777777" w:rsidR="00D25C27" w:rsidRPr="00CB6B08" w:rsidRDefault="00000000">
      <w:pPr>
        <w:numPr>
          <w:ilvl w:val="0"/>
          <w:numId w:val="1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Adults (≥18 years) presenting to the ED with chest pain prompting evaluation for possible acute coronary syndrome (ACS).</w:t>
      </w:r>
    </w:p>
    <w:p w14:paraId="3BE359F2" w14:textId="6495D4F6" w:rsidR="00D25C27" w:rsidRPr="00CB6B08" w:rsidRDefault="00000000" w:rsidP="0013759F">
      <w:pPr>
        <w:numPr>
          <w:ilvl w:val="0"/>
          <w:numId w:val="1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 xml:space="preserve">Peak of chest pain occurred </w:t>
      </w:r>
      <w:r w:rsidRPr="00CB6B08">
        <w:rPr>
          <w:b/>
          <w:szCs w:val="28"/>
        </w:rPr>
        <w:t xml:space="preserve">≥2 hours before </w:t>
      </w:r>
      <w:r w:rsidR="007A6E0A">
        <w:rPr>
          <w:b/>
          <w:szCs w:val="28"/>
        </w:rPr>
        <w:t>blood with drawing</w:t>
      </w:r>
      <w:r w:rsidRPr="00CB6B08">
        <w:rPr>
          <w:szCs w:val="28"/>
        </w:rPr>
        <w:t xml:space="preserve"> (to ensure reliable hs-troponin interpretation).</w:t>
      </w:r>
    </w:p>
    <w:p w14:paraId="1BFE644B" w14:textId="77777777" w:rsidR="00D25C27" w:rsidRPr="0013759F" w:rsidRDefault="00000000" w:rsidP="0013759F">
      <w:pPr>
        <w:pStyle w:val="Heading2"/>
        <w:spacing w:before="240" w:after="120"/>
      </w:pPr>
      <w:bookmarkStart w:id="3" w:name="Exclusion_criteria"/>
      <w:r w:rsidRPr="0013759F">
        <w:rPr>
          <w:rFonts w:ascii="Calibri" w:hAnsi="Calibri"/>
          <w:color w:val="0066CC"/>
          <w:sz w:val="26"/>
        </w:rPr>
        <w:t>Exclusion criteria.</w:t>
      </w:r>
      <w:bookmarkEnd w:id="3"/>
    </w:p>
    <w:p w14:paraId="095A60C0" w14:textId="77777777" w:rsidR="00D25C27" w:rsidRPr="00CB6B08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Chief complaint not chest pain.</w:t>
      </w:r>
    </w:p>
    <w:p w14:paraId="6B3E4E82" w14:textId="77777777" w:rsidR="00D25C27" w:rsidRPr="00CB6B08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Peak pain intensity &lt;2 hours before presentation (delayed troponin kinetics).</w:t>
      </w:r>
    </w:p>
    <w:p w14:paraId="5056CA3C" w14:textId="77777777" w:rsidR="00D25C27" w:rsidRPr="00CB6B08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Clear non-cardiac cause of chest pain (e.g., aortic dissection, pneumonia, pulmonary embolism).</w:t>
      </w:r>
    </w:p>
    <w:p w14:paraId="2C994720" w14:textId="77777777" w:rsidR="00D25C27" w:rsidRPr="00CB6B08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Cardiac arrhythmia–related presentations (AF, SVT, flutter) without ischemic chest pain symptoms.</w:t>
      </w:r>
    </w:p>
    <w:p w14:paraId="0F4A5C9C" w14:textId="77777777" w:rsidR="00D25C27" w:rsidRPr="00CB6B08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Known ESRD on hemodialysis (excluded due to altered troponin baseline).</w:t>
      </w:r>
    </w:p>
    <w:p w14:paraId="32CF992D" w14:textId="77777777" w:rsidR="00D25C27" w:rsidRDefault="00000000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szCs w:val="28"/>
        </w:rPr>
        <w:t>Pregnancy (requires individualized assessment).</w:t>
      </w:r>
    </w:p>
    <w:p w14:paraId="23051471" w14:textId="4347CDDA" w:rsidR="007A6E0A" w:rsidRDefault="007A6E0A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>
        <w:rPr>
          <w:szCs w:val="28"/>
        </w:rPr>
        <w:t>Patient is not stable hemodynemically</w:t>
      </w:r>
    </w:p>
    <w:p w14:paraId="5D765ECE" w14:textId="5ED21F5E" w:rsidR="007A6E0A" w:rsidRPr="007A6E0A" w:rsidRDefault="007A6E0A" w:rsidP="007A6E0A">
      <w:pPr>
        <w:numPr>
          <w:ilvl w:val="0"/>
          <w:numId w:val="2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>
        <w:rPr>
          <w:szCs w:val="28"/>
        </w:rPr>
        <w:t xml:space="preserve">ECG showed STEMI </w:t>
      </w:r>
    </w:p>
    <w:p w14:paraId="65E434F7" w14:textId="2379C0A9" w:rsidR="00D25C27" w:rsidRPr="00CB6B08" w:rsidRDefault="00000000" w:rsidP="0001336F">
      <w:pPr>
        <w:spacing w:after="120" w:line="276" w:lineRule="auto"/>
        <w:rPr>
          <w:szCs w:val="28"/>
        </w:rPr>
      </w:pPr>
      <w:r w:rsidRPr="00CB6B08">
        <w:rPr>
          <w:i/>
          <w:szCs w:val="28"/>
        </w:rPr>
        <w:t>Note:</w:t>
      </w:r>
      <w:r w:rsidRPr="00CB6B08">
        <w:rPr>
          <w:szCs w:val="28"/>
        </w:rPr>
        <w:t xml:space="preserve"> Chest pain equivalents (e.g., dyspnea, epigastric discomfort, unexplained fatigue) may be considered in later protocol phases.</w:t>
      </w:r>
    </w:p>
    <w:p w14:paraId="0878502A" w14:textId="77777777" w:rsidR="0001336F" w:rsidRDefault="0001336F">
      <w:pPr>
        <w:rPr>
          <w:rFonts w:cs="Palatino"/>
          <w:b/>
          <w:color w:val="004C99"/>
          <w:sz w:val="32"/>
        </w:rPr>
      </w:pPr>
      <w:bookmarkStart w:id="4" w:name="Initial_workup_and_Care"/>
      <w:r>
        <w:rPr>
          <w:color w:val="004C99"/>
          <w:sz w:val="32"/>
        </w:rPr>
        <w:br w:type="page"/>
      </w:r>
    </w:p>
    <w:p w14:paraId="67171CAB" w14:textId="13C505B3" w:rsidR="00D25C27" w:rsidRPr="0013759F" w:rsidRDefault="00000000" w:rsidP="0013759F">
      <w:pPr>
        <w:pStyle w:val="Heading2"/>
        <w:spacing w:before="360" w:after="240"/>
      </w:pPr>
      <w:r w:rsidRPr="0013759F">
        <w:rPr>
          <w:rFonts w:ascii="Calibri" w:hAnsi="Calibri"/>
          <w:color w:val="004C99"/>
          <w:sz w:val="32"/>
        </w:rPr>
        <w:lastRenderedPageBreak/>
        <w:t>Initial workup and Care</w:t>
      </w:r>
      <w:bookmarkEnd w:id="4"/>
    </w:p>
    <w:p w14:paraId="7CB3A7E8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Upon arrival, the patient checks in and receives an ECG within 10 minutes.</w:t>
      </w:r>
    </w:p>
    <w:p w14:paraId="133D5CAE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A staff physician reviews the ECG and activates the Chest Pain Pathway if no STEMI is identified.</w:t>
      </w:r>
    </w:p>
    <w:p w14:paraId="34193A2E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High-sensitivity troponin (hs-cTnI) and other baseline labs are drawn.</w:t>
      </w:r>
    </w:p>
    <w:p w14:paraId="46D9CEAD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The treating physician oversees care, including clinical reassessment, additional testing, or specialist consultation as indicated.</w:t>
      </w:r>
    </w:p>
    <w:p w14:paraId="2CDAA621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Cardiology involvement or advanced imaging (CTCA, echo, etc.) terminates pathway management.</w:t>
      </w:r>
    </w:p>
    <w:p w14:paraId="5B240D50" w14:textId="77777777" w:rsidR="00D25C27" w:rsidRPr="005267E5" w:rsidRDefault="00000000" w:rsidP="005267E5">
      <w:pPr>
        <w:pStyle w:val="ListParagraph"/>
        <w:numPr>
          <w:ilvl w:val="0"/>
          <w:numId w:val="11"/>
        </w:numPr>
        <w:spacing w:after="120" w:line="276" w:lineRule="auto"/>
        <w:ind w:left="360"/>
      </w:pPr>
      <w:r w:rsidRPr="005267E5">
        <w:t>HEART Score is calculated after the initial troponin result to determine patient disposition.</w:t>
      </w:r>
    </w:p>
    <w:p w14:paraId="111FA14A" w14:textId="77777777" w:rsidR="00D25C27" w:rsidRPr="0013759F" w:rsidRDefault="00000000" w:rsidP="0013759F">
      <w:pPr>
        <w:pStyle w:val="Heading2"/>
        <w:spacing w:before="360" w:after="240"/>
      </w:pPr>
      <w:bookmarkStart w:id="5" w:name="Modified_HEART_Score_HighSensi"/>
      <w:r w:rsidRPr="0013759F">
        <w:rPr>
          <w:rFonts w:ascii="Calibri" w:hAnsi="Calibri"/>
          <w:color w:val="004C99"/>
          <w:sz w:val="32"/>
        </w:rPr>
        <w:t>Modified HEART Score (High-Sensitivity Troponin Version)</w:t>
      </w:r>
      <w:bookmarkEnd w:id="5"/>
    </w:p>
    <w:p w14:paraId="65030AE0" w14:textId="77777777" w:rsidR="00D25C27" w:rsidRPr="0013759F" w:rsidRDefault="00000000" w:rsidP="0013759F">
      <w:pPr>
        <w:pStyle w:val="Heading3"/>
        <w:spacing w:before="240"/>
      </w:pPr>
      <w:bookmarkStart w:id="6" w:name="H_History"/>
      <w:r w:rsidRPr="0013759F">
        <w:rPr>
          <w:rFonts w:ascii="Calibri" w:hAnsi="Calibri"/>
          <w:color w:val="0066CC"/>
          <w:sz w:val="26"/>
        </w:rPr>
        <w:t>H – History</w:t>
      </w:r>
      <w:bookmarkEnd w:id="6"/>
    </w:p>
    <w:p w14:paraId="40C53227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The </w:t>
      </w:r>
      <w:r w:rsidRPr="00CB6B08">
        <w:rPr>
          <w:b/>
          <w:szCs w:val="28"/>
        </w:rPr>
        <w:t>history</w:t>
      </w:r>
      <w:r w:rsidRPr="00CB6B08">
        <w:rPr>
          <w:szCs w:val="28"/>
        </w:rPr>
        <w:t xml:space="preserve"> component assesses the degree to which the patient’s symptoms are typical for angina or ACS.</w:t>
      </w:r>
    </w:p>
    <w:p w14:paraId="6821E8E4" w14:textId="77777777" w:rsidR="00D25C27" w:rsidRPr="00CB6B08" w:rsidRDefault="00000000">
      <w:pPr>
        <w:numPr>
          <w:ilvl w:val="0"/>
          <w:numId w:val="3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0 points:</w:t>
      </w:r>
      <w:r w:rsidRPr="00CB6B08">
        <w:rPr>
          <w:szCs w:val="28"/>
        </w:rPr>
        <w:t xml:space="preserve"> Pain is </w:t>
      </w:r>
      <w:r w:rsidRPr="00CB6B08">
        <w:rPr>
          <w:i/>
          <w:szCs w:val="28"/>
        </w:rPr>
        <w:t>slightly suspicious</w:t>
      </w:r>
      <w:r w:rsidRPr="00CB6B08">
        <w:rPr>
          <w:szCs w:val="28"/>
        </w:rPr>
        <w:t xml:space="preserve"> — non-anginal or atypical, such as sharp, pleuritic, or positional discomfort not provoked by exertion.</w:t>
      </w:r>
    </w:p>
    <w:p w14:paraId="77F07427" w14:textId="77777777" w:rsidR="00D25C27" w:rsidRPr="00CB6B08" w:rsidRDefault="00000000">
      <w:pPr>
        <w:numPr>
          <w:ilvl w:val="0"/>
          <w:numId w:val="3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1 point:</w:t>
      </w:r>
      <w:r w:rsidRPr="00CB6B08">
        <w:rPr>
          <w:szCs w:val="28"/>
        </w:rPr>
        <w:t xml:space="preserve"> Pain is </w:t>
      </w:r>
      <w:r w:rsidRPr="00CB6B08">
        <w:rPr>
          <w:i/>
          <w:szCs w:val="28"/>
        </w:rPr>
        <w:t>moderately suspicious</w:t>
      </w:r>
      <w:r w:rsidRPr="00CB6B08">
        <w:rPr>
          <w:szCs w:val="28"/>
        </w:rPr>
        <w:t xml:space="preserve"> — shares some features of angina but lacks classic characteristics.</w:t>
      </w:r>
    </w:p>
    <w:p w14:paraId="5EA4E9A3" w14:textId="77777777" w:rsidR="00D25C27" w:rsidRPr="00CB6B08" w:rsidRDefault="00000000">
      <w:pPr>
        <w:numPr>
          <w:ilvl w:val="0"/>
          <w:numId w:val="3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2 points:</w:t>
      </w:r>
      <w:r w:rsidRPr="00CB6B08">
        <w:rPr>
          <w:szCs w:val="28"/>
        </w:rPr>
        <w:t xml:space="preserve"> Pain is </w:t>
      </w:r>
      <w:r w:rsidRPr="00CB6B08">
        <w:rPr>
          <w:i/>
          <w:szCs w:val="28"/>
        </w:rPr>
        <w:t>highly suspicious</w:t>
      </w:r>
      <w:r w:rsidRPr="00CB6B08">
        <w:rPr>
          <w:szCs w:val="28"/>
        </w:rPr>
        <w:t xml:space="preserve"> — typical angina, described as pressure, heaviness, or squeezing in the chest, often radiating to the jaw, neck, shoulder, or arm, and provoked by exertion or stress.</w:t>
      </w:r>
    </w:p>
    <w:p w14:paraId="77A3FA96" w14:textId="77777777" w:rsidR="00D25C27" w:rsidRPr="0013759F" w:rsidRDefault="00000000" w:rsidP="0013759F">
      <w:pPr>
        <w:pStyle w:val="Heading3"/>
        <w:spacing w:before="240"/>
      </w:pPr>
      <w:bookmarkStart w:id="7" w:name="E_ECG"/>
      <w:r w:rsidRPr="0013759F">
        <w:rPr>
          <w:rFonts w:ascii="Calibri" w:hAnsi="Calibri"/>
          <w:color w:val="0066CC"/>
          <w:sz w:val="26"/>
        </w:rPr>
        <w:t>E – ECG</w:t>
      </w:r>
      <w:bookmarkEnd w:id="7"/>
    </w:p>
    <w:p w14:paraId="409D78A8" w14:textId="77777777" w:rsidR="00D25C27" w:rsidRPr="00CB6B08" w:rsidRDefault="00000000">
      <w:pPr>
        <w:numPr>
          <w:ilvl w:val="0"/>
          <w:numId w:val="4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0 points: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Normal ECG</w:t>
      </w:r>
      <w:r w:rsidRPr="00CB6B08">
        <w:rPr>
          <w:szCs w:val="28"/>
        </w:rPr>
        <w:t xml:space="preserve"> — no ST-segment or T-wave changes.</w:t>
      </w:r>
    </w:p>
    <w:p w14:paraId="742A8F35" w14:textId="77777777" w:rsidR="00D25C27" w:rsidRPr="00CB6B08" w:rsidRDefault="00000000">
      <w:pPr>
        <w:numPr>
          <w:ilvl w:val="0"/>
          <w:numId w:val="4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1 point: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Non-specific repolarization changes</w:t>
      </w:r>
      <w:r w:rsidRPr="00CB6B08">
        <w:rPr>
          <w:szCs w:val="28"/>
        </w:rPr>
        <w:t xml:space="preserve"> — such as minor ST/T-wave abnormalities, left bundle branch block (LBBB), or paced rhythm without clear ischemic features.</w:t>
      </w:r>
    </w:p>
    <w:p w14:paraId="1FC4DDB7" w14:textId="77777777" w:rsidR="00D25C27" w:rsidRPr="00CB6B08" w:rsidRDefault="00000000">
      <w:pPr>
        <w:numPr>
          <w:ilvl w:val="0"/>
          <w:numId w:val="4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2 points: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Significant ST depression or dynamic ischemic changes</w:t>
      </w:r>
      <w:r w:rsidRPr="00CB6B08">
        <w:rPr>
          <w:szCs w:val="28"/>
        </w:rPr>
        <w:t xml:space="preserve"> — defined as ≥1 mm ST depression or evolving T-wave inversion consistent with ischemia.</w:t>
      </w:r>
    </w:p>
    <w:p w14:paraId="5E7A79E3" w14:textId="77777777" w:rsidR="00D25C27" w:rsidRPr="0013759F" w:rsidRDefault="00000000" w:rsidP="0013759F">
      <w:pPr>
        <w:pStyle w:val="Heading3"/>
        <w:spacing w:before="240"/>
      </w:pPr>
      <w:bookmarkStart w:id="8" w:name="A_Age"/>
      <w:r w:rsidRPr="0013759F">
        <w:rPr>
          <w:rFonts w:ascii="Calibri" w:hAnsi="Calibri"/>
          <w:color w:val="0066CC"/>
          <w:sz w:val="26"/>
        </w:rPr>
        <w:t>A – Age</w:t>
      </w:r>
      <w:bookmarkEnd w:id="8"/>
    </w:p>
    <w:p w14:paraId="55625187" w14:textId="77777777" w:rsidR="00D25C27" w:rsidRPr="00CB6B08" w:rsidRDefault="00000000">
      <w:pPr>
        <w:numPr>
          <w:ilvl w:val="0"/>
          <w:numId w:val="5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0 points:</w:t>
      </w:r>
      <w:r w:rsidRPr="00CB6B08">
        <w:rPr>
          <w:szCs w:val="28"/>
        </w:rPr>
        <w:t xml:space="preserve"> ≤45 years</w:t>
      </w:r>
    </w:p>
    <w:p w14:paraId="37DE7E36" w14:textId="77777777" w:rsidR="00D25C27" w:rsidRPr="00CB6B08" w:rsidRDefault="00000000">
      <w:pPr>
        <w:numPr>
          <w:ilvl w:val="0"/>
          <w:numId w:val="5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1 point:</w:t>
      </w:r>
      <w:r w:rsidRPr="00CB6B08">
        <w:rPr>
          <w:szCs w:val="28"/>
        </w:rPr>
        <w:t xml:space="preserve"> 46–65 years</w:t>
      </w:r>
    </w:p>
    <w:p w14:paraId="6D9CB31C" w14:textId="77777777" w:rsidR="00D25C27" w:rsidRPr="00CB6B08" w:rsidRDefault="00000000">
      <w:pPr>
        <w:numPr>
          <w:ilvl w:val="0"/>
          <w:numId w:val="5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2 points:</w:t>
      </w:r>
      <w:r w:rsidRPr="00CB6B08">
        <w:rPr>
          <w:szCs w:val="28"/>
        </w:rPr>
        <w:t xml:space="preserve"> ≥65 years</w:t>
      </w:r>
    </w:p>
    <w:p w14:paraId="091BD985" w14:textId="77777777" w:rsidR="00D32950" w:rsidRDefault="00D32950">
      <w:pPr>
        <w:rPr>
          <w:rFonts w:eastAsiaTheme="majorEastAsia" w:cstheme="majorBidi"/>
          <w:b/>
          <w:color w:val="0066CC"/>
          <w:sz w:val="26"/>
          <w:szCs w:val="24"/>
        </w:rPr>
      </w:pPr>
      <w:bookmarkStart w:id="9" w:name="R_Risk_Factors"/>
      <w:r>
        <w:rPr>
          <w:color w:val="0066CC"/>
          <w:sz w:val="26"/>
        </w:rPr>
        <w:br w:type="page"/>
      </w:r>
    </w:p>
    <w:p w14:paraId="2F901CAE" w14:textId="7BB9270B" w:rsidR="00D25C27" w:rsidRPr="0013759F" w:rsidRDefault="00000000" w:rsidP="0013759F">
      <w:pPr>
        <w:pStyle w:val="Heading3"/>
        <w:spacing w:before="240"/>
      </w:pPr>
      <w:r w:rsidRPr="0013759F">
        <w:rPr>
          <w:rFonts w:ascii="Calibri" w:hAnsi="Calibri"/>
          <w:color w:val="0066CC"/>
          <w:sz w:val="26"/>
        </w:rPr>
        <w:lastRenderedPageBreak/>
        <w:t>R – Risk Factors</w:t>
      </w:r>
      <w:bookmarkEnd w:id="9"/>
    </w:p>
    <w:p w14:paraId="5BB50D20" w14:textId="77777777" w:rsidR="00D25C27" w:rsidRPr="00CB6B08" w:rsidRDefault="00000000">
      <w:pPr>
        <w:numPr>
          <w:ilvl w:val="0"/>
          <w:numId w:val="6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0 points: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No major cardiovascular risk factors.</w:t>
      </w:r>
    </w:p>
    <w:p w14:paraId="4BC55CD1" w14:textId="77777777" w:rsidR="00D25C27" w:rsidRPr="00CB6B08" w:rsidRDefault="00000000">
      <w:pPr>
        <w:numPr>
          <w:ilvl w:val="1"/>
          <w:numId w:val="6"/>
        </w:numPr>
        <w:tabs>
          <w:tab w:val="left" w:pos="940"/>
          <w:tab w:val="left" w:pos="1440"/>
        </w:tabs>
        <w:spacing w:after="120" w:line="276" w:lineRule="auto"/>
        <w:rPr>
          <w:szCs w:val="28"/>
        </w:rPr>
      </w:pPr>
      <w:r w:rsidRPr="00CB6B08">
        <w:rPr>
          <w:szCs w:val="28"/>
        </w:rPr>
        <w:t>No history of hypertension, diabetes mellitus, dyslipidemia, smoking, obesity, or family history of premature coronary artery disease (CAD).</w:t>
      </w:r>
    </w:p>
    <w:p w14:paraId="6D868FBF" w14:textId="77777777" w:rsidR="00D25C27" w:rsidRPr="00CB6B08" w:rsidRDefault="00000000">
      <w:pPr>
        <w:numPr>
          <w:ilvl w:val="0"/>
          <w:numId w:val="6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1 point: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One or two risk factors present.</w:t>
      </w:r>
    </w:p>
    <w:p w14:paraId="5E4579B6" w14:textId="77777777" w:rsidR="00D25C27" w:rsidRPr="00CB6B08" w:rsidRDefault="00000000">
      <w:pPr>
        <w:numPr>
          <w:ilvl w:val="1"/>
          <w:numId w:val="6"/>
        </w:numPr>
        <w:tabs>
          <w:tab w:val="left" w:pos="940"/>
          <w:tab w:val="left" w:pos="1440"/>
        </w:tabs>
        <w:spacing w:after="120" w:line="276" w:lineRule="auto"/>
        <w:rPr>
          <w:szCs w:val="28"/>
        </w:rPr>
      </w:pPr>
      <w:r w:rsidRPr="00CB6B08">
        <w:rPr>
          <w:szCs w:val="28"/>
        </w:rPr>
        <w:t>Examples: hypertension (≥140/90 mmHg or on antihypertensive therapy), diabetes, dyslipidemia (total cholesterol ≥200 mg/dL or on statin therapy), current or recent (&lt;3 years) smoking, obesity (BMI ≥30), or family history of premature CAD (male &lt;55 years, female &lt;65 years).</w:t>
      </w:r>
    </w:p>
    <w:p w14:paraId="2A5B278A" w14:textId="77777777" w:rsidR="00D25C27" w:rsidRPr="00CB6B08" w:rsidRDefault="00000000">
      <w:pPr>
        <w:numPr>
          <w:ilvl w:val="0"/>
          <w:numId w:val="6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2 points:</w:t>
      </w:r>
      <w:r w:rsidRPr="00CB6B08">
        <w:rPr>
          <w:szCs w:val="28"/>
        </w:rPr>
        <w:t xml:space="preserve"> </w:t>
      </w:r>
      <w:r w:rsidRPr="00CB6B08">
        <w:rPr>
          <w:i/>
          <w:szCs w:val="28"/>
        </w:rPr>
        <w:t>Three or more risk factors or established vascular disease.</w:t>
      </w:r>
    </w:p>
    <w:p w14:paraId="0608AC9B" w14:textId="77777777" w:rsidR="00D25C27" w:rsidRPr="00CB6B08" w:rsidRDefault="00000000">
      <w:pPr>
        <w:numPr>
          <w:ilvl w:val="1"/>
          <w:numId w:val="6"/>
        </w:numPr>
        <w:tabs>
          <w:tab w:val="left" w:pos="940"/>
          <w:tab w:val="left" w:pos="1440"/>
        </w:tabs>
        <w:spacing w:after="120" w:line="276" w:lineRule="auto"/>
        <w:rPr>
          <w:szCs w:val="28"/>
        </w:rPr>
      </w:pPr>
      <w:r w:rsidRPr="00CB6B08">
        <w:rPr>
          <w:szCs w:val="28"/>
        </w:rPr>
        <w:t>Includes ≥3 of the above factors or known cardiovascular disease such as prior myocardial infarction, PCI or CABG, documented CAD on angiography/CTCA, previous stroke or TIA, or peripheral arterial disease.</w:t>
      </w:r>
    </w:p>
    <w:p w14:paraId="15D27720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b/>
          <w:szCs w:val="28"/>
        </w:rPr>
        <w:t>Note:</w:t>
      </w:r>
      <w:r w:rsidRPr="00CB6B08">
        <w:rPr>
          <w:szCs w:val="28"/>
        </w:rPr>
        <w:t xml:space="preserve"> Presence of known CAD or vascular disease automatically scores 2 points, regardless of other factors.</w:t>
      </w:r>
    </w:p>
    <w:p w14:paraId="4630BEAC" w14:textId="77777777" w:rsidR="00D25C27" w:rsidRPr="0013759F" w:rsidRDefault="00000000" w:rsidP="0013759F">
      <w:pPr>
        <w:pStyle w:val="Heading3"/>
        <w:spacing w:before="240"/>
      </w:pPr>
      <w:bookmarkStart w:id="10" w:name="T_Troponin_Modified_for_HighSe"/>
      <w:r w:rsidRPr="0013759F">
        <w:rPr>
          <w:rFonts w:ascii="Calibri" w:hAnsi="Calibri"/>
          <w:color w:val="0066CC"/>
          <w:sz w:val="26"/>
        </w:rPr>
        <w:t>T – Troponin (Modified for High-Sensitivity Assays)</w:t>
      </w:r>
      <w:bookmarkEnd w:id="10"/>
    </w:p>
    <w:p w14:paraId="570FA13A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>High-sensitivity cardiac troponin (hs-cTn) results are interpreted according to assay-specific thresholds.</w:t>
      </w:r>
    </w:p>
    <w:p w14:paraId="0DA9189F" w14:textId="77777777" w:rsidR="00D25C27" w:rsidRPr="00CB6B08" w:rsidRDefault="00000000">
      <w:pPr>
        <w:numPr>
          <w:ilvl w:val="0"/>
          <w:numId w:val="7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0 points:</w:t>
      </w:r>
      <w:r w:rsidRPr="00CB6B08">
        <w:rPr>
          <w:szCs w:val="28"/>
        </w:rPr>
        <w:t xml:space="preserve"> Troponin </w:t>
      </w:r>
      <w:r w:rsidRPr="00CB6B08">
        <w:rPr>
          <w:i/>
          <w:szCs w:val="28"/>
        </w:rPr>
        <w:t>below the limit of detection (LoD)</w:t>
      </w:r>
      <w:r w:rsidRPr="00CB6B08">
        <w:rPr>
          <w:szCs w:val="28"/>
        </w:rPr>
        <w:t xml:space="preserve"> — typically  </w:t>
      </w:r>
      <w:r w:rsidRPr="00CB6B08">
        <w:rPr>
          <w:b/>
          <w:szCs w:val="28"/>
        </w:rPr>
        <w:t>hs-cTnI &lt;6 ng/L</w:t>
      </w:r>
      <w:r w:rsidRPr="00CB6B08">
        <w:rPr>
          <w:szCs w:val="28"/>
        </w:rPr>
        <w:t>.</w:t>
      </w:r>
    </w:p>
    <w:p w14:paraId="2B224A7A" w14:textId="77777777" w:rsidR="00D25C27" w:rsidRPr="00CB6B08" w:rsidRDefault="00000000">
      <w:pPr>
        <w:numPr>
          <w:ilvl w:val="0"/>
          <w:numId w:val="7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1 point:</w:t>
      </w:r>
      <w:r w:rsidRPr="00CB6B08">
        <w:rPr>
          <w:szCs w:val="28"/>
        </w:rPr>
        <w:t xml:space="preserve"> Troponin </w:t>
      </w:r>
      <w:r w:rsidRPr="00CB6B08">
        <w:rPr>
          <w:i/>
          <w:szCs w:val="28"/>
        </w:rPr>
        <w:t>detectable but below the 99th percentile upper reference limit</w:t>
      </w:r>
      <w:r w:rsidRPr="00CB6B08">
        <w:rPr>
          <w:szCs w:val="28"/>
        </w:rPr>
        <w:t xml:space="preserve"> —  </w:t>
      </w:r>
      <w:r w:rsidRPr="00CB6B08">
        <w:rPr>
          <w:b/>
          <w:szCs w:val="28"/>
        </w:rPr>
        <w:t>hs-cTnI 6–33 ng/L (men) / 6–15 ng/L (women)</w:t>
      </w:r>
      <w:r w:rsidRPr="00CB6B08">
        <w:rPr>
          <w:szCs w:val="28"/>
        </w:rPr>
        <w:t>.</w:t>
      </w:r>
    </w:p>
    <w:p w14:paraId="5D90056E" w14:textId="77777777" w:rsidR="00D25C27" w:rsidRPr="00CB6B08" w:rsidRDefault="00000000">
      <w:pPr>
        <w:numPr>
          <w:ilvl w:val="0"/>
          <w:numId w:val="7"/>
        </w:numPr>
        <w:tabs>
          <w:tab w:val="left" w:pos="220"/>
          <w:tab w:val="left" w:pos="720"/>
        </w:tabs>
        <w:spacing w:after="120" w:line="276" w:lineRule="auto"/>
        <w:rPr>
          <w:szCs w:val="28"/>
        </w:rPr>
      </w:pPr>
      <w:r w:rsidRPr="00CB6B08">
        <w:rPr>
          <w:b/>
          <w:szCs w:val="28"/>
        </w:rPr>
        <w:t>2 points:</w:t>
      </w:r>
      <w:r w:rsidRPr="00CB6B08">
        <w:rPr>
          <w:szCs w:val="28"/>
        </w:rPr>
        <w:t xml:space="preserve"> Troponin </w:t>
      </w:r>
      <w:r w:rsidRPr="00CB6B08">
        <w:rPr>
          <w:i/>
          <w:szCs w:val="28"/>
        </w:rPr>
        <w:t>above the 99th percentile</w:t>
      </w:r>
      <w:r w:rsidRPr="00CB6B08">
        <w:rPr>
          <w:szCs w:val="28"/>
        </w:rPr>
        <w:t xml:space="preserve"> (positive troponin) — </w:t>
      </w:r>
      <w:r w:rsidRPr="00CB6B08">
        <w:rPr>
          <w:b/>
          <w:szCs w:val="28"/>
        </w:rPr>
        <w:t>hs-cTnI ≥34 ng/L (men) / ≥16 ng/L (women)</w:t>
      </w:r>
      <w:r w:rsidRPr="00CB6B08">
        <w:rPr>
          <w:szCs w:val="28"/>
        </w:rPr>
        <w:t>.</w:t>
      </w:r>
    </w:p>
    <w:p w14:paraId="5FE2DE47" w14:textId="77777777" w:rsidR="0001336F" w:rsidRDefault="0001336F">
      <w:pPr>
        <w:rPr>
          <w:rFonts w:cs="Palatino"/>
          <w:b/>
          <w:color w:val="004C99"/>
          <w:sz w:val="32"/>
        </w:rPr>
      </w:pPr>
      <w:bookmarkStart w:id="11" w:name="Risk_Stratification_According_"/>
      <w:r>
        <w:rPr>
          <w:color w:val="004C99"/>
          <w:sz w:val="32"/>
        </w:rPr>
        <w:br w:type="page"/>
      </w:r>
    </w:p>
    <w:p w14:paraId="792D485D" w14:textId="341D3765" w:rsidR="00D25C27" w:rsidRPr="0013759F" w:rsidRDefault="00000000" w:rsidP="0013759F">
      <w:pPr>
        <w:pStyle w:val="Heading1"/>
        <w:spacing w:before="360" w:after="240"/>
      </w:pPr>
      <w:r w:rsidRPr="0013759F">
        <w:rPr>
          <w:rFonts w:ascii="Calibri" w:hAnsi="Calibri"/>
          <w:color w:val="004C99"/>
          <w:sz w:val="32"/>
        </w:rPr>
        <w:lastRenderedPageBreak/>
        <w:t>Risk Stratification According to Evidence</w:t>
      </w:r>
      <w:bookmarkEnd w:id="11"/>
    </w:p>
    <w:p w14:paraId="3F19ABD9" w14:textId="7D5DA301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Depends on the heart score and the results of the troponin and ECG the paients will be classified intp three groups</w:t>
      </w:r>
    </w:p>
    <w:p w14:paraId="56E28071" w14:textId="77777777" w:rsidR="00D25C27" w:rsidRPr="0013759F" w:rsidRDefault="00000000" w:rsidP="0013759F">
      <w:pPr>
        <w:pStyle w:val="Heading2"/>
        <w:spacing w:before="240" w:after="120"/>
      </w:pPr>
      <w:bookmarkStart w:id="12" w:name="LowRisk_Category_Modified_HEAR"/>
      <w:r w:rsidRPr="0013759F">
        <w:rPr>
          <w:rFonts w:ascii="Calibri" w:hAnsi="Calibri"/>
          <w:color w:val="0066CC"/>
          <w:sz w:val="26"/>
        </w:rPr>
        <w:t>Low-Risk Category (Modified HEART ≤3 + hs-cTnI &lt; LoD)</w:t>
      </w:r>
      <w:bookmarkEnd w:id="12"/>
    </w:p>
    <w:p w14:paraId="1993A777" w14:textId="77777777" w:rsidR="00D25C27" w:rsidRPr="00CB6B08" w:rsidRDefault="00000000" w:rsidP="005267E5">
      <w:pPr>
        <w:keepNext/>
        <w:spacing w:before="180" w:after="120"/>
        <w:rPr>
          <w:szCs w:val="28"/>
        </w:rPr>
      </w:pPr>
      <w:r w:rsidRPr="00CB6B08">
        <w:rPr>
          <w:b/>
          <w:color w:val="444444"/>
          <w:sz w:val="24"/>
          <w:szCs w:val="28"/>
        </w:rPr>
        <w:t>If all of these criteria are true.:</w:t>
      </w:r>
    </w:p>
    <w:p w14:paraId="508C3CC6" w14:textId="77777777" w:rsidR="00D25C27" w:rsidRPr="005267E5" w:rsidRDefault="00000000" w:rsidP="005267E5">
      <w:pPr>
        <w:pStyle w:val="ListParagraph"/>
        <w:numPr>
          <w:ilvl w:val="0"/>
          <w:numId w:val="12"/>
        </w:numPr>
        <w:spacing w:after="120" w:line="276" w:lineRule="auto"/>
        <w:ind w:left="360"/>
      </w:pPr>
      <w:r w:rsidRPr="005267E5">
        <w:t xml:space="preserve">Initial hs-cTnI is below LoD/LOQ. </w:t>
      </w:r>
    </w:p>
    <w:p w14:paraId="2F0448C7" w14:textId="77777777" w:rsidR="00D25C27" w:rsidRPr="005267E5" w:rsidRDefault="00000000" w:rsidP="005267E5">
      <w:pPr>
        <w:pStyle w:val="ListParagraph"/>
        <w:numPr>
          <w:ilvl w:val="0"/>
          <w:numId w:val="12"/>
        </w:numPr>
        <w:spacing w:after="120" w:line="276" w:lineRule="auto"/>
        <w:ind w:left="360"/>
      </w:pPr>
      <w:r w:rsidRPr="005267E5">
        <w:t xml:space="preserve">HEART score is ≤3. </w:t>
      </w:r>
    </w:p>
    <w:p w14:paraId="5268D3C2" w14:textId="77777777" w:rsidR="00D25C27" w:rsidRPr="005267E5" w:rsidRDefault="00000000" w:rsidP="005267E5">
      <w:pPr>
        <w:pStyle w:val="ListParagraph"/>
        <w:numPr>
          <w:ilvl w:val="0"/>
          <w:numId w:val="12"/>
        </w:numPr>
        <w:spacing w:after="120" w:line="276" w:lineRule="auto"/>
        <w:ind w:left="360"/>
      </w:pPr>
      <w:r w:rsidRPr="005267E5">
        <w:t xml:space="preserve">No ischemic ECG </w:t>
      </w:r>
    </w:p>
    <w:p w14:paraId="36BE241E" w14:textId="77777777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Patients meeting these criteria demonstrate &lt;1% risk of 30-day MACE (Backus et al., 2013; Mahler et al., 2015; Khand et al., 2023).</w:t>
      </w:r>
    </w:p>
    <w:p w14:paraId="377C5F40" w14:textId="77777777" w:rsidR="00D25C27" w:rsidRPr="0013759F" w:rsidRDefault="00000000" w:rsidP="005267E5">
      <w:pPr>
        <w:pStyle w:val="Heading3"/>
        <w:spacing w:before="180"/>
      </w:pPr>
      <w:bookmarkStart w:id="13" w:name="Suggested_Disposition"/>
      <w:r w:rsidRPr="0013759F">
        <w:rPr>
          <w:rFonts w:ascii="Calibri" w:hAnsi="Calibri"/>
          <w:color w:val="444444"/>
          <w:sz w:val="24"/>
        </w:rPr>
        <w:t>Suggested Disposition</w:t>
      </w:r>
      <w:bookmarkEnd w:id="13"/>
    </w:p>
    <w:p w14:paraId="395EF79D" w14:textId="77777777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Discharge home after initial negative troponin and non-ischemic ECG.</w:t>
      </w:r>
    </w:p>
    <w:p w14:paraId="0B4E01F4" w14:textId="77777777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Provide written return precautions and outpatient follow-up (primary care or cardiology as indicated).</w:t>
      </w:r>
    </w:p>
    <w:p w14:paraId="4AAD9ECB" w14:textId="77777777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Document: “Chest Pain Pathway – Low Risk” in ED chart.</w:t>
      </w:r>
    </w:p>
    <w:p w14:paraId="01B1B195" w14:textId="77777777" w:rsidR="00D25C27" w:rsidRPr="00CB6B08" w:rsidRDefault="00D25C27">
      <w:pPr>
        <w:spacing w:after="240"/>
        <w:rPr>
          <w:szCs w:val="28"/>
        </w:rPr>
      </w:pPr>
    </w:p>
    <w:p w14:paraId="18F660D2" w14:textId="1D7639AA" w:rsidR="00D25C27" w:rsidRPr="0013759F" w:rsidRDefault="00000000" w:rsidP="005267E5">
      <w:pPr>
        <w:pStyle w:val="Heading2"/>
        <w:spacing w:before="240" w:after="120"/>
      </w:pPr>
      <w:bookmarkStart w:id="14" w:name="IntermediateRisk_Category_Modi"/>
      <w:r w:rsidRPr="0013759F">
        <w:rPr>
          <w:rFonts w:ascii="Calibri" w:hAnsi="Calibri"/>
          <w:color w:val="0066CC"/>
          <w:sz w:val="26"/>
        </w:rPr>
        <w:t>Intermediate-Risk Category (Modified HEART 4–6 or hs-cTnI ≥ LoD but &lt; 99th percentile)</w:t>
      </w:r>
      <w:bookmarkEnd w:id="14"/>
    </w:p>
    <w:p w14:paraId="61E083F9" w14:textId="2891D323" w:rsidR="00D25C27" w:rsidRPr="00CB6B08" w:rsidRDefault="00000000" w:rsidP="005267E5">
      <w:pPr>
        <w:keepNext/>
        <w:tabs>
          <w:tab w:val="left" w:pos="56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before="180" w:after="120" w:line="263" w:lineRule="auto"/>
        <w:rPr>
          <w:rFonts w:ascii="Palatino" w:hAnsi="Palatino" w:cs="Palatino"/>
          <w:szCs w:val="28"/>
        </w:rPr>
      </w:pPr>
      <w:r w:rsidRPr="00CB6B08">
        <w:rPr>
          <w:rFonts w:cs="Palatino"/>
          <w:b/>
          <w:color w:val="444444"/>
          <w:sz w:val="24"/>
          <w:szCs w:val="28"/>
        </w:rPr>
        <w:t>If one of these are true.:</w:t>
      </w:r>
    </w:p>
    <w:p w14:paraId="7D33DBD1" w14:textId="77777777" w:rsidR="00D25C27" w:rsidRPr="00CB6B08" w:rsidRDefault="00000000">
      <w:pPr>
        <w:numPr>
          <w:ilvl w:val="0"/>
          <w:numId w:val="9"/>
        </w:numPr>
        <w:tabs>
          <w:tab w:val="left" w:pos="22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after="120" w:line="276" w:lineRule="auto"/>
        <w:rPr>
          <w:rFonts w:ascii="Palatino" w:hAnsi="Palatino" w:cs="Palatino"/>
          <w:szCs w:val="28"/>
        </w:rPr>
      </w:pPr>
      <w:r w:rsidRPr="00CB6B08">
        <w:rPr>
          <w:rFonts w:cs="Palatino"/>
          <w:szCs w:val="28"/>
        </w:rPr>
        <w:t>HEART of 4–6</w:t>
      </w:r>
    </w:p>
    <w:p w14:paraId="4984E480" w14:textId="77777777" w:rsidR="00D25C27" w:rsidRPr="00CB6B08" w:rsidRDefault="00000000">
      <w:pPr>
        <w:numPr>
          <w:ilvl w:val="0"/>
          <w:numId w:val="9"/>
        </w:numPr>
        <w:tabs>
          <w:tab w:val="left" w:pos="22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after="120" w:line="276" w:lineRule="auto"/>
        <w:rPr>
          <w:rFonts w:ascii="Palatino" w:hAnsi="Palatino" w:cs="Palatino"/>
          <w:szCs w:val="28"/>
        </w:rPr>
      </w:pPr>
      <w:r w:rsidRPr="00CB6B08">
        <w:rPr>
          <w:rFonts w:cs="Palatino"/>
          <w:szCs w:val="28"/>
        </w:rPr>
        <w:t>troponin above LoD but below the MI threshold</w:t>
      </w:r>
    </w:p>
    <w:p w14:paraId="285E49DE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>Represents ~30–40% of chest pain patients in ED cohorts.</w:t>
      </w:r>
    </w:p>
    <w:p w14:paraId="4444825F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Observed 30-day MACE ≈ </w:t>
      </w:r>
      <w:r w:rsidRPr="00CB6B08">
        <w:rPr>
          <w:b/>
          <w:szCs w:val="28"/>
        </w:rPr>
        <w:t>5–15%</w:t>
      </w:r>
      <w:r w:rsidRPr="00CB6B08">
        <w:rPr>
          <w:szCs w:val="28"/>
        </w:rPr>
        <w:t>, depending on population (Poldervaart 2017; Khand 2017).</w:t>
      </w:r>
    </w:p>
    <w:p w14:paraId="134A3D3F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>Safety of discharge after repeat negative hs-troponin at 1–3 hours confirmed in prospective studies.</w:t>
      </w:r>
    </w:p>
    <w:p w14:paraId="221C5F59" w14:textId="77777777" w:rsidR="00D25C27" w:rsidRPr="0013759F" w:rsidRDefault="00000000" w:rsidP="005267E5">
      <w:pPr>
        <w:pStyle w:val="Heading3"/>
        <w:spacing w:before="180"/>
      </w:pPr>
      <w:bookmarkStart w:id="15" w:name="Suggested_Disposition-1"/>
      <w:r w:rsidRPr="0013759F">
        <w:rPr>
          <w:rFonts w:ascii="Calibri" w:hAnsi="Calibri"/>
          <w:color w:val="444444"/>
          <w:sz w:val="24"/>
        </w:rPr>
        <w:t>Suggested Disposition</w:t>
      </w:r>
      <w:bookmarkEnd w:id="15"/>
    </w:p>
    <w:p w14:paraId="35829B6B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>Admit to ED observation unit.</w:t>
      </w:r>
    </w:p>
    <w:p w14:paraId="6E9139A6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Repeat ECG and hs-cTnI at </w:t>
      </w:r>
      <w:r w:rsidRPr="00CB6B08">
        <w:rPr>
          <w:b/>
          <w:szCs w:val="28"/>
        </w:rPr>
        <w:t>2–3 hours</w:t>
      </w:r>
      <w:r w:rsidRPr="00CB6B08">
        <w:rPr>
          <w:szCs w:val="28"/>
        </w:rPr>
        <w:t>.</w:t>
      </w:r>
    </w:p>
    <w:p w14:paraId="545D9714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If </w:t>
      </w:r>
      <w:r w:rsidRPr="00CB6B08">
        <w:rPr>
          <w:b/>
          <w:szCs w:val="28"/>
        </w:rPr>
        <w:t>Δtroponin &lt;5 ng/L</w:t>
      </w:r>
      <w:r w:rsidRPr="00CB6B08">
        <w:rPr>
          <w:szCs w:val="28"/>
        </w:rPr>
        <w:t xml:space="preserve"> and ECG remains non-ischemic </w:t>
      </w:r>
      <w:r w:rsidRPr="00CB6B08">
        <w:rPr>
          <w:rFonts w:cs="Times New Roman"/>
          <w:szCs w:val="28"/>
        </w:rPr>
        <w:t>→</w:t>
      </w:r>
      <w:r w:rsidRPr="00CB6B08">
        <w:rPr>
          <w:szCs w:val="28"/>
        </w:rPr>
        <w:t xml:space="preserve"> discharge with next-day CT coronary angiography.</w:t>
      </w:r>
    </w:p>
    <w:p w14:paraId="4C7499A6" w14:textId="4E34C84B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If Δtroponin ≥5 ng/L or ischemic ECG </w:t>
      </w:r>
      <w:r w:rsidRPr="00CB6B08">
        <w:rPr>
          <w:rFonts w:cs="Times New Roman"/>
          <w:szCs w:val="28"/>
        </w:rPr>
        <w:t>→</w:t>
      </w:r>
      <w:r w:rsidRPr="00CB6B08">
        <w:rPr>
          <w:szCs w:val="28"/>
        </w:rPr>
        <w:t xml:space="preserve"> cardiology consult and likely admission.</w:t>
      </w:r>
    </w:p>
    <w:p w14:paraId="30374B66" w14:textId="4E34C84B" w:rsidR="00D25C27" w:rsidRPr="0013759F" w:rsidRDefault="00000000" w:rsidP="005267E5">
      <w:pPr>
        <w:pStyle w:val="Heading2"/>
        <w:spacing w:before="240" w:after="120"/>
      </w:pPr>
      <w:bookmarkStart w:id="16" w:name="HighRisk_Category_Modified_HEA"/>
      <w:r w:rsidRPr="0013759F">
        <w:rPr>
          <w:rFonts w:ascii="Calibri" w:hAnsi="Calibri"/>
          <w:color w:val="0066CC"/>
          <w:sz w:val="26"/>
        </w:rPr>
        <w:lastRenderedPageBreak/>
        <w:t>High-Risk Category (Modified HEART ≥7 or hs-cTnI ≥ 99th percentile)</w:t>
      </w:r>
      <w:bookmarkEnd w:id="16"/>
    </w:p>
    <w:p w14:paraId="428A5364" w14:textId="77777777" w:rsidR="00D25C27" w:rsidRPr="00CB6B08" w:rsidRDefault="00000000">
      <w:pPr>
        <w:keepNext/>
        <w:tabs>
          <w:tab w:val="left" w:pos="56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before="180" w:after="120" w:line="263" w:lineRule="auto"/>
        <w:rPr>
          <w:rFonts w:ascii="Palatino" w:hAnsi="Palatino" w:cs="Palatino"/>
          <w:szCs w:val="28"/>
        </w:rPr>
      </w:pPr>
      <w:r w:rsidRPr="00CB6B08">
        <w:rPr>
          <w:rFonts w:cs="Palatino"/>
          <w:b/>
          <w:color w:val="444444"/>
          <w:sz w:val="24"/>
          <w:szCs w:val="28"/>
        </w:rPr>
        <w:t>If one of these are true.:</w:t>
      </w:r>
    </w:p>
    <w:p w14:paraId="4FAE052F" w14:textId="77777777" w:rsidR="00D25C27" w:rsidRPr="00CB6B08" w:rsidRDefault="00000000">
      <w:pPr>
        <w:numPr>
          <w:ilvl w:val="0"/>
          <w:numId w:val="10"/>
        </w:numPr>
        <w:tabs>
          <w:tab w:val="left" w:pos="22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after="120" w:line="276" w:lineRule="auto"/>
        <w:rPr>
          <w:rFonts w:ascii="Palatino" w:hAnsi="Palatino" w:cs="Palatino"/>
          <w:szCs w:val="28"/>
        </w:rPr>
      </w:pPr>
      <w:r w:rsidRPr="00CB6B08">
        <w:rPr>
          <w:rFonts w:cs="Palatino"/>
          <w:szCs w:val="28"/>
        </w:rPr>
        <w:t xml:space="preserve">initial hs-cTnT was ≥99th percentile (≥14 ng/L UK) </w:t>
      </w:r>
    </w:p>
    <w:p w14:paraId="61B34B22" w14:textId="43D47206" w:rsidR="00D25C27" w:rsidRPr="00CB6B08" w:rsidRDefault="00000000" w:rsidP="005267E5">
      <w:pPr>
        <w:numPr>
          <w:ilvl w:val="0"/>
          <w:numId w:val="10"/>
        </w:numPr>
        <w:tabs>
          <w:tab w:val="left" w:pos="22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  <w:spacing w:after="120" w:line="276" w:lineRule="auto"/>
        <w:rPr>
          <w:rFonts w:ascii="Palatino" w:hAnsi="Palatino" w:cs="Palatino"/>
          <w:szCs w:val="28"/>
        </w:rPr>
      </w:pPr>
      <w:r w:rsidRPr="00CB6B08">
        <w:rPr>
          <w:rFonts w:cs="Palatino"/>
          <w:szCs w:val="28"/>
        </w:rPr>
        <w:t>HEART score ≥7</w:t>
      </w:r>
    </w:p>
    <w:p w14:paraId="2852E0CE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 xml:space="preserve">30-day MACE ≥ </w:t>
      </w:r>
      <w:r w:rsidRPr="00CB6B08">
        <w:rPr>
          <w:b/>
          <w:szCs w:val="28"/>
        </w:rPr>
        <w:t>50%</w:t>
      </w:r>
      <w:r w:rsidRPr="00CB6B08">
        <w:rPr>
          <w:szCs w:val="28"/>
        </w:rPr>
        <w:t xml:space="preserve"> in validation studies.</w:t>
      </w:r>
    </w:p>
    <w:p w14:paraId="6C637DB4" w14:textId="48271749" w:rsidR="00D25C27" w:rsidRPr="00CB6B08" w:rsidRDefault="00000000" w:rsidP="005267E5">
      <w:pPr>
        <w:spacing w:after="120" w:line="276" w:lineRule="auto"/>
        <w:rPr>
          <w:szCs w:val="28"/>
        </w:rPr>
      </w:pPr>
      <w:r w:rsidRPr="00CB6B08">
        <w:rPr>
          <w:szCs w:val="28"/>
        </w:rPr>
        <w:t>These patients require inpatient cardiology management, invasive angiography consideration, and high-intensity medical therapy initiation.</w:t>
      </w:r>
    </w:p>
    <w:p w14:paraId="3FDA50D6" w14:textId="77777777" w:rsidR="00D25C27" w:rsidRPr="0013759F" w:rsidRDefault="00000000" w:rsidP="005267E5">
      <w:pPr>
        <w:pStyle w:val="Heading3"/>
        <w:spacing w:before="180"/>
      </w:pPr>
      <w:bookmarkStart w:id="17" w:name="Suggested_Disposition-2"/>
      <w:r w:rsidRPr="0013759F">
        <w:rPr>
          <w:rFonts w:ascii="Calibri" w:hAnsi="Calibri"/>
          <w:color w:val="444444"/>
          <w:sz w:val="24"/>
        </w:rPr>
        <w:t>Suggested Disposition</w:t>
      </w:r>
      <w:bookmarkEnd w:id="17"/>
    </w:p>
    <w:p w14:paraId="355BF18B" w14:textId="77777777" w:rsidR="00D25C27" w:rsidRPr="00CB6B08" w:rsidRDefault="00000000">
      <w:pPr>
        <w:spacing w:after="120" w:line="276" w:lineRule="auto"/>
        <w:rPr>
          <w:szCs w:val="28"/>
        </w:rPr>
      </w:pPr>
      <w:r w:rsidRPr="00CB6B08">
        <w:rPr>
          <w:szCs w:val="28"/>
        </w:rPr>
        <w:t>Urgent cardiology consultation and admission to a monitored bed</w:t>
      </w:r>
    </w:p>
    <w:p w14:paraId="234E2622" w14:textId="306679C9" w:rsidR="00D25C27" w:rsidRPr="0013759F" w:rsidRDefault="00000000" w:rsidP="005267E5">
      <w:pPr>
        <w:pStyle w:val="Heading1"/>
        <w:spacing w:before="360" w:after="240"/>
      </w:pPr>
      <w:bookmarkStart w:id="18" w:name="Quality_Metrics"/>
      <w:r w:rsidRPr="0013759F">
        <w:rPr>
          <w:rFonts w:ascii="Calibri" w:hAnsi="Calibri"/>
          <w:color w:val="004C99"/>
          <w:sz w:val="32"/>
        </w:rPr>
        <w:t>Quality Metrics</w:t>
      </w:r>
      <w:bookmarkEnd w:id="18"/>
    </w:p>
    <w:tbl>
      <w:tblPr>
        <w:tblW w:w="9026" w:type="dxa"/>
        <w:tblCellSpacing w:w="1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119"/>
        <w:gridCol w:w="5907"/>
      </w:tblGrid>
      <w:tr w:rsidR="00D25C27" w:rsidRPr="0013759F" w14:paraId="6F94EAE5" w14:textId="77777777" w:rsidTr="005267E5">
        <w:trPr>
          <w:tblCellSpacing w:w="10" w:type="dxa"/>
        </w:trPr>
        <w:tc>
          <w:tcPr>
            <w:tcW w:w="3089" w:type="dxa"/>
            <w:shd w:val="clear" w:color="auto" w:fill="4472C4"/>
            <w:vAlign w:val="center"/>
          </w:tcPr>
          <w:p w14:paraId="0819A884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b/>
                <w:color w:val="FFFFFF"/>
                <w:szCs w:val="28"/>
              </w:rPr>
              <w:t>Domain</w:t>
            </w:r>
          </w:p>
        </w:tc>
        <w:tc>
          <w:tcPr>
            <w:tcW w:w="5877" w:type="dxa"/>
            <w:shd w:val="clear" w:color="auto" w:fill="4472C4"/>
            <w:vAlign w:val="center"/>
          </w:tcPr>
          <w:p w14:paraId="5B629257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b/>
                <w:color w:val="FFFFFF"/>
                <w:szCs w:val="28"/>
              </w:rPr>
              <w:t>Indicator</w:t>
            </w:r>
          </w:p>
        </w:tc>
      </w:tr>
      <w:tr w:rsidR="00D25C27" w:rsidRPr="0013759F" w14:paraId="7A6A47EE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3F04447C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Utilization</w:t>
            </w:r>
          </w:p>
        </w:tc>
        <w:tc>
          <w:tcPr>
            <w:tcW w:w="5877" w:type="dxa"/>
            <w:vAlign w:val="center"/>
          </w:tcPr>
          <w:p w14:paraId="21C4151A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% of chest pain patients enrolled in pathway</w:t>
            </w:r>
          </w:p>
        </w:tc>
      </w:tr>
      <w:tr w:rsidR="00D25C27" w:rsidRPr="0013759F" w14:paraId="6DC632FF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5A566C39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Process</w:t>
            </w:r>
          </w:p>
        </w:tc>
        <w:tc>
          <w:tcPr>
            <w:tcW w:w="5877" w:type="dxa"/>
            <w:vAlign w:val="center"/>
          </w:tcPr>
          <w:p w14:paraId="40829CCD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Median door-to-ECG time (target ≤10 min)</w:t>
            </w:r>
          </w:p>
        </w:tc>
      </w:tr>
      <w:tr w:rsidR="00D25C27" w:rsidRPr="0013759F" w14:paraId="05AA846B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679F4843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Process</w:t>
            </w:r>
          </w:p>
        </w:tc>
        <w:tc>
          <w:tcPr>
            <w:tcW w:w="5877" w:type="dxa"/>
            <w:vAlign w:val="center"/>
          </w:tcPr>
          <w:p w14:paraId="64A41445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% of low-risk patients discharged after single hs-cTn</w:t>
            </w:r>
          </w:p>
        </w:tc>
      </w:tr>
      <w:tr w:rsidR="00D25C27" w:rsidRPr="0013759F" w14:paraId="03C39E1C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79A6BF2E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Outcome</w:t>
            </w:r>
          </w:p>
        </w:tc>
        <w:tc>
          <w:tcPr>
            <w:tcW w:w="5877" w:type="dxa"/>
            <w:vAlign w:val="center"/>
          </w:tcPr>
          <w:p w14:paraId="0D013E67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30-day MACE in discharged patients</w:t>
            </w:r>
          </w:p>
        </w:tc>
      </w:tr>
      <w:tr w:rsidR="00D25C27" w:rsidRPr="0013759F" w14:paraId="5AC452E0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02953D7E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Outcome</w:t>
            </w:r>
          </w:p>
        </w:tc>
        <w:tc>
          <w:tcPr>
            <w:tcW w:w="5877" w:type="dxa"/>
            <w:vAlign w:val="center"/>
          </w:tcPr>
          <w:p w14:paraId="3264A96C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72-hour return rate</w:t>
            </w:r>
          </w:p>
        </w:tc>
      </w:tr>
      <w:tr w:rsidR="00D25C27" w:rsidRPr="0013759F" w14:paraId="40E67CCD" w14:textId="77777777" w:rsidTr="005267E5">
        <w:trPr>
          <w:tblCellSpacing w:w="10" w:type="dxa"/>
        </w:trPr>
        <w:tc>
          <w:tcPr>
            <w:tcW w:w="3089" w:type="dxa"/>
            <w:vAlign w:val="center"/>
          </w:tcPr>
          <w:p w14:paraId="38AC4686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Satisfaction</w:t>
            </w:r>
          </w:p>
        </w:tc>
        <w:tc>
          <w:tcPr>
            <w:tcW w:w="5877" w:type="dxa"/>
            <w:vAlign w:val="center"/>
          </w:tcPr>
          <w:p w14:paraId="441A52C7" w14:textId="77777777" w:rsidR="00D25C27" w:rsidRPr="00CB6B08" w:rsidRDefault="00000000">
            <w:pPr>
              <w:rPr>
                <w:szCs w:val="28"/>
              </w:rPr>
            </w:pPr>
            <w:r w:rsidRPr="00CB6B08">
              <w:rPr>
                <w:szCs w:val="28"/>
              </w:rPr>
              <w:t>Physician and nursing satisfaction survey scores</w:t>
            </w:r>
          </w:p>
        </w:tc>
      </w:tr>
    </w:tbl>
    <w:p w14:paraId="654E9C83" w14:textId="77777777" w:rsidR="0067135B" w:rsidRPr="00CB6B08" w:rsidRDefault="0067135B" w:rsidP="0004382F">
      <w:pPr>
        <w:rPr>
          <w:szCs w:val="28"/>
          <w:lang w:val="en-US"/>
        </w:rPr>
      </w:pPr>
    </w:p>
    <w:sectPr w:rsidR="0067135B" w:rsidRPr="00CB6B08">
      <w:headerReference w:type="default" r:id="rId7"/>
      <w:footerReference w:type="default" r:id="rId8"/>
      <w:endnotePr>
        <w:numFmt w:val="decimal"/>
      </w:endnotePr>
      <w:pgSz w:w="11905" w:h="16837"/>
      <w:pgMar w:top="1440" w:right="1440" w:bottom="1440" w:left="1440" w:header="599" w:footer="579" w:gutter="0"/>
      <w:pgNumType w:start="1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3F423" w14:textId="77777777" w:rsidR="00145B45" w:rsidRDefault="00145B45">
      <w:r>
        <w:separator/>
      </w:r>
    </w:p>
  </w:endnote>
  <w:endnote w:type="continuationSeparator" w:id="0">
    <w:p w14:paraId="1A5CA25C" w14:textId="77777777" w:rsidR="00145B45" w:rsidRDefault="0014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Roman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054C" w14:textId="77777777" w:rsidR="00D25C27" w:rsidRDefault="00000000">
    <w:pPr>
      <w:jc w:val="center"/>
      <w:rPr>
        <w:rFonts w:ascii="Helvetica" w:hAnsi="Helvetica" w:cs="Helvetica"/>
      </w:rPr>
    </w:pPr>
    <w:r>
      <w:rPr>
        <w:rFonts w:ascii="Helvetica" w:hAnsi="Helvetica" w:cs="Helvetica"/>
      </w:rPr>
      <w:fldChar w:fldCharType="begin"/>
    </w:r>
    <w:r>
      <w:rPr>
        <w:rFonts w:ascii="Helvetica" w:hAnsi="Helvetica" w:cs="Helvetica"/>
        <w:sz w:val="24"/>
      </w:rPr>
      <w:instrText>PAGE \* MERGEFORMAT</w:instrText>
    </w:r>
    <w:r>
      <w:rPr>
        <w:rFonts w:ascii="Helvetica" w:hAnsi="Helvetica" w:cs="Helvetica"/>
      </w:rPr>
      <w:fldChar w:fldCharType="separate"/>
    </w:r>
    <w:r>
      <w:rPr>
        <w:rFonts w:ascii="Helvetica" w:hAnsi="Helvetica" w:cs="Helvetica"/>
        <w:sz w:val="24"/>
      </w:rPr>
      <w:t>1</w:t>
    </w:r>
    <w:r>
      <w:rPr>
        <w:rFonts w:ascii="Helvetica" w:hAnsi="Helvetica" w:cs="Helveti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D818" w14:textId="77777777" w:rsidR="00145B45" w:rsidRDefault="00145B45">
      <w:r>
        <w:separator/>
      </w:r>
    </w:p>
  </w:footnote>
  <w:footnote w:type="continuationSeparator" w:id="0">
    <w:p w14:paraId="5E8EE456" w14:textId="77777777" w:rsidR="00145B45" w:rsidRDefault="00145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D181" w14:textId="77777777" w:rsidR="00205974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AFE"/>
    <w:multiLevelType w:val="hybridMultilevel"/>
    <w:tmpl w:val="ACF2764C"/>
    <w:lvl w:ilvl="0" w:tplc="C0482116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C538725C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8E9EEFEE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33E66D42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F9409E44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2F042160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DFD0B8EE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1F042D38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44CC95F8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1" w15:restartNumberingAfterBreak="0">
    <w:nsid w:val="0ED243AE"/>
    <w:multiLevelType w:val="hybridMultilevel"/>
    <w:tmpl w:val="6D84F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A04C8"/>
    <w:multiLevelType w:val="hybridMultilevel"/>
    <w:tmpl w:val="53E03502"/>
    <w:lvl w:ilvl="0" w:tplc="D7543EF4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6E680B16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8CC602FE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492445CA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CD6AD52A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4E6AB694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F522C484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89DA1574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695686CE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3" w15:restartNumberingAfterBreak="0">
    <w:nsid w:val="0F931DF2"/>
    <w:multiLevelType w:val="hybridMultilevel"/>
    <w:tmpl w:val="1FF8F960"/>
    <w:lvl w:ilvl="0" w:tplc="88E2B72A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69F0A3B0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47829FD0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96BC32F2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D3D4E8BE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81CC17F4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342492CC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11B24644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2730B64E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4" w15:restartNumberingAfterBreak="0">
    <w:nsid w:val="265D7BF2"/>
    <w:multiLevelType w:val="hybridMultilevel"/>
    <w:tmpl w:val="9AEE3CD0"/>
    <w:lvl w:ilvl="0" w:tplc="4FA8546A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C55AA86A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7982CE2A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B68E04E2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A4780E94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9C2CE33C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F0184C52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67022B2E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096CCD4C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5" w15:restartNumberingAfterBreak="0">
    <w:nsid w:val="26C1795B"/>
    <w:multiLevelType w:val="hybridMultilevel"/>
    <w:tmpl w:val="CC882750"/>
    <w:lvl w:ilvl="0" w:tplc="9C5AD492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87BE1D1E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60867776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4D32F63E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696CC16E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52AE3488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D388876E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0E3EB132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40626598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6" w15:restartNumberingAfterBreak="0">
    <w:nsid w:val="29084DF7"/>
    <w:multiLevelType w:val="hybridMultilevel"/>
    <w:tmpl w:val="6C40703A"/>
    <w:lvl w:ilvl="0" w:tplc="BED45C5C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B12EC95A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39C80B0E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7DA6EBDA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B380AD36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7BE44C64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2108B4C8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F3F82AC8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817CD22A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7" w15:restartNumberingAfterBreak="0">
    <w:nsid w:val="306F4C17"/>
    <w:multiLevelType w:val="hybridMultilevel"/>
    <w:tmpl w:val="BADAB80C"/>
    <w:lvl w:ilvl="0" w:tplc="3954AF42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EC5C3266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FF946A84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C5F01254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9F0C2B40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9BF22318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B1C690B0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5686E9E4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8FD69BCA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8" w15:restartNumberingAfterBreak="0">
    <w:nsid w:val="519B72C4"/>
    <w:multiLevelType w:val="hybridMultilevel"/>
    <w:tmpl w:val="2D5C96AC"/>
    <w:lvl w:ilvl="0" w:tplc="C4B4CF1A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9F0E80D4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BDA4B1A2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27AAFC30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4D9E3BA8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28269A78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9C48F36C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048001E4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E09692DA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abstractNum w:abstractNumId="9" w15:restartNumberingAfterBreak="0">
    <w:nsid w:val="534718DC"/>
    <w:multiLevelType w:val="hybridMultilevel"/>
    <w:tmpl w:val="C8FCF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62DB0"/>
    <w:multiLevelType w:val="hybridMultilevel"/>
    <w:tmpl w:val="EF32E4DA"/>
    <w:lvl w:ilvl="0" w:tplc="2ED40222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18605F08">
      <w:start w:val="1"/>
      <w:numFmt w:val="bullet"/>
      <w:lvlText w:val="o"/>
      <w:lvlJc w:val="left"/>
      <w:pPr>
        <w:ind w:left="1440" w:hanging="500"/>
      </w:pPr>
      <w:rPr>
        <w:rFonts w:ascii="Courier New" w:hAnsi="Courier New" w:cs="Courier New"/>
      </w:rPr>
    </w:lvl>
    <w:lvl w:ilvl="2" w:tplc="2CB2FC72">
      <w:start w:val="1"/>
      <w:numFmt w:val="bullet"/>
      <w:lvlText w:val=""/>
      <w:lvlJc w:val="left"/>
      <w:pPr>
        <w:ind w:left="2160" w:hanging="500"/>
      </w:pPr>
      <w:rPr>
        <w:rFonts w:ascii="Symbol" w:hAnsi="Symbol" w:hint="default"/>
      </w:rPr>
    </w:lvl>
    <w:lvl w:ilvl="3" w:tplc="689CC6BA">
      <w:start w:val="1"/>
      <w:numFmt w:val="bullet"/>
      <w:lvlText w:val="o"/>
      <w:lvlJc w:val="left"/>
      <w:pPr>
        <w:ind w:left="2880" w:hanging="500"/>
      </w:pPr>
      <w:rPr>
        <w:rFonts w:ascii="Courier New" w:hAnsi="Courier New" w:cs="Courier New"/>
      </w:rPr>
    </w:lvl>
    <w:lvl w:ilvl="4" w:tplc="78D02A4E">
      <w:start w:val="1"/>
      <w:numFmt w:val="bullet"/>
      <w:lvlText w:val=""/>
      <w:lvlJc w:val="left"/>
      <w:pPr>
        <w:ind w:left="3600" w:hanging="500"/>
      </w:pPr>
      <w:rPr>
        <w:rFonts w:ascii="Symbol" w:hAnsi="Symbol" w:hint="default"/>
      </w:rPr>
    </w:lvl>
    <w:lvl w:ilvl="5" w:tplc="40FA145A">
      <w:start w:val="1"/>
      <w:numFmt w:val="bullet"/>
      <w:lvlText w:val="o"/>
      <w:lvlJc w:val="left"/>
      <w:pPr>
        <w:ind w:left="4320" w:hanging="500"/>
      </w:pPr>
      <w:rPr>
        <w:rFonts w:ascii="Courier New" w:hAnsi="Courier New" w:cs="Courier New"/>
      </w:rPr>
    </w:lvl>
    <w:lvl w:ilvl="6" w:tplc="1D1E833A">
      <w:start w:val="1"/>
      <w:numFmt w:val="bullet"/>
      <w:lvlText w:val=""/>
      <w:lvlJc w:val="left"/>
      <w:pPr>
        <w:ind w:left="5040" w:hanging="500"/>
      </w:pPr>
      <w:rPr>
        <w:rFonts w:ascii="Symbol" w:hAnsi="Symbol" w:hint="default"/>
      </w:rPr>
    </w:lvl>
    <w:lvl w:ilvl="7" w:tplc="C504AB52">
      <w:start w:val="1"/>
      <w:numFmt w:val="bullet"/>
      <w:lvlText w:val="o"/>
      <w:lvlJc w:val="left"/>
      <w:pPr>
        <w:ind w:left="5760" w:hanging="500"/>
      </w:pPr>
      <w:rPr>
        <w:rFonts w:ascii="Courier New" w:hAnsi="Courier New" w:cs="Courier New"/>
      </w:rPr>
    </w:lvl>
    <w:lvl w:ilvl="8" w:tplc="FD460CE0">
      <w:start w:val="1"/>
      <w:numFmt w:val="bullet"/>
      <w:lvlText w:val=""/>
      <w:lvlJc w:val="left"/>
      <w:pPr>
        <w:ind w:left="6480" w:hanging="500"/>
      </w:pPr>
      <w:rPr>
        <w:rFonts w:ascii="Symbol" w:hAnsi="Symbol" w:hint="default"/>
      </w:rPr>
    </w:lvl>
  </w:abstractNum>
  <w:abstractNum w:abstractNumId="11" w15:restartNumberingAfterBreak="0">
    <w:nsid w:val="7AF30920"/>
    <w:multiLevelType w:val="hybridMultilevel"/>
    <w:tmpl w:val="A410A4D0"/>
    <w:lvl w:ilvl="0" w:tplc="5094B6F8">
      <w:start w:val="1"/>
      <w:numFmt w:val="bullet"/>
      <w:lvlText w:val=""/>
      <w:lvlJc w:val="left"/>
      <w:pPr>
        <w:ind w:left="720" w:hanging="500"/>
      </w:pPr>
      <w:rPr>
        <w:rFonts w:ascii="Symbol" w:hAnsi="Symbol" w:hint="default"/>
      </w:rPr>
    </w:lvl>
    <w:lvl w:ilvl="1" w:tplc="D9EE09FC">
      <w:start w:val="1"/>
      <w:numFmt w:val="bullet"/>
      <w:lvlText w:val=""/>
      <w:lvlJc w:val="left"/>
      <w:pPr>
        <w:ind w:left="1220" w:hanging="500"/>
      </w:pPr>
      <w:rPr>
        <w:rFonts w:ascii="Symbol" w:hAnsi="Symbol" w:hint="default"/>
      </w:rPr>
    </w:lvl>
    <w:lvl w:ilvl="2" w:tplc="57B65604">
      <w:start w:val="1"/>
      <w:numFmt w:val="bullet"/>
      <w:lvlText w:val=""/>
      <w:lvlJc w:val="left"/>
      <w:pPr>
        <w:ind w:left="1720" w:hanging="500"/>
      </w:pPr>
      <w:rPr>
        <w:rFonts w:ascii="Symbol" w:hAnsi="Symbol" w:hint="default"/>
      </w:rPr>
    </w:lvl>
    <w:lvl w:ilvl="3" w:tplc="6A2A31B6">
      <w:start w:val="1"/>
      <w:numFmt w:val="bullet"/>
      <w:lvlText w:val=""/>
      <w:lvlJc w:val="left"/>
      <w:pPr>
        <w:ind w:left="2220" w:hanging="500"/>
      </w:pPr>
      <w:rPr>
        <w:rFonts w:ascii="Symbol" w:hAnsi="Symbol" w:hint="default"/>
      </w:rPr>
    </w:lvl>
    <w:lvl w:ilvl="4" w:tplc="65BA14A4">
      <w:start w:val="1"/>
      <w:numFmt w:val="bullet"/>
      <w:lvlText w:val=""/>
      <w:lvlJc w:val="left"/>
      <w:pPr>
        <w:ind w:left="2720" w:hanging="500"/>
      </w:pPr>
      <w:rPr>
        <w:rFonts w:ascii="Symbol" w:hAnsi="Symbol" w:hint="default"/>
      </w:rPr>
    </w:lvl>
    <w:lvl w:ilvl="5" w:tplc="1D2CA06C">
      <w:start w:val="1"/>
      <w:numFmt w:val="bullet"/>
      <w:lvlText w:val=""/>
      <w:lvlJc w:val="left"/>
      <w:pPr>
        <w:ind w:left="3220" w:hanging="500"/>
      </w:pPr>
      <w:rPr>
        <w:rFonts w:ascii="Symbol" w:hAnsi="Symbol" w:hint="default"/>
      </w:rPr>
    </w:lvl>
    <w:lvl w:ilvl="6" w:tplc="FD5691D2">
      <w:start w:val="1"/>
      <w:numFmt w:val="bullet"/>
      <w:lvlText w:val=""/>
      <w:lvlJc w:val="left"/>
      <w:pPr>
        <w:ind w:left="3720" w:hanging="500"/>
      </w:pPr>
      <w:rPr>
        <w:rFonts w:ascii="Symbol" w:hAnsi="Symbol" w:hint="default"/>
      </w:rPr>
    </w:lvl>
    <w:lvl w:ilvl="7" w:tplc="AF8E7F32">
      <w:start w:val="1"/>
      <w:numFmt w:val="bullet"/>
      <w:lvlText w:val=""/>
      <w:lvlJc w:val="left"/>
      <w:pPr>
        <w:ind w:left="4220" w:hanging="500"/>
      </w:pPr>
      <w:rPr>
        <w:rFonts w:ascii="Symbol" w:hAnsi="Symbol" w:hint="default"/>
      </w:rPr>
    </w:lvl>
    <w:lvl w:ilvl="8" w:tplc="0F3835C0">
      <w:start w:val="1"/>
      <w:numFmt w:val="bullet"/>
      <w:lvlText w:val=""/>
      <w:lvlJc w:val="left"/>
      <w:pPr>
        <w:ind w:left="4720" w:hanging="500"/>
      </w:pPr>
      <w:rPr>
        <w:rFonts w:ascii="Symbol" w:hAnsi="Symbol" w:hint="default"/>
      </w:rPr>
    </w:lvl>
  </w:abstractNum>
  <w:num w:numId="1" w16cid:durableId="1164779081">
    <w:abstractNumId w:val="11"/>
  </w:num>
  <w:num w:numId="2" w16cid:durableId="2145998537">
    <w:abstractNumId w:val="3"/>
  </w:num>
  <w:num w:numId="3" w16cid:durableId="469130903">
    <w:abstractNumId w:val="5"/>
  </w:num>
  <w:num w:numId="4" w16cid:durableId="1326711282">
    <w:abstractNumId w:val="8"/>
  </w:num>
  <w:num w:numId="5" w16cid:durableId="1360164734">
    <w:abstractNumId w:val="2"/>
  </w:num>
  <w:num w:numId="6" w16cid:durableId="1322853017">
    <w:abstractNumId w:val="10"/>
  </w:num>
  <w:num w:numId="7" w16cid:durableId="469788841">
    <w:abstractNumId w:val="0"/>
  </w:num>
  <w:num w:numId="8" w16cid:durableId="84424682">
    <w:abstractNumId w:val="6"/>
  </w:num>
  <w:num w:numId="9" w16cid:durableId="2096704883">
    <w:abstractNumId w:val="4"/>
  </w:num>
  <w:num w:numId="10" w16cid:durableId="137496164">
    <w:abstractNumId w:val="7"/>
  </w:num>
  <w:num w:numId="11" w16cid:durableId="1405303051">
    <w:abstractNumId w:val="1"/>
  </w:num>
  <w:num w:numId="12" w16cid:durableId="1903565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C27"/>
    <w:rsid w:val="0001336F"/>
    <w:rsid w:val="0004382F"/>
    <w:rsid w:val="0013759F"/>
    <w:rsid w:val="00145B45"/>
    <w:rsid w:val="00205974"/>
    <w:rsid w:val="002701FB"/>
    <w:rsid w:val="00430078"/>
    <w:rsid w:val="005267E5"/>
    <w:rsid w:val="00651641"/>
    <w:rsid w:val="0067135B"/>
    <w:rsid w:val="007A6E0A"/>
    <w:rsid w:val="007C2988"/>
    <w:rsid w:val="009E1DA8"/>
    <w:rsid w:val="00A9327B"/>
    <w:rsid w:val="00C67824"/>
    <w:rsid w:val="00CB6B08"/>
    <w:rsid w:val="00D25C27"/>
    <w:rsid w:val="00D32950"/>
    <w:rsid w:val="00F0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1CD51"/>
  <w15:docId w15:val="{394D949F-B140-F942-8F59-B8BF9612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Roman" w:eastAsia="Times New Roman" w:hAnsi="Times Roman" w:cs="Times Roman"/>
        <w:sz w:val="24"/>
        <w:lang w:val="en-S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82F"/>
    <w:rPr>
      <w:rFonts w:ascii="Calibri" w:hAnsi="Calibri"/>
      <w:sz w:val="22"/>
    </w:rPr>
  </w:style>
  <w:style w:type="paragraph" w:styleId="Heading1">
    <w:name w:val="heading 1"/>
    <w:uiPriority w:val="9"/>
    <w:qFormat/>
    <w:rsid w:val="005267E5"/>
    <w:pPr>
      <w:keepNext/>
      <w:keepLines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before="260" w:line="263" w:lineRule="auto"/>
      <w:outlineLvl w:val="0"/>
    </w:pPr>
    <w:rPr>
      <w:rFonts w:ascii="Palatino" w:hAnsi="Palatino" w:cs="Palatino"/>
      <w:b/>
      <w:sz w:val="48"/>
    </w:rPr>
  </w:style>
  <w:style w:type="paragraph" w:styleId="Heading2">
    <w:name w:val="heading 2"/>
    <w:uiPriority w:val="9"/>
    <w:unhideWhenUsed/>
    <w:qFormat/>
    <w:rsid w:val="0013759F"/>
    <w:pPr>
      <w:keepNext/>
      <w:keepLines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before="260" w:line="263" w:lineRule="auto"/>
      <w:outlineLvl w:val="1"/>
    </w:pPr>
    <w:rPr>
      <w:rFonts w:ascii="Palatino" w:hAnsi="Palatino" w:cs="Palatino"/>
      <w:b/>
      <w:sz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59F"/>
    <w:pPr>
      <w:keepNext/>
      <w:keepLines/>
      <w:spacing w:before="40" w:after="120"/>
      <w:outlineLvl w:val="2"/>
    </w:pPr>
    <w:rPr>
      <w:rFonts w:asciiTheme="majorBidi" w:eastAsiaTheme="majorEastAsia" w:hAnsiTheme="majorBidi" w:cstheme="majorBidi"/>
      <w:b/>
      <w:color w:val="0A2F4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759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3759F"/>
    <w:rPr>
      <w:rFonts w:asciiTheme="majorBidi" w:eastAsiaTheme="majorEastAsia" w:hAnsiTheme="majorBidi" w:cstheme="majorBidi"/>
      <w:b/>
      <w:color w:val="0A2F40" w:themeColor="accent1" w:themeShade="7F"/>
      <w:sz w:val="36"/>
      <w:szCs w:val="24"/>
    </w:rPr>
  </w:style>
  <w:style w:type="paragraph" w:styleId="ListParagraph">
    <w:name w:val="List Paragraph"/>
    <w:basedOn w:val="Normal"/>
    <w:uiPriority w:val="34"/>
    <w:qFormat/>
    <w:rsid w:val="00526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Chest Pain Pathway</vt:lpstr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Chest Pain Pathway</dc:title>
  <cp:lastModifiedBy>Majed Althagafi</cp:lastModifiedBy>
  <cp:revision>4</cp:revision>
  <dcterms:created xsi:type="dcterms:W3CDTF">2025-11-18T16:53:00Z</dcterms:created>
  <dcterms:modified xsi:type="dcterms:W3CDTF">2025-11-18T18:03:00Z</dcterms:modified>
</cp:coreProperties>
</file>