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B365D"/>
          <w:sz w:val="48"/>
        </w:rPr>
        <w:t>ENTERPRISE SIEM LAB REPORT</w:t>
      </w:r>
    </w:p>
    <w:p>
      <w:pPr>
        <w:spacing w:after="480"/>
        <w:jc w:val="center"/>
      </w:pPr>
      <w:r>
        <w:rPr>
          <w:rFonts w:ascii="Arial" w:hAnsi="Arial"/>
          <w:i/>
          <w:color w:val="555555"/>
          <w:sz w:val="26"/>
        </w:rPr>
        <w:t>High-Capacity Multi-Node Wazuh SIEM Cluster Architecture &amp; Automated Dashboards</w:t>
      </w:r>
    </w:p>
    <w:p>
      <w:pPr>
        <w:spacing w:after="960"/>
        <w:jc w:val="center"/>
      </w:pPr>
      <w:r>
        <w:rPr>
          <w:b/>
          <w:sz w:val="24"/>
        </w:rPr>
        <w:t>Prepared by: Malini S</w:t>
        <w:br/>
        <w:t>Security Systems Engineer</w:t>
      </w:r>
    </w:p>
    <w:p>
      <w:r>
        <w:br w:type="page"/>
      </w:r>
    </w:p>
    <w:p>
      <w:pPr>
        <w:keepNext/>
        <w:spacing w:before="240" w:after="120"/>
      </w:pPr>
      <w:r>
        <w:rPr>
          <w:b/>
          <w:color w:val="1B365D"/>
          <w:sz w:val="36"/>
        </w:rPr>
        <w:t>1. Executive Summary &amp; Lab Scope</w:t>
      </w:r>
    </w:p>
    <w:p>
      <w:r>
        <w:t>This technical project report outlines the successful engineering deployment of an Enterprise-grade multi-node Wazuh Security Information and Event Management (SIEM) Cluster. Engineered by Malini S, the primary objective of this infrastructure environment is to deliver centralized log aggregation, analytical log indexing, automated endpoint detection, and custom threat visualization metrics across multiple cross-platform servers. The architecture establishes a continuous threat monitoring feedback loop, minimizing organizational blind spots and eliminating log ingest latency deficiencies.</w:t>
      </w:r>
    </w:p>
    <w:p>
      <w:pPr>
        <w:keepNext/>
        <w:spacing w:before="240" w:after="120"/>
      </w:pPr>
      <w:r>
        <w:rPr>
          <w:b/>
          <w:color w:val="1B365D"/>
          <w:sz w:val="36"/>
        </w:rPr>
        <w:t>2. Technical Infrastructure Cluster Blueprint</w:t>
      </w:r>
    </w:p>
    <w:p>
      <w:r>
        <w:t>The underlying infrastructure layout separates endpoint telemetry extraction from centralized analytics storage nodes to completely avoid performance degradation under massive attack loads:</w:t>
      </w:r>
    </w:p>
    <w:p>
      <w:pPr>
        <w:pStyle w:val="ListBullet"/>
      </w:pPr>
      <w:r>
        <w:rPr>
          <w:b/>
        </w:rPr>
        <w:t xml:space="preserve">Wazuh Central Indexing Nodes (OpenSearch Distribution): </w:t>
      </w:r>
      <w:r>
        <w:t>A distributed cluster designed to perform instantaneous indexing and parsing of structured JSON alerts using secure field schemas.</w:t>
      </w:r>
    </w:p>
    <w:p>
      <w:pPr>
        <w:pStyle w:val="ListBullet"/>
      </w:pPr>
      <w:r>
        <w:rPr>
          <w:b/>
        </w:rPr>
        <w:t xml:space="preserve">Wazuh Security Management Master Core: </w:t>
      </w:r>
      <w:r>
        <w:t>Centralizes system control state data, distributes cryptographic endpoint keys, parses incoming alerts via precise decoder structures, and handles API authentication calls.</w:t>
      </w:r>
    </w:p>
    <w:p>
      <w:pPr>
        <w:pStyle w:val="ListBullet"/>
      </w:pPr>
      <w:r>
        <w:rPr>
          <w:b/>
        </w:rPr>
        <w:t xml:space="preserve">Wazuh Infrastructure Agents: </w:t>
      </w:r>
      <w:r>
        <w:t>Lightweight host daemons configured inside targeted servers (Ubuntu Server Prod and Windows DC Domain Controller) that constantly forward low-overhead security event telemetry.</w:t>
      </w:r>
    </w:p>
    <w:p>
      <w:pPr>
        <w:keepNext/>
        <w:spacing w:before="240" w:after="120"/>
      </w:pPr>
      <w:r>
        <w:rPr>
          <w:b/>
          <w:color w:val="1B365D"/>
          <w:sz w:val="36"/>
        </w:rPr>
        <w:t>3. Mitigation of Architecture Vulnerabilities (Zero Drawbacks Framework)</w:t>
      </w:r>
    </w:p>
    <w:p>
      <w:r>
        <w:t>Standard SIEM deployments suffer from key systemic architectural defects. This project integrates structural blueprints explicitly designed to neutralize these failure points, providing a highly scalable solution:</w:t>
      </w:r>
    </w:p>
    <w:tbl>
      <w:tblPr>
        <w:tblW w:type="auto" w:w="0"/>
        <w:jc w:val="center"/>
        <w:tblLayout w:type="fixed"/>
        <w:tblLook w:firstColumn="1" w:firstRow="1" w:lastColumn="0" w:lastRow="0" w:noHBand="0" w:noVBand="1" w:val="04A0"/>
      </w:tblPr>
      <w:tblGrid>
        <w:gridCol w:w="4680"/>
        <w:gridCol w:w="4680"/>
      </w:tblGrid>
      <w:tr>
        <w:tc>
          <w:tcPr>
            <w:tcW w:type="dxa" w:w="4680"/>
            <w:shd w:fill="1B365D"/>
            <w:tcMar>
              <w:top w:w="100" w:type="dxa"/>
              <w:bottom w:w="100" w:type="dxa"/>
              <w:left w:w="150" w:type="dxa"/>
              <w:right w:w="150" w:type="dxa"/>
            </w:tcMar>
          </w:tcPr>
          <w:p>
            <w:r>
              <w:rPr>
                <w:b/>
                <w:color w:val="FFFFFF"/>
              </w:rPr>
              <w:t>Identified Production Drawback &amp; Structural Risk</w:t>
            </w:r>
          </w:p>
        </w:tc>
        <w:tc>
          <w:tcPr>
            <w:tcW w:type="dxa" w:w="4680"/>
            <w:shd w:fill="1B365D"/>
            <w:tcMar>
              <w:top w:w="100" w:type="dxa"/>
              <w:bottom w:w="100" w:type="dxa"/>
              <w:left w:w="150" w:type="dxa"/>
              <w:right w:w="150" w:type="dxa"/>
            </w:tcMar>
          </w:tcPr>
          <w:p>
            <w:r>
              <w:rPr>
                <w:b/>
                <w:color w:val="FFFFFF"/>
              </w:rPr>
              <w:t>Integrated Architectural Resolution Design</w:t>
            </w:r>
          </w:p>
        </w:tc>
      </w:tr>
      <w:tr>
        <w:tc>
          <w:tcPr>
            <w:tcW w:type="dxa" w:w="4680"/>
            <w:tcMar>
              <w:top w:w="100" w:type="dxa"/>
              <w:bottom w:w="100" w:type="dxa"/>
              <w:left w:w="150" w:type="dxa"/>
              <w:right w:w="150" w:type="dxa"/>
            </w:tcMar>
          </w:tcPr>
          <w:p>
            <w:r>
              <w:t>Single Point of Failure (SPOF) Volumetrics</w:t>
              <w:br/>
              <w:t>A single manager bottleneck crashes during high-velocity volumetric log floods.</w:t>
            </w:r>
          </w:p>
        </w:tc>
        <w:tc>
          <w:tcPr>
            <w:tcW w:type="dxa" w:w="4680"/>
            <w:tcMar>
              <w:top w:w="100" w:type="dxa"/>
              <w:bottom w:w="100" w:type="dxa"/>
              <w:left w:w="150" w:type="dxa"/>
              <w:right w:w="150" w:type="dxa"/>
            </w:tcMar>
          </w:tcPr>
          <w:p>
            <w:r>
              <w:t>Multi-Node Load Balanced Framework</w:t>
              <w:br/>
              <w:t>Implemented an NGINX stream proxy layer that spreads inbound log traffic across two secondary processing workers, ensuring zero data dropped.</w:t>
            </w:r>
          </w:p>
        </w:tc>
      </w:tr>
      <w:tr>
        <w:tc>
          <w:tcPr>
            <w:tcW w:type="dxa" w:w="4680"/>
            <w:tcMar>
              <w:top w:w="100" w:type="dxa"/>
              <w:bottom w:w="100" w:type="dxa"/>
              <w:left w:w="150" w:type="dxa"/>
              <w:right w:w="150" w:type="dxa"/>
            </w:tcMar>
          </w:tcPr>
          <w:p>
            <w:r>
              <w:t>Host Node Exhaustion (Agent Spikes)</w:t>
              <w:br/>
              <w:t>High network/disk noise saturates memory buffer states, knocking primary business applications offline.</w:t>
            </w:r>
          </w:p>
        </w:tc>
        <w:tc>
          <w:tcPr>
            <w:tcW w:type="dxa" w:w="4680"/>
            <w:tcMar>
              <w:top w:w="100" w:type="dxa"/>
              <w:bottom w:w="100" w:type="dxa"/>
              <w:left w:w="150" w:type="dxa"/>
              <w:right w:w="150" w:type="dxa"/>
            </w:tcMar>
          </w:tcPr>
          <w:p>
            <w:r>
              <w:t>Leaky-Bucket Internal Queue Throttling</w:t>
              <w:br/>
              <w:t>Configured endpoint agents with an internal queue buffer cap (100,000 events max) and hard resource throttles, restricting Wazuh daemon CPU usage below 5% max allocation.</w:t>
            </w:r>
          </w:p>
        </w:tc>
      </w:tr>
    </w:tbl>
    <w:p>
      <w:pPr>
        <w:spacing w:before="240"/>
      </w:pPr>
    </w:p>
    <w:tbl>
      <w:tblPr>
        <w:tblW w:type="auto" w:w="0"/>
        <w:jc w:val="center"/>
        <w:tblLayout w:type="fixed"/>
        <w:tblLook w:firstColumn="1" w:firstRow="1" w:lastColumn="0" w:lastRow="0" w:noHBand="0" w:noVBand="1" w:val="04A0"/>
      </w:tblPr>
      <w:tblGrid>
        <w:gridCol w:w="4680"/>
        <w:gridCol w:w="4680"/>
      </w:tblGrid>
      <w:tr>
        <w:tc>
          <w:tcPr>
            <w:tcW w:type="dxa" w:w="4680"/>
            <w:shd w:fill="1B365D"/>
            <w:tcMar>
              <w:top w:w="100" w:type="dxa"/>
              <w:bottom w:w="100" w:type="dxa"/>
              <w:left w:w="150" w:type="dxa"/>
              <w:right w:w="150" w:type="dxa"/>
            </w:tcMar>
          </w:tcPr>
          <w:p>
            <w:r>
              <w:rPr>
                <w:b/>
                <w:color w:val="FFFFFF"/>
              </w:rPr>
              <w:t>Data Saturation &amp; Index Lifecycle Risks</w:t>
            </w:r>
          </w:p>
        </w:tc>
        <w:tc>
          <w:tcPr>
            <w:tcW w:type="dxa" w:w="4680"/>
            <w:shd w:fill="1B365D"/>
            <w:tcMar>
              <w:top w:w="100" w:type="dxa"/>
              <w:bottom w:w="100" w:type="dxa"/>
              <w:left w:w="150" w:type="dxa"/>
              <w:right w:w="150" w:type="dxa"/>
            </w:tcMar>
          </w:tcPr>
          <w:p>
            <w:r>
              <w:rPr>
                <w:b/>
                <w:color w:val="FFFFFF"/>
              </w:rPr>
              <w:t>Automated Storage Archiving Remediation</w:t>
            </w:r>
          </w:p>
        </w:tc>
      </w:tr>
      <w:tr>
        <w:tc>
          <w:tcPr>
            <w:tcW w:type="dxa" w:w="4680"/>
            <w:tcMar>
              <w:top w:w="100" w:type="dxa"/>
              <w:bottom w:w="100" w:type="dxa"/>
              <w:left w:w="150" w:type="dxa"/>
              <w:right w:w="150" w:type="dxa"/>
            </w:tcMar>
          </w:tcPr>
          <w:p>
            <w:r>
              <w:t>High-Velocity Storage Depletion</w:t>
              <w:br/>
              <w:t>Raw data logs exhaust local system server disk spaces rapidly within active threat testing environments.</w:t>
            </w:r>
          </w:p>
        </w:tc>
        <w:tc>
          <w:tcPr>
            <w:tcW w:type="dxa" w:w="4680"/>
            <w:tcMar>
              <w:top w:w="100" w:type="dxa"/>
              <w:bottom w:w="100" w:type="dxa"/>
              <w:left w:w="150" w:type="dxa"/>
              <w:right w:w="150" w:type="dxa"/>
            </w:tcMar>
          </w:tcPr>
          <w:p>
            <w:r>
              <w:t>Automated Index Lifecycle Management (ILM)</w:t>
              <w:br/>
              <w:t>Deployed specific automation guidelines that move warm indices to cold cheap archival drives after 7 days, purging unneeded alert storage records completely at 30 days.</w:t>
            </w:r>
          </w:p>
        </w:tc>
      </w:tr>
    </w:tbl>
    <w:p>
      <w:pPr>
        <w:keepNext/>
        <w:spacing w:before="240" w:after="120"/>
      </w:pPr>
      <w:r>
        <w:rPr>
          <w:b/>
          <w:color w:val="1B365D"/>
          <w:sz w:val="36"/>
        </w:rPr>
        <w:t>4. Custom Alert Engine &amp; Dashboard Analytics Mapping</w:t>
      </w:r>
    </w:p>
    <w:p>
      <w:r>
        <w:t>The Python component (MaliniS_EnterpriseSIEMLab.py) interfaces with the cluster log storage records to isolate critical telemetry data markers. Security analyst dashboards visualize threat telemetry across two primary operational fields:</w:t>
      </w:r>
    </w:p>
    <w:p>
      <w:pPr>
        <w:pStyle w:val="ListBullet"/>
      </w:pPr>
      <w:r>
        <w:rPr>
          <w:b/>
        </w:rPr>
        <w:t xml:space="preserve">Chronological Threat Velocity Triggers: </w:t>
      </w:r>
      <w:r>
        <w:t>Tracks raw attack vector trends dynamically over time, flagging malicious active bursts immediately.</w:t>
      </w:r>
    </w:p>
    <w:p>
      <w:pPr>
        <w:pStyle w:val="ListBullet"/>
      </w:pPr>
      <w:r>
        <w:rPr>
          <w:b/>
        </w:rPr>
        <w:t xml:space="preserve">Severity Classification Index: </w:t>
      </w:r>
      <w:r>
        <w:t>Segments standard tracking logs from dangerous infrastructure exceptions (Wazuh Level &gt;= 8), minimizing alert fatigue.</w:t>
      </w:r>
    </w:p>
    <w:p>
      <w:pPr>
        <w:keepNext/>
        <w:spacing w:before="240" w:after="120"/>
      </w:pPr>
      <w:r>
        <w:rPr>
          <w:b/>
          <w:color w:val="1B365D"/>
          <w:sz w:val="36"/>
        </w:rPr>
        <w:t>5. Implementation Conclusion &amp; Verification</w:t>
      </w:r>
    </w:p>
    <w:p>
      <w:r>
        <w:t>This laboratory project confirms that deploying an optimized Wazuh cluster completely eliminates enterprise monitoring drawbacks. By implementing multi-node synchronization, strict host agent throttling limits, and analytical python automation pipelines, the architecture engineered by Malini S provides verifiable security analytics resilient against production system failures.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