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Mapeo de citas pendientes — Tesis de Malena Sol Alamo</w:t>
      </w:r>
    </w:p>
    <w:p>
      <w:r>
        <w:rPr>
          <w:rFonts w:ascii="Arial" w:cs="Arial" w:eastAsia="Arial" w:hAnsi="Arial"/>
          <w:sz w:val="20"/>
          <w:szCs w:val="20"/>
        </w:rPr>
        <w:t xml:space="preserve">Este documento identifica cada afirmación de la tesis que requiere una cita bibliográfica, la sección y página donde aparece, la clave del .bib recomendada y la justificación académica de esa elección. Las celdas con varias claves separadas por «o bien» indican alternativas; las separadas por salto de línea indican que deben citarse todas.</w:t>
      </w:r>
    </w:p>
    <w:p>
      <w:r>
        <w:rPr>
          <w:rFonts w:ascii="Arial" w:cs="Arial" w:eastAsia="Arial" w:hAnsi="Arial"/>
          <w:i/>
          <w:iCs/>
          <w:sz w:val="18"/>
          <w:szCs w:val="18"/>
        </w:rPr>
        <w:t xml:space="preserve">Convenciones: ① los números en la columna «#» corresponden al orden de aparición en el texto; ② «pendiente» en la sección indica que la tesis tiene un comentario marginal o un [?] explícito; ③ cuando la clave del .bib indica un trabajo «en preparación» (care2025, gonzalez2025) verificar que la referencia esté aceptada o acordar con los directores el formato de citación.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1800"/>
        <w:gridCol w:w="2360"/>
      </w:tblGrid>
      <w:tr>
        <w:tc>
          <w:tcPr>
            <w:tcW w:type="dxa" w:w="1000"/>
            <w:tcBorders>
              <w:top w:val="single" w:color="AAAAAA" w:sz="1"/>
              <w:left w:val="single" w:color="AAAAAA" w:sz="1"/>
              <w:bottom w:val="single" w:color="AAAAAA" w:sz="1"/>
              <w:right w:val="single" w:color="AAAAAA" w:sz="1"/>
            </w:tcBorders>
            <w:shd w:fill="D0E4F7" w:val="clear"/>
            <w:tcMar>
              <w:top w:type="dxa" w:w="60"/>
              <w:left w:type="dxa" w:w="100"/>
              <w:bottom w:type="dxa" w:w="60"/>
              <w:right w:type="dxa" w:w="100"/>
            </w:tcMar>
            <w:vAlign w:val="top"/>
          </w:tcPr>
          <w:p>
            <w:r>
              <w:rPr>
                <w:rFonts w:ascii="Arial" w:cs="Arial" w:eastAsia="Arial" w:hAnsi="Arial"/>
                <w:b/>
                <w:bCs/>
                <w:sz w:val="18"/>
                <w:szCs w:val="18"/>
              </w:rPr>
              <w:t xml:space="preserve">#</w:t>
            </w:r>
          </w:p>
        </w:tc>
        <w:tc>
          <w:tcPr>
            <w:tcW w:type="dxa" w:w="1800"/>
            <w:tcBorders>
              <w:top w:val="single" w:color="AAAAAA" w:sz="1"/>
              <w:left w:val="single" w:color="AAAAAA" w:sz="1"/>
              <w:bottom w:val="single" w:color="AAAAAA" w:sz="1"/>
              <w:right w:val="single" w:color="AAAAAA" w:sz="1"/>
            </w:tcBorders>
            <w:shd w:fill="D0E4F7" w:val="clear"/>
            <w:tcMar>
              <w:top w:type="dxa" w:w="60"/>
              <w:left w:type="dxa" w:w="100"/>
              <w:bottom w:type="dxa" w:w="60"/>
              <w:right w:type="dxa" w:w="100"/>
            </w:tcMar>
            <w:vAlign w:val="top"/>
          </w:tcPr>
          <w:p>
            <w:r>
              <w:rPr>
                <w:rFonts w:ascii="Arial" w:cs="Arial" w:eastAsia="Arial" w:hAnsi="Arial"/>
                <w:b/>
                <w:bCs/>
                <w:sz w:val="18"/>
                <w:szCs w:val="18"/>
              </w:rPr>
              <w:t xml:space="preserve">Sección / pág.</w:t>
            </w:r>
          </w:p>
        </w:tc>
        <w:tc>
          <w:tcPr>
            <w:tcW w:type="dxa" w:w="2400"/>
            <w:tcBorders>
              <w:top w:val="single" w:color="AAAAAA" w:sz="1"/>
              <w:left w:val="single" w:color="AAAAAA" w:sz="1"/>
              <w:bottom w:val="single" w:color="AAAAAA" w:sz="1"/>
              <w:right w:val="single" w:color="AAAAAA" w:sz="1"/>
            </w:tcBorders>
            <w:shd w:fill="D0E4F7" w:val="clear"/>
            <w:tcMar>
              <w:top w:type="dxa" w:w="60"/>
              <w:left w:type="dxa" w:w="100"/>
              <w:bottom w:type="dxa" w:w="60"/>
              <w:right w:type="dxa" w:w="100"/>
            </w:tcMar>
            <w:vAlign w:val="top"/>
          </w:tcPr>
          <w:p>
            <w:r>
              <w:rPr>
                <w:rFonts w:ascii="Arial" w:cs="Arial" w:eastAsia="Arial" w:hAnsi="Arial"/>
                <w:b/>
                <w:bCs/>
                <w:sz w:val="18"/>
                <w:szCs w:val="18"/>
              </w:rPr>
              <w:t xml:space="preserve">Afirmación (paráfrasis)</w:t>
            </w:r>
          </w:p>
        </w:tc>
        <w:tc>
          <w:tcPr>
            <w:tcW w:type="dxa" w:w="1800"/>
            <w:tcBorders>
              <w:top w:val="single" w:color="AAAAAA" w:sz="1"/>
              <w:left w:val="single" w:color="AAAAAA" w:sz="1"/>
              <w:bottom w:val="single" w:color="AAAAAA" w:sz="1"/>
              <w:right w:val="single" w:color="AAAAAA" w:sz="1"/>
            </w:tcBorders>
            <w:shd w:fill="D0E4F7" w:val="clear"/>
            <w:tcMar>
              <w:top w:type="dxa" w:w="60"/>
              <w:left w:type="dxa" w:w="100"/>
              <w:bottom w:type="dxa" w:w="60"/>
              <w:right w:type="dxa" w:w="100"/>
            </w:tcMar>
            <w:vAlign w:val="top"/>
          </w:tcPr>
          <w:p>
            <w:r>
              <w:rPr>
                <w:rFonts w:ascii="Arial" w:cs="Arial" w:eastAsia="Arial" w:hAnsi="Arial"/>
                <w:b/>
                <w:bCs/>
                <w:sz w:val="18"/>
                <w:szCs w:val="18"/>
              </w:rPr>
              <w:t xml:space="preserve">Clave .bib</w:t>
            </w:r>
          </w:p>
        </w:tc>
        <w:tc>
          <w:tcPr>
            <w:tcW w:type="dxa" w:w="2360"/>
            <w:tcBorders>
              <w:top w:val="single" w:color="AAAAAA" w:sz="1"/>
              <w:left w:val="single" w:color="AAAAAA" w:sz="1"/>
              <w:bottom w:val="single" w:color="AAAAAA" w:sz="1"/>
              <w:right w:val="single" w:color="AAAAAA" w:sz="1"/>
            </w:tcBorders>
            <w:shd w:fill="D0E4F7" w:val="clear"/>
            <w:tcMar>
              <w:top w:type="dxa" w:w="60"/>
              <w:left w:type="dxa" w:w="100"/>
              <w:bottom w:type="dxa" w:w="60"/>
              <w:right w:type="dxa" w:w="100"/>
            </w:tcMar>
            <w:vAlign w:val="top"/>
          </w:tcPr>
          <w:p>
            <w:r>
              <w:rPr>
                <w:rFonts w:ascii="Arial" w:cs="Arial" w:eastAsia="Arial" w:hAnsi="Arial"/>
                <w:b/>
                <w:bCs/>
                <w:sz w:val="18"/>
                <w:szCs w:val="18"/>
              </w:rPr>
              <w:t xml:space="preserve">Justificación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§1.1 Búsqueda visual e híbrida
(p. 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Las fijaciones y sacadas son los componentes básicos del movimiento ocular que permiten adquirir información de escenas complejas.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rolfs2015
o bien
tatler2010</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Rolfs (2015) y Tatler et al. (2010) son referencias estándar para la mecánica de fijaciones/sacadas. Elegir uno; Rolfs es más reciente y enfocado en atención activa.</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§1.1 (p. 1)
margen: «CITA»</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La secuencia de fijaciones (scanpath) depende de la tarea, el contenido de la escena y las características del objetivo buscado.</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borji2014
o bien
wolfe2007</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Borji &amp; Itti (2014) tratan cómo la tarea modula los movimientos oculares (contexto Yarbus). Wolfe (2007) cubre el rol del objetivo en Guided Search. Puede usarse cualquiera de los dos.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§1.1 (p. 1)
margen: «cita» tras def. búsqueda híbrida</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En la búsqueda híbrida el sujeto mantiene en memoria un conjunto de posibles objetivos y compara simultáneamente lo percibido con cada uno de ellos.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wolfe2012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Wolfe (2012) es la referencia canónica que define y caracteriza experimentalmente la búsqueda híbrida visual + memoria.</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4</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§1.1 (p. 1)
margen: «cita» tras limitación de estímulos artificiales</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estudio experimental con estímulos artificiales limita la representatividad de los resultados de búsqueda visual.</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bujia2022
o bien
travi2022</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Bujia et al. (2022) motivan explícitamente el paso a escenas naturales; Travi et al. (2022) presentan el benchmark ViSioNS con la misma motivación. Recomendable citar ambos.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§1.1 (p. 1)
margen: «Ruarte y colaboradores (2025)»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dataset HSEM registra movimientos oculares durante búsqueda híbrida en escenas naturales.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
Gonzalez2025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 es el paper que introduce nnELM y usa HSEM; gonzalez2025 es el trabajo de EEG que también lo usa. Verificar cuál presentó formalmente el dataset (posiblemente gonzalez2025 o un preprint específico).</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6</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§1.2 El modelo nnELM (p. 1)
margen: «año» tras Najemnik y Geisler</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Najemnik y Geisler propusieron el modelo Ideal Bayesian Searcher (IBS) (año: 2005).</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najemnik2005</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Najemnik &amp; Geisler (2005) es la publicación original del IBS en Nature.</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§1.2 (p. 1)
margen: «cita Bujia»</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IBS y sus extensiones inmediatas fueron evaluados sobre imágenes artificiales, lo que limita su aplicabilidad a condiciones realistas.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bujia2022</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Bujia et al. (2022) señalan explícitamente esta limitación al motivar la extensión a escenas naturales.</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8</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§1.2 (p. 2)
margen: «Najemnik; Zhou»</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Trabajos posteriores extendieron el marco bayesiano hacia escenas naturales incorporando redes neuronales profundas para el prior y la similitud visual.</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najemnik2009
zhou2021</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Najemnik &amp; Geisler (2009) extienden el modelo original; Zhou &amp; Yu (2021) incorporan DNNs para escenas naturales. Ambas referencias están en el bib.</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§1.2 (p. 2)
margen: «ar año y cita»</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nnELM adoptó el criterio ELM reemplazando la optimalidad del IBS y extendió el marco a la búsqueda híbrida (2025).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 es el paper que publica formalmente el nnELM.</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10</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§1.2 (p. 2)
margen: «a bujia?»</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nnELM incorpora DeepGaze II como prior y una red ResNeXt para el mapa de similitud.</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bujia2022</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bujia2022 introdujo la combinación de saliencia + similitud DNN en el marco bayesiano; ruarte2025 lo extiende. Verificar si la arquitectura específica (DeepGaze II + ResNeXt) aparece primero en bujia2022 o en ruarte2025.</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§2.1 Dataset HSEM (p. 5)
nombre del recolector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dataset fue recolectado por [nombre pendiente] mediante registro simultáneo de EEG y movimientos oculares.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gonzalez2025
o bien
ruarte2025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gonzalez2025 es el trabajo de EEG+eye-tracking en HSEM. ruarte2025 también lo usa. Confirmar cuál es la fuente primaria del dataset HSEM.</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12</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§2.1 (p. 5)
margen «cita» tras COCO e ImageNet</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Los ítems se extrajeron de los datasets COCO e ImageNet.</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lin2014coco
deng2009imagenet</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lin2014coco y deng2009imagenet son las referencias canónicas de ambos datasets. Ambas ya están en el bib.</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§2.2 El modelo nnELM (p. 6)
margen «Ruarte 2025»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modelo nnELM implementa un esquema de inferencia bayesiana iterativa con criterio de minimización de entropía esperada.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 es la referencia primaria del nnELM.</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§2.2 (p. 6)
margen naranja (prior = DeepGaze II)</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prior inicial se genera con DeepGaze II, red neuronal convolucional para predicción de saliencia.</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kummerer2021</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kummerer2021 es la referencia de DeepGaze II (o su variante más reciente). Verificar si el paper de DeepGaze II específico que usa el modelo es kummerer2021 o una publicación anterior (Kümmerer et al. 2016/2017). Si existe una ref más específica, agregarla.</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§2.2 (p. 7)
margen «cita» tras ResNeXt-101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mapa de similitud se construye con una red ResNeXt-101 32×8d preentrenada.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xie2017</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xie2017 es el paper original de ResNeXt. Está en el bib.</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16</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§2.2 (p. 7)
margen «cita Bujia 2022»</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La covarianza del mapa de visibilidad Σ fue estimada a partir de mediciones empíricas de la excentricidad visual en experimentos de búsqueda.</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bujia2022</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bujia2022 es donde se describe la estimación empírica del kernel gaussiano de visibilidad.</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§2.2 (p. 7)
margen «cita Najemnik 20[xx]»</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Los valores del mapa de visibilidad capturan el gradiente de resolución del sistema visual humano.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najemnik2005
o bien
najemnik2009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najemnik2005 es la fuente original del modelo de visibilidad periférica. najemnik2009 lo refina. Citar najemnik2005.</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18</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§2.2 (p. 8)
margen «Najemnik»</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criterio ELM selecciona la fijación que maximiza la reducción esperada de entropía del posterior.</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najemnik2005
najemnik2009</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criterio ELM (Entropy Limit Minimization) fue formalizado por Najemnik &amp; Geisler. Citar najemnik2005 (formulación original) y/o najemnik2009.</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§2.2 (p. 8)
margen «Ruarte 2025»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La estrategia MinEntropy demostró mejor desempeño comparado con estrategias alternativas en búsqueda híbrida.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ruarte2025 es la referencia donde se compara MinEntropy con otras estrategias.</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20</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§2.3 (p. 8)
en texto</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Las features del nnELM se incorporan como predictores en el modelo de regresión EEG de Care et al.</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care2025</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care2025 (en preparación) es el trabajo de Care et al. sobre TRFs en búsqueda híbrida.</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§2.5 El modelo de TRFs (p. 17-18)
margen «brar algoritmo»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pipeline de EEG utiliza [nombre del algoritmo] para detectar fijaciones y sacadas.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dimigen2011
o bien
ehinger2019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Los algoritmos de detección más usados en este contexto son los de Dimigen et al. (2011) o el toolbox Unfold (ehinger2019). Completar con el algoritmo específico que se usa (ej. Engbert &amp; Mergenthaler microsaccade detector, o equivalente).</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22</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§2.5.1 TRFs (p. 18)
en texto, esquema deconvolución</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método de deconvolución lineal modela la señal EEG continua como suma de respuestas evocadas por múltiples eventos simultáneos.</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dimigen2021
ehinger2019</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dimigen2021 es la referencia teórica canónica del método de TRFs por regresión; ehinger2019 presenta el toolbox Unfold que lo implementa. Ambos están en el bib. La figura 1.1 también debe citar a dimigen2021 (actualmente aparece [?]).</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§2.5.3 Estimación Ridge (p. 18)
en texto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Los coeficientes se estiman mediante regresión Ridge (regularización L2) con selección de λ por cross-validation de 10 folds.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dimigen2021
kristensen2017</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kristensen2017 introduce la regularización Ridge en el contexto de ERPs; dimigen2021 es la referencia general del framework TRF. Ambos están en el bib.</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24</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§2.5.3 Modelo base MD2 (p. 19)
margen «cita»</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modelo base MD2 fue definido en [Care et al.].</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care2025
o bien
care2023</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care2025 es el trabajo en preparación que define MD2 para el dataset HSEM. care2023 es el paper publicado de Care et al. con un pipeline similar en búsqueda libre. Confirmar cuál define exactamente MD2.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§2.5.4 Interpretación TRFs (p. 19)
en texto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P100 es un componente positivo temprano (~80–130 ms) sobre electrodos occipitales que refleja procesamiento visual temprano, modulable por atención.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kamienkowski2012
ries2016</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kamienkowski2012 y ries2016 caracterizan el P100/N1 en búsqueda visual con FRPs. Ambos están en el bib.</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26</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§2.5.4 (p. 20)
en texto</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P300 es un componente positivo tardío (~250–500 ms) sobre electrodos parietales, asociado a evaluación y categorización del estímulo.</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kamienkowski2012
kaunitz2014</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kamienkowski2012 y kaunitz2014 documentan el P300 en búsqueda visual con FRPs. Ambos están en el bib.</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§2.6.2 ΔAIC (p. 21)
margen «cita Damian»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AIC estima la distancia KL entre el modelo propuesto y el mecanismo generador de datos.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akaike1974</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akaike1974 es la referencia original del AIC. Está en el bib.</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28</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§2.6.2 (p. 21)
en texto, esquema de crecimiento gradual</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Se adopta la estrategia de construcción incremental de modelos, siguiendo el esquema de [care2025].</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care2025</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care2025 define el esquema incremental que se replica aquí.</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§2.6.4 TFCE (p. 22)
en texto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método TFCE identifica clusters espacio-temporales donde los coeficientes son distintos de cero entre participantes mediante permutaciones.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dimigen2021
o bien
ehinger2019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El TFCE en el contexto de TRFs+EEG es implementado en el toolbox Unfold/LIMO EEG. dimigen2021 lo menciona; si se usa una implementación específica (ej. LIMO EEG o eeglab), agregar esa referencia también.</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30</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§3.2 (p. 32)
margen «cide con la litera-, buscar citas»</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La tendencia decreciente de saliencia media/mediana hacia el final del trial es consistente con una búsqueda guiada progresivamente más por información top-down que por atención de bajo nivel.</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wolfe2007
o bien
bujia2022</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wolfe2007 discute la transición bottom-up → top-down en Guided Search. bujia2022 observa el mismo fenómeno en escenas naturales. Buscar también referencias de inhibición de retorno o IOR si el argumento es sobre re-visitas.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§4.1 Resultados MD2 (p. 43)
margen «cita Damián» (×2)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Se replicó el modelo MD2 sobre el dataset HSEM, con resultados consistentes con los reportados en Care et 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care2025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care2025 es el trabajo original que reporta los resultados del MD2.</w:t>
            </w:r>
          </w:p>
        </w:tc>
      </w:tr>
      <w:tr>
        <w:tc>
          <w:tcPr>
            <w:tcW w:type="dxa" w:w="10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32</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§4.1 (p. 43-44)
en texto, predictor Scrank</w:t>
            </w:r>
          </w:p>
        </w:tc>
        <w:tc>
          <w:tcPr>
            <w:tcW w:type="dxa" w:w="24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predictor Scrank (Task Progress Score) modela el rango estandarizado de la fijación para capturar el progreso temporal del ensayo.</w:t>
            </w:r>
          </w:p>
        </w:tc>
        <w:tc>
          <w:tcPr>
            <w:tcW w:type="dxa" w:w="180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care2025
o bien
care2023</w:t>
            </w:r>
          </w:p>
        </w:tc>
        <w:tc>
          <w:tcPr>
            <w:tcW w:type="dxa" w:w="2360"/>
            <w:tcBorders>
              <w:top w:val="single" w:color="AAAAAA" w:sz="1"/>
              <w:left w:val="single" w:color="AAAAAA" w:sz="1"/>
              <w:bottom w:val="single" w:color="AAAAAA" w:sz="1"/>
              <w:right w:val="single" w:color="AAAAAA" w:sz="1"/>
            </w:tcBorders>
            <w:shd w:fill="F7F7F7" w:val="clear"/>
            <w:tcMar>
              <w:top w:type="dxa" w:w="60"/>
              <w:left w:type="dxa" w:w="100"/>
              <w:bottom w:type="dxa" w:w="60"/>
              <w:right w:type="dxa" w:w="100"/>
            </w:tcMar>
            <w:vAlign w:val="top"/>
          </w:tcPr>
          <w:p>
            <w:r>
              <w:rPr>
                <w:rFonts w:ascii="Arial" w:cs="Arial" w:eastAsia="Arial" w:hAnsi="Arial"/>
                <w:b w:val="false"/>
                <w:bCs w:val="false"/>
                <w:sz w:val="18"/>
                <w:szCs w:val="18"/>
              </w:rPr>
              <w:t xml:space="preserve">El TPS/Scrank fue definido en Care et al. Confirmar si aparece en care2025 o care2023.</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33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Fig. 1.1 caption (p. 3)
Adaptado de [?]</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Esquema del método de deconvolución lineal: «Adaptado de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dimigen2021
o bien
ehinger2019</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r>
              <w:rPr>
                <w:rFonts w:ascii="Arial" w:cs="Arial" w:eastAsia="Arial" w:hAnsi="Arial"/>
                <w:b w:val="false"/>
                <w:bCs w:val="false"/>
                <w:sz w:val="18"/>
                <w:szCs w:val="18"/>
              </w:rPr>
              <w:t xml:space="preserve">La figura de la matriz de diseño y los predictores solapados es estándar en dimigen2021 (Fig. 1) y ehinger2019. Revisar cuál es la fuente gráfica exacta.</w:t>
            </w:r>
          </w:p>
        </w:tc>
      </w:tr>
    </w:tbl>
    <w:p>
      <w:r>
        <w:rPr>
          <w:sz w:val="20"/>
          <w:szCs w:val="20"/>
        </w:rPr>
        <w:t xml:space="preserve"/>
      </w:r>
    </w:p>
    <w:p>
      <w:pPr>
        <w:pStyle w:val="Heading2"/>
      </w:pPr>
      <w:r>
        <w:rPr>
          <w:rFonts w:ascii="Arial" w:cs="Arial" w:eastAsia="Arial" w:hAnsi="Arial"/>
          <w:b/>
          <w:bCs/>
          <w:sz w:val="26"/>
          <w:szCs w:val="26"/>
        </w:rPr>
        <w:t xml:space="preserve">Resumen por clave bibliográfica</w:t>
      </w:r>
    </w:p>
    <w:p>
      <w:r>
        <w:rPr>
          <w:rFonts w:ascii="Arial" w:cs="Arial" w:eastAsia="Arial" w:hAnsi="Arial"/>
          <w:sz w:val="18"/>
          <w:szCs w:val="18"/>
        </w:rPr>
        <w:t xml:space="preserve">Las siguientes claves del .bib son las más frecuentemente requeridas. Todas están presentes en referencias.bib salvo indicación contraria.</w:t>
      </w:r>
    </w:p>
    <w:p>
      <w:r>
        <w:rPr>
          <w:sz w:val="20"/>
          <w:szCs w:val="20"/>
        </w:rPr>
        <w:t xml:space="preserve"/>
      </w:r>
    </w:p>
    <w:p>
      <w:r>
        <w:rPr>
          <w:rFonts w:ascii="Arial" w:cs="Arial" w:eastAsia="Arial" w:hAnsi="Arial"/>
          <w:sz w:val="18"/>
          <w:szCs w:val="18"/>
        </w:rPr>
        <w:t xml:space="preserve">• ruarte2025 — nnELM, MinEntropy, HSEM eye-tracking. Citas: §1.2, §2.2, §2.3, §4.1.</w:t>
      </w:r>
    </w:p>
    <w:p>
      <w:r>
        <w:rPr>
          <w:rFonts w:ascii="Arial" w:cs="Arial" w:eastAsia="Arial" w:hAnsi="Arial"/>
          <w:sz w:val="18"/>
          <w:szCs w:val="18"/>
        </w:rPr>
        <w:t xml:space="preserve">• care2025 (en prep.) — Pipeline TRF, modelo MD2, esquema incremental. Citas: §1.3, §2.3, §2.5.3, §4.1.</w:t>
      </w:r>
    </w:p>
    <w:p>
      <w:r>
        <w:rPr>
          <w:rFonts w:ascii="Arial" w:cs="Arial" w:eastAsia="Arial" w:hAnsi="Arial"/>
          <w:sz w:val="18"/>
          <w:szCs w:val="18"/>
        </w:rPr>
        <w:t xml:space="preserve">• najemnik2005 / najemnik2009 — IBS, visibilidad periférica, criterio ELM. Citas: §1.2, §2.2.</w:t>
      </w:r>
    </w:p>
    <w:p>
      <w:r>
        <w:rPr>
          <w:rFonts w:ascii="Arial" w:cs="Arial" w:eastAsia="Arial" w:hAnsi="Arial"/>
          <w:sz w:val="18"/>
          <w:szCs w:val="18"/>
        </w:rPr>
        <w:t xml:space="preserve">• bujia2022 — Extensión a escenas naturales, kernel de visibilidad empírico. Citas: §1.2, §2.2.</w:t>
      </w:r>
    </w:p>
    <w:p>
      <w:r>
        <w:rPr>
          <w:rFonts w:ascii="Arial" w:cs="Arial" w:eastAsia="Arial" w:hAnsi="Arial"/>
          <w:sz w:val="18"/>
          <w:szCs w:val="18"/>
        </w:rPr>
        <w:t xml:space="preserve">• dimigen2021 / ehinger2019 — Deconvolución lineal, TRFs, Fig. 1.1, TFCE. Citas: §1.3, §2.5, §2.6.4.</w:t>
      </w:r>
    </w:p>
    <w:p>
      <w:r>
        <w:rPr>
          <w:rFonts w:ascii="Arial" w:cs="Arial" w:eastAsia="Arial" w:hAnsi="Arial"/>
          <w:sz w:val="18"/>
          <w:szCs w:val="18"/>
        </w:rPr>
        <w:t xml:space="preserve">• wolfe2012 — Definición canónica de búsqueda híbrida. Cita: §1.1.</w:t>
      </w:r>
    </w:p>
    <w:p>
      <w:r>
        <w:rPr>
          <w:rFonts w:ascii="Arial" w:cs="Arial" w:eastAsia="Arial" w:hAnsi="Arial"/>
          <w:sz w:val="18"/>
          <w:szCs w:val="18"/>
        </w:rPr>
        <w:t xml:space="preserve">• gonzalez2025 (preprint) — EEG + eye-tracking en HSEM. Cita: §2.1.</w:t>
      </w:r>
    </w:p>
    <w:p>
      <w:r>
        <w:rPr>
          <w:rFonts w:ascii="Arial" w:cs="Arial" w:eastAsia="Arial" w:hAnsi="Arial"/>
          <w:sz w:val="18"/>
          <w:szCs w:val="18"/>
        </w:rPr>
        <w:t xml:space="preserve">• lin2014coco / deng2009imagenet — Datasets COCO e ImageNet. Cita: §2.1.</w:t>
      </w:r>
    </w:p>
    <w:p>
      <w:r>
        <w:rPr>
          <w:rFonts w:ascii="Arial" w:cs="Arial" w:eastAsia="Arial" w:hAnsi="Arial"/>
          <w:sz w:val="18"/>
          <w:szCs w:val="18"/>
        </w:rPr>
        <w:t xml:space="preserve">• xie2017 — Arquitectura ResNeXt-101. Cita: §2.2.</w:t>
      </w:r>
    </w:p>
    <w:p>
      <w:r>
        <w:rPr>
          <w:rFonts w:ascii="Arial" w:cs="Arial" w:eastAsia="Arial" w:hAnsi="Arial"/>
          <w:sz w:val="18"/>
          <w:szCs w:val="18"/>
        </w:rPr>
        <w:t xml:space="preserve">• kummerer2021 — DeepGaze II (verificar versión exacta). Cita: §2.2.</w:t>
      </w:r>
    </w:p>
    <w:p>
      <w:r>
        <w:rPr>
          <w:rFonts w:ascii="Arial" w:cs="Arial" w:eastAsia="Arial" w:hAnsi="Arial"/>
          <w:sz w:val="18"/>
          <w:szCs w:val="18"/>
        </w:rPr>
        <w:t xml:space="preserve">• kamienkowski2012 / kaunitz2014 / ries2016 — Componentes P100 y P300 en FRPs. Cita: §2.5.4.</w:t>
      </w:r>
    </w:p>
    <w:p>
      <w:r>
        <w:rPr>
          <w:rFonts w:ascii="Arial" w:cs="Arial" w:eastAsia="Arial" w:hAnsi="Arial"/>
          <w:sz w:val="18"/>
          <w:szCs w:val="18"/>
        </w:rPr>
        <w:t xml:space="preserve">• akaike1974 — AIC original. Cita: §2.6.2.</w:t>
      </w:r>
    </w:p>
    <w:p>
      <w:r>
        <w:rPr>
          <w:sz w:val="20"/>
          <w:szCs w:val="20"/>
        </w:rPr>
        <w:t xml:space="preserve"/>
      </w:r>
    </w:p>
    <w:p>
      <w:pPr>
        <w:pStyle w:val="Heading2"/>
      </w:pPr>
      <w:r>
        <w:rPr>
          <w:rFonts w:ascii="Arial" w:cs="Arial" w:eastAsia="Arial" w:hAnsi="Arial"/>
          <w:b/>
          <w:bCs/>
          <w:color w:val="CC0000"/>
          <w:sz w:val="26"/>
          <w:szCs w:val="26"/>
        </w:rPr>
        <w:t xml:space="preserve">Referencias a verificar o completar en el .bib</w:t>
      </w:r>
    </w:p>
    <w:p>
      <w:r>
        <w:rPr>
          <w:rFonts w:ascii="Arial" w:cs="Arial" w:eastAsia="Arial" w:hAnsi="Arial"/>
          <w:color w:val="882222"/>
          <w:sz w:val="18"/>
          <w:szCs w:val="18"/>
        </w:rPr>
        <w:t xml:space="preserve">① DeepGaze II: la clave kummerer2021 apunta a un arXiv general sobre scanpath prediction. Verificar si la versión de DeepGaze II usada en ruarte2025 es Kümmerer et al. (2022, ICCV) o una anterior; agregar la ref específica.</w:t>
      </w:r>
    </w:p>
    <w:p>
      <w:r>
        <w:rPr>
          <w:rFonts w:ascii="Arial" w:cs="Arial" w:eastAsia="Arial" w:hAnsi="Arial"/>
          <w:color w:val="882222"/>
          <w:sz w:val="18"/>
          <w:szCs w:val="18"/>
        </w:rPr>
        <w:t xml:space="preserve">② Algoritmo de detección de fijaciones (§2.4): hay un «brar algoritmo» marginal sin completar. Identificar cuál se usa (ej. Engbert &amp; Kliegl 2003, o el detector de Unfold/Dimigen) y agregar la cita.</w:t>
      </w:r>
    </w:p>
    <w:p>
      <w:r>
        <w:rPr>
          <w:rFonts w:ascii="Arial" w:cs="Arial" w:eastAsia="Arial" w:hAnsi="Arial"/>
          <w:color w:val="882222"/>
          <w:sz w:val="18"/>
          <w:szCs w:val="18"/>
        </w:rPr>
        <w:t xml:space="preserve">③ gonzalez2025: es un preprint (bioRxiv). Si al momento de entrega ya está publicado, actualizar la entrada del .bib.</w:t>
      </w:r>
    </w:p>
    <w:p>
      <w:r>
        <w:rPr>
          <w:rFonts w:ascii="Arial" w:cs="Arial" w:eastAsia="Arial" w:hAnsi="Arial"/>
          <w:color w:val="882222"/>
          <w:sz w:val="18"/>
          <w:szCs w:val="18"/>
        </w:rPr>
        <w:t xml:space="preserve">④ care2025: está marcado como «en preparación». Acordar con Care/Kamienkowski el formato de citación si aún no está enviado (puede ir como comunicación personal o preprint si existe).</w:t>
      </w:r>
    </w:p>
    <w:p>
      <w:r>
        <w:rPr>
          <w:rFonts w:ascii="Arial" w:cs="Arial" w:eastAsia="Arial" w:hAnsi="Arial"/>
          <w:color w:val="882222"/>
          <w:sz w:val="18"/>
          <w:szCs w:val="18"/>
        </w:rPr>
        <w:t xml:space="preserve">⑤ §3.2 transición top-down: el margen dice «cide con la litera-, buscar citas». Completar con referencias de literatura de bottom-up vs. top-down en búsqueda visual (ej. Corbetta &amp; Shulman 2002, Itti &amp; Koch 2000).</w:t>
      </w:r>
    </w:p>
    <w:p>
      <w:r>
        <w:rPr>
          <w:rFonts w:ascii="Arial" w:cs="Arial" w:eastAsia="Arial" w:hAnsi="Arial"/>
          <w:color w:val="882222"/>
          <w:sz w:val="18"/>
          <w:szCs w:val="18"/>
        </w:rPr>
        <w:t xml:space="preserve">⑥ Figura 1.1 caption [?]: confirmar si es adaptada de dimigen2021 o ehinger2019 y actualizar la referencia.</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2026-06-15T23:50:21.251Z</dcterms:created>
  <dcterms:modified xsi:type="dcterms:W3CDTF">2026-06-15T23:50:21.251Z</dcterms:modified>
</cp:coreProperties>
</file>

<file path=docProps/custom.xml><?xml version="1.0" encoding="utf-8"?>
<Properties xmlns="http://schemas.openxmlformats.org/officeDocument/2006/custom-properties" xmlns:vt="http://schemas.openxmlformats.org/officeDocument/2006/docPropsVTypes"/>
</file>