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rPr>
        <w:t xml:space="preserve"/>
      </w:r>
    </w:p>
    <w:p>
      <w:pPr>
        <w:spacing w:after="60" w:before="0"/>
        <w:jc w:val="center"/>
      </w:pPr>
      <w:r>
        <w:rPr>
          <w:rFonts w:ascii="Calibri" w:cs="Calibri" w:eastAsia="Calibri" w:hAnsi="Calibri"/>
          <w:b/>
          <w:bCs/>
          <w:color w:val="2563EB"/>
          <w:spacing w:val="80"/>
          <w:sz w:val="22"/>
          <w:szCs w:val="22"/>
        </w:rPr>
        <w:t xml:space="preserve">POWER BI PROJECT DOCUMENTATION</w:t>
      </w:r>
    </w:p>
    <w:p>
      <w:pPr>
        <w:spacing w:after="200" w:before="0"/>
        <w:jc w:val="center"/>
      </w:pPr>
      <w:r>
        <w:rPr>
          <w:rFonts w:ascii="Calibri" w:cs="Calibri" w:eastAsia="Calibri" w:hAnsi="Calibri"/>
          <w:b/>
          <w:bCs/>
          <w:color w:val="1B3A6B"/>
          <w:sz w:val="64"/>
          <w:szCs w:val="64"/>
        </w:rPr>
        <w:t xml:space="preserve">India Tourism Analytics Dashboard</w:t>
      </w:r>
    </w:p>
    <w:p>
      <w:pPr>
        <w:spacing w:after="80" w:before="0"/>
        <w:jc w:val="center"/>
      </w:pPr>
      <w:r>
        <w:rPr>
          <w:rFonts w:ascii="Calibri" w:cs="Calibri" w:eastAsia="Calibri" w:hAnsi="Calibri"/>
          <w:i/>
          <w:iCs/>
          <w:color w:val="2563EB"/>
          <w:sz w:val="28"/>
          <w:szCs w:val="28"/>
        </w:rPr>
        <w:t xml:space="preserve">A Complete End-to-End Business Intelligence Project</w:t>
      </w:r>
    </w:p>
    <w:p>
      <w:pPr>
        <w:spacing w:after="0" w:before="200"/>
      </w:pPr>
      <w:r>
        <w:rPr>
          <w:rFonts w:ascii="Calibri" w:cs="Calibri" w:eastAsia="Calibri" w:hAnsi="Calibri"/>
        </w:rPr>
        <w:t xml:space="preserve"/>
      </w:r>
    </w:p>
    <w:p>
      <w:pPr>
        <w:pBdr>
          <w:bottom w:val="single" w:color="F59E0B" w:sz="12" w:space="1"/>
        </w:pBdr>
        <w:spacing w:after="200" w:before="0"/>
        <w:jc w:val="center"/>
      </w:pPr>
      <w:r>
        <w:rPr>
          <w:rFonts w:ascii="Calibri" w:cs="Calibri" w:eastAsia="Calibri" w:hAnsi="Calibri"/>
        </w:rPr>
        <w:t xml:space="preserve"/>
      </w:r>
    </w:p>
    <w:p>
      <w:pPr>
        <w:spacing w:after="0" w:before="200"/>
      </w:pPr>
      <w:r>
        <w:rPr>
          <w:rFonts w:ascii="Calibri" w:cs="Calibri" w:eastAsia="Calibri" w:hAnsi="Calibri"/>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7280"/>
                <w:sz w:val="20"/>
                <w:szCs w:val="20"/>
              </w:rPr>
              <w:t xml:space="preserve">Tool Used</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374151"/>
                <w:sz w:val="20"/>
                <w:szCs w:val="20"/>
              </w:rPr>
              <w:t xml:space="preserve">Microsoft Power BI Desktop</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7280"/>
                <w:sz w:val="20"/>
                <w:szCs w:val="20"/>
              </w:rPr>
              <w:t xml:space="preserve">Domain</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374151"/>
                <w:sz w:val="20"/>
                <w:szCs w:val="20"/>
              </w:rPr>
              <w:t xml:space="preserve">Tourism &amp; Hospitality Analytics</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7280"/>
                <w:sz w:val="20"/>
                <w:szCs w:val="20"/>
              </w:rPr>
              <w:t xml:space="preserve">Data Source</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374151"/>
                <w:sz w:val="20"/>
                <w:szCs w:val="20"/>
              </w:rPr>
              <w:t xml:space="preserve">Ministry of Tourism, Govt. of India (2021)</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7280"/>
                <w:sz w:val="20"/>
                <w:szCs w:val="20"/>
              </w:rPr>
              <w:t xml:space="preserve">Year Range</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374151"/>
                <w:sz w:val="20"/>
                <w:szCs w:val="20"/>
              </w:rPr>
              <w:t xml:space="preserve">2001 – 2020</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7280"/>
                <w:sz w:val="20"/>
                <w:szCs w:val="20"/>
              </w:rPr>
              <w:t xml:space="preserve">Level</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374151"/>
                <w:sz w:val="20"/>
                <w:szCs w:val="20"/>
              </w:rPr>
              <w:t xml:space="preserve">Industry-Level Project</w:t>
            </w:r>
          </w:p>
        </w:tc>
      </w:tr>
    </w:tbl>
    <w:p>
      <w:pPr>
        <w:spacing w:after="0" w:before="400"/>
      </w:pPr>
      <w:r>
        <w:rPr>
          <w:rFonts w:ascii="Calibri" w:cs="Calibri" w:eastAsia="Calibri" w:hAnsi="Calibri"/>
        </w:rPr>
        <w:t xml:space="preserve"/>
      </w:r>
    </w:p>
    <w:p>
      <w:pPr>
        <w:jc w:val="center"/>
      </w:pPr>
      <w:r>
        <w:rPr>
          <w:rFonts w:ascii="Calibri" w:cs="Calibri" w:eastAsia="Calibri" w:hAnsi="Calibri"/>
          <w:i/>
          <w:iCs/>
          <w:color w:val="2563EB"/>
          <w:sz w:val="20"/>
          <w:szCs w:val="20"/>
        </w:rPr>
        <w:t xml:space="preserve">Data Cleaning  •  Power Query  •  Data Modeling  •  DAX  •  Dashboard Design</w:t>
      </w:r>
    </w:p>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1. Project Overview</w:t>
      </w:r>
    </w:p>
    <w:p>
      <w:pPr>
        <w:spacing w:after="100" w:before="60"/>
      </w:pPr>
      <w:r>
        <w:rPr>
          <w:rFonts w:ascii="Calibri" w:cs="Calibri" w:eastAsia="Calibri" w:hAnsi="Calibri"/>
          <w:color w:val="374151"/>
          <w:sz w:val="22"/>
          <w:szCs w:val="22"/>
        </w:rPr>
        <w:t xml:space="preserve">This document presents a comprehensive, industry-level Power BI project focused on analyzing India's tourism data published by the Ministry of Tourism, Government of India. The project transforms raw, multi-format CSV datasets into a fully interactive analytical dashboard that delivers actionable business insights to decision-makers.</w:t>
      </w:r>
    </w:p>
    <w:p>
      <w:pPr>
        <w:spacing w:after="0" w:before="8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1.1 Project Objectives</w:t>
      </w:r>
    </w:p>
    <w:p>
      <w:pPr>
        <w:spacing w:after="100" w:before="60"/>
      </w:pPr>
      <w:r>
        <w:rPr>
          <w:rFonts w:ascii="Calibri" w:cs="Calibri" w:eastAsia="Calibri" w:hAnsi="Calibri"/>
          <w:color w:val="374151"/>
          <w:sz w:val="22"/>
          <w:szCs w:val="22"/>
        </w:rPr>
        <w:t xml:space="preserve">The core objectives of this project are:</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Analyze Domestic vs Foreign tourist trends over two decades (2001–2020)</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Identify top-performing monuments and regional tourism hubs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Study the economic impact of tourism through Foreign Exchange Earnings (FEE)</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Understand visitor age demographics to identify target audience groups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Measure the COVID-19 impact on tourism in 2020 vs prior year baselines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Build an interactive dashboard enabling dynamic filtering by region and year</w:t>
      </w:r>
    </w:p>
    <w:p>
      <w:pPr>
        <w:spacing w:after="0" w:before="12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Component</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Details</w:t>
            </w:r>
          </w:p>
        </w:tc>
      </w:tr>
      <w:tr>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BI Tool</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Microsoft Power BI Desktop</w:t>
            </w:r>
          </w:p>
        </w:tc>
      </w:tr>
      <w:tr>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Data Transformation</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Power Query (M Language)</w:t>
            </w:r>
          </w:p>
        </w:tc>
      </w:tr>
      <w:tr>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Calculations</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DAX (Data Analysis Expressions)</w:t>
            </w:r>
          </w:p>
        </w:tc>
      </w:tr>
      <w:tr>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Data Format</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CSV (Comma Separated Values)</w:t>
            </w:r>
          </w:p>
        </w:tc>
      </w:tr>
      <w:tr>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Data Model</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Star Schema with Fact &amp; Dimension Tables</w:t>
            </w:r>
          </w:p>
        </w:tc>
      </w:tr>
      <w:tr>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Source</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India Tourism Statistics 2021 – Ministry of Tourism</w:t>
            </w:r>
          </w:p>
        </w:tc>
      </w:tr>
    </w:tbl>
    <w:p>
      <w:pPr>
        <w:spacing w:after="0" w:before="200"/>
      </w:pPr>
      <w:r>
        <w:rPr>
          <w:rFonts w:ascii="Calibri" w:cs="Calibri" w:eastAsia="Calibri" w:hAnsi="Calibri"/>
        </w:rPr>
        <w:t xml:space="preserve"/>
      </w:r>
    </w:p>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2. Datasets Used</w:t>
      </w:r>
    </w:p>
    <w:p>
      <w:pPr>
        <w:spacing w:after="100" w:before="60"/>
      </w:pPr>
      <w:r>
        <w:rPr>
          <w:rFonts w:ascii="Calibri" w:cs="Calibri" w:eastAsia="Calibri" w:hAnsi="Calibri"/>
          <w:color w:val="374151"/>
          <w:sz w:val="22"/>
          <w:szCs w:val="22"/>
        </w:rPr>
        <w:t xml:space="preserve">Three datasets were sourced from the India Tourism Statistics 2021 report (official government publication). Each serves a distinct analytical purpose in the dashboard.</w:t>
      </w:r>
    </w:p>
    <w:p>
      <w:pPr>
        <w:spacing w:after="0" w:before="10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2.1 Dataset 1 – Monument-Wise Tourist Data (Table 5.2.3)</w:t>
      </w:r>
    </w:p>
    <w:p>
      <w:pPr>
        <w:spacing w:after="100" w:before="60"/>
      </w:pPr>
      <w:r>
        <w:rPr>
          <w:rFonts w:ascii="Calibri" w:cs="Calibri" w:eastAsia="Calibri" w:hAnsi="Calibri"/>
          <w:color w:val="374151"/>
          <w:sz w:val="22"/>
          <w:szCs w:val="22"/>
        </w:rPr>
        <w:t xml:space="preserve">This is the primary Fact Table for the project. It contains visitor counts across major ASI (Archaeological Survey of India) protected monuments, broken down by domestic and foreign visitors for two financial years.</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Column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Data Type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Example</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Circle</w:t>
            </w:r>
          </w:p>
        </w:tc>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Text</w:t>
            </w:r>
          </w:p>
        </w:tc>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Agra</w:t>
            </w:r>
          </w:p>
        </w:tc>
        <w:tc>
          <w:tcPr>
            <w:tcW w:type="dxa" w:w="27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Regional ASI Circle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Name of Monument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Text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Taj Mahal</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Monument name</w:t>
            </w:r>
          </w:p>
        </w:tc>
      </w:tr>
      <w:tr>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Domestic-2019-20</w:t>
            </w:r>
          </w:p>
        </w:tc>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4,429,710</w:t>
            </w:r>
          </w:p>
        </w:tc>
        <w:tc>
          <w:tcPr>
            <w:tcW w:type="dxa" w:w="27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Domestic visitors FY 2019-20</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Foreign-2019-20</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645,415</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Foreign visitors FY 2019-20</w:t>
            </w:r>
          </w:p>
        </w:tc>
      </w:tr>
      <w:tr>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Domestic-2020-21</w:t>
            </w:r>
          </w:p>
        </w:tc>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1,259,892</w:t>
            </w:r>
          </w:p>
        </w:tc>
        <w:tc>
          <w:tcPr>
            <w:tcW w:type="dxa" w:w="27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Domestic visitors FY 2020-21</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Foreign-2020-21</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9,034</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Foreign visitors FY 2020-21</w:t>
            </w:r>
          </w:p>
        </w:tc>
      </w:tr>
      <w:tr>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Growth Domestic</w:t>
            </w:r>
          </w:p>
        </w:tc>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2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-71.56%</w:t>
            </w:r>
          </w:p>
        </w:tc>
        <w:tc>
          <w:tcPr>
            <w:tcW w:type="dxa" w:w="27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YoY domestic growth %</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Growth Foreign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-98.60%</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YoY foreign growth %</w:t>
            </w:r>
          </w:p>
        </w:tc>
      </w:tr>
    </w:tbl>
    <w:p>
      <w:pPr>
        <w:spacing w:after="0" w:before="60"/>
      </w:pPr>
      <w:r>
        <w:rPr>
          <w:rFonts w:ascii="Calibri" w:cs="Calibri" w:eastAsia="Calibri" w:hAnsi="Calibri"/>
        </w:rPr>
        <w:t xml:space="preserve"/>
      </w:r>
    </w:p>
    <w:p>
      <w:pPr>
        <w:spacing w:after="100" w:before="60"/>
      </w:pPr>
      <w:r>
        <w:rPr>
          <w:rFonts w:ascii="Calibri" w:cs="Calibri" w:eastAsia="Calibri" w:hAnsi="Calibri"/>
          <w:color w:val="374151"/>
          <w:sz w:val="22"/>
          <w:szCs w:val="22"/>
        </w:rPr>
        <w:t xml:space="preserve">Circles/Regions covered: Agra, Lucknow, Jhansi, Sarnath, Thrissur, Aurangabad, Bhopal, Bhubaneswar, Bangalore, Chennai, Goa, Dharwad, Jaipur, Patna, Shimla and more.</w:t>
      </w:r>
    </w:p>
    <w:p>
      <w:pPr>
        <w:spacing w:after="0" w:before="12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2.2 Dataset 2 – Age Distribution of Foreign Tourists (Table 2.7.1)</w:t>
      </w:r>
    </w:p>
    <w:p>
      <w:pPr>
        <w:spacing w:after="100" w:before="60"/>
      </w:pPr>
      <w:r>
        <w:rPr>
          <w:rFonts w:ascii="Calibri" w:cs="Calibri" w:eastAsia="Calibri" w:hAnsi="Calibri"/>
          <w:color w:val="374151"/>
          <w:sz w:val="22"/>
          <w:szCs w:val="22"/>
        </w:rPr>
        <w:t xml:space="preserve">This dataset provides the percentage distribution of Foreign Tourist Arrivals (FTAs) by age group from 2001 to 2020. It is used as a Dimension Table for demographic analysis.</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Column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Data Type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Example</w:t>
            </w:r>
          </w:p>
        </w:tc>
        <w:tc>
          <w:tcPr>
            <w:tcW w:type="dxa" w:w="2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Year</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2019</w:t>
            </w:r>
          </w:p>
        </w:tc>
        <w:tc>
          <w:tcPr>
            <w:tcW w:type="dxa" w:w="2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Reporting year</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FTAs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10,930,355</w:t>
            </w:r>
          </w:p>
        </w:tc>
        <w:tc>
          <w:tcPr>
            <w:tcW w:type="dxa" w:w="2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Total foreign tourist arrivals</w:t>
            </w:r>
          </w:p>
        </w:tc>
      </w:tr>
      <w:tr>
        <w:tc>
          <w:tcPr>
            <w:tcW w:type="dxa" w:w="25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Age 0-14</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9.2</w:t>
            </w:r>
          </w:p>
        </w:tc>
        <w:tc>
          <w:tcPr>
            <w:tcW w:type="dxa" w:w="2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Children segment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Age 15-24</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8.3</w:t>
            </w:r>
          </w:p>
        </w:tc>
        <w:tc>
          <w:tcPr>
            <w:tcW w:type="dxa" w:w="2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Youth segment</w:t>
            </w:r>
          </w:p>
        </w:tc>
      </w:tr>
      <w:tr>
        <w:tc>
          <w:tcPr>
            <w:tcW w:type="dxa" w:w="25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Age 25-34</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18.6</w:t>
            </w:r>
          </w:p>
        </w:tc>
        <w:tc>
          <w:tcPr>
            <w:tcW w:type="dxa" w:w="2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Young adults</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Age 35-44</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21.3</w:t>
            </w:r>
          </w:p>
        </w:tc>
        <w:tc>
          <w:tcPr>
            <w:tcW w:type="dxa" w:w="2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Core adult segment</w:t>
            </w:r>
          </w:p>
        </w:tc>
      </w:tr>
      <w:tr>
        <w:tc>
          <w:tcPr>
            <w:tcW w:type="dxa" w:w="25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Age 45-54</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19.8</w:t>
            </w:r>
          </w:p>
        </w:tc>
        <w:tc>
          <w:tcPr>
            <w:tcW w:type="dxa" w:w="2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Mid-age travelers</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Age 55-64</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14.1</w:t>
            </w:r>
          </w:p>
        </w:tc>
        <w:tc>
          <w:tcPr>
            <w:tcW w:type="dxa" w:w="2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Senior pre-retirees</w:t>
            </w:r>
          </w:p>
        </w:tc>
      </w:tr>
      <w:tr>
        <w:tc>
          <w:tcPr>
            <w:tcW w:type="dxa" w:w="25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Age 65+</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8.8</w:t>
            </w:r>
          </w:p>
        </w:tc>
        <w:tc>
          <w:tcPr>
            <w:tcW w:type="dxa" w:w="2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Retirees / seniors</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 Not Reported</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0 / 3.0</w:t>
            </w:r>
          </w:p>
        </w:tc>
        <w:tc>
          <w:tcPr>
            <w:tcW w:type="dxa" w:w="2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Unreported (removed in cleaning)</w:t>
            </w:r>
          </w:p>
        </w:tc>
      </w:tr>
    </w:tbl>
    <w:p>
      <w:pPr>
        <w:spacing w:after="0" w:before="12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2.3 Dataset 3 – Foreign Exchange Earnings (Table 2.11.1)</w:t>
      </w:r>
    </w:p>
    <w:p>
      <w:pPr>
        <w:spacing w:after="100" w:before="60"/>
      </w:pPr>
      <w:r>
        <w:rPr>
          <w:rFonts w:ascii="Calibri" w:cs="Calibri" w:eastAsia="Calibri" w:hAnsi="Calibri"/>
          <w:color w:val="374151"/>
          <w:sz w:val="22"/>
          <w:szCs w:val="22"/>
        </w:rPr>
        <w:t xml:space="preserve">This dataset captures the economic contribution of tourism through Foreign Exchange Earnings (FEE) in both Indian Rupees and US Dollars, from 1991 to 2020. It forms the Earnings Dimension Table.</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000"/>
        <w:gridCol w:w="2660"/>
      </w:tblGrid>
      <w:tr>
        <w:tc>
          <w:tcPr>
            <w:tcW w:type="dxa" w:w="2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Column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Data Type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Example</w:t>
            </w:r>
          </w:p>
        </w:tc>
        <w:tc>
          <w:tcPr>
            <w:tcW w:type="dxa" w:w="2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Year</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2019</w:t>
            </w:r>
          </w:p>
        </w:tc>
        <w:tc>
          <w:tcPr>
            <w:tcW w:type="dxa" w:w="26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Reporting year (key)</w:t>
            </w:r>
          </w:p>
        </w:tc>
      </w:tr>
      <w:tr>
        <w:tc>
          <w:tcPr>
            <w:tcW w:type="dxa" w:w="2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FEE in INR (Crore)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2,11,661</w:t>
            </w:r>
          </w:p>
        </w:tc>
        <w:tc>
          <w:tcPr>
            <w:tcW w:type="dxa" w:w="26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Earnings in Indian Rupees</w:t>
            </w:r>
          </w:p>
        </w:tc>
      </w:tr>
      <w:tr>
        <w:tc>
          <w:tcPr>
            <w:tcW w:type="dxa" w:w="2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INR % Change</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8.6%</w:t>
            </w:r>
          </w:p>
        </w:tc>
        <w:tc>
          <w:tcPr>
            <w:tcW w:type="dxa" w:w="26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YoY growth in INR earnings</w:t>
            </w:r>
          </w:p>
        </w:tc>
      </w:tr>
      <w:tr>
        <w:tc>
          <w:tcPr>
            <w:tcW w:type="dxa" w:w="2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FEE in USD (Million)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Numeric</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30,058</w:t>
            </w:r>
          </w:p>
        </w:tc>
        <w:tc>
          <w:tcPr>
            <w:tcW w:type="dxa" w:w="26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Earnings in US Dollars</w:t>
            </w:r>
          </w:p>
        </w:tc>
      </w:tr>
      <w:tr>
        <w:tc>
          <w:tcPr>
            <w:tcW w:type="dxa" w:w="2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USD % Change</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Decimal</w:t>
            </w:r>
          </w:p>
        </w:tc>
        <w:tc>
          <w:tcPr>
            <w:tcW w:type="dxa" w:w="2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5.1%</w:t>
            </w:r>
          </w:p>
        </w:tc>
        <w:tc>
          <w:tcPr>
            <w:tcW w:type="dxa" w:w="26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YoY growth in USD earnings</w:t>
            </w:r>
          </w:p>
        </w:tc>
      </w:tr>
    </w:tbl>
    <w:p>
      <w:pPr>
        <w:spacing w:after="0" w:before="200"/>
      </w:pPr>
      <w:r>
        <w:rPr>
          <w:rFonts w:ascii="Calibri" w:cs="Calibri" w:eastAsia="Calibri" w:hAnsi="Calibri"/>
        </w:rPr>
        <w:t xml:space="preserve"/>
      </w:r>
    </w:p>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3. Data Cleaning &amp; Transformation (Power Query)</w:t>
      </w:r>
    </w:p>
    <w:p>
      <w:pPr>
        <w:spacing w:after="100" w:before="60"/>
      </w:pPr>
      <w:r>
        <w:rPr>
          <w:rFonts w:ascii="Calibri" w:cs="Calibri" w:eastAsia="Calibri" w:hAnsi="Calibri"/>
          <w:color w:val="374151"/>
          <w:sz w:val="22"/>
          <w:szCs w:val="22"/>
        </w:rPr>
        <w:t xml:space="preserve">All data transformation was performed inside Power Query Editor in Power BI Desktop. This is the most critical and time-consuming phase of the project. Raw government datasets come in a wide, denormalized format that must be restructured before any analysis is possible.</w:t>
      </w:r>
    </w:p>
    <w:p>
      <w:pPr>
        <w:spacing w:after="0" w:before="10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3.1 Tourism Dataset – Transformation</w:t>
      </w:r>
    </w:p>
    <w:p>
      <w:pPr>
        <w:pStyle w:val="Heading3"/>
        <w:spacing w:after="80" w:before="180"/>
      </w:pPr>
      <w:r>
        <w:rPr>
          <w:rFonts w:ascii="Calibri" w:cs="Calibri" w:eastAsia="Calibri" w:hAnsi="Calibri"/>
          <w:b/>
          <w:bCs/>
          <w:color w:val="374151"/>
          <w:sz w:val="24"/>
          <w:szCs w:val="24"/>
        </w:rPr>
        <w:t xml:space="preserve">Problem: Wide Format Structure</w:t>
      </w:r>
    </w:p>
    <w:p>
      <w:pPr>
        <w:spacing w:after="100" w:before="60"/>
      </w:pPr>
      <w:r>
        <w:rPr>
          <w:rFonts w:ascii="Calibri" w:cs="Calibri" w:eastAsia="Calibri" w:hAnsi="Calibri"/>
          <w:color w:val="374151"/>
          <w:sz w:val="22"/>
          <w:szCs w:val="22"/>
        </w:rPr>
        <w:t xml:space="preserve">The raw CSV had separate columns for each combination of visitor type and year. This is called a 'wide format' and creates multiple analytical problems: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Cannot filter by Type (Domestic/Foreign) easily</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Adding a new year requires adding new columns (not scalable)</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Cannot create Year-based relationships with other tables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Causes duplicate logic in DAX calculations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Growth % columns are redundant — can be calculated dynamically</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DC262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BEFORE (Raw Format)</w:t>
            </w:r>
          </w:p>
        </w:tc>
        <w:tc>
          <w:tcPr>
            <w:tcW w:type="dxa" w:w="4680"/>
            <w:tcBorders>
              <w:top w:val="single" w:color="2563EB" w:sz="1"/>
              <w:left w:val="single" w:color="2563EB" w:sz="1"/>
              <w:bottom w:val="single" w:color="2563EB" w:sz="1"/>
              <w:right w:val="single" w:color="2563EB" w:sz="1"/>
            </w:tcBorders>
            <w:shd w:fill="16A34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AFTER (Cleaned Format)</w:t>
            </w:r>
          </w:p>
        </w:tc>
      </w:tr>
      <w:tr>
        <w:tc>
          <w:tcPr>
            <w:tcW w:type="dxa" w:w="4680"/>
            <w:tcBorders>
              <w:top w:val="single" w:color="DDDDDD" w:sz="1"/>
              <w:left w:val="single" w:color="DDDDDD" w:sz="1"/>
              <w:bottom w:val="single" w:color="DDDDDD" w:sz="1"/>
              <w:right w:val="single" w:color="DDDDDD" w:sz="1"/>
            </w:tcBorders>
            <w:shd w:fill="FEF2F2" w:val="clear"/>
            <w:tcMar>
              <w:top w:type="dxa" w:w="100"/>
              <w:left w:type="dxa" w:w="120"/>
              <w:bottom w:type="dxa" w:w="100"/>
              <w:right w:type="dxa" w:w="120"/>
            </w:tcMar>
          </w:tcPr>
          <w:p>
            <w:pPr>
              <w:spacing w:after="40" w:before="40"/>
            </w:pPr>
            <w:r>
              <w:rPr>
                <w:rFonts w:ascii="Courier New" w:cs="Courier New" w:eastAsia="Courier New" w:hAnsi="Courier New"/>
                <w:color w:val="DC2626"/>
                <w:sz w:val="16"/>
                <w:szCs w:val="16"/>
              </w:rPr>
              <w:t xml:space="preserve">Circle | Monument | Domestic-2019-20 | Foreign-2019-20 | Domestic-2020-21 | Foreign-2020-21 | %Growth-Dom | %Growth-For</w:t>
            </w:r>
          </w:p>
        </w:tc>
        <w:tc>
          <w:tcPr>
            <w:tcW w:type="dxa" w:w="4680"/>
            <w:tcBorders>
              <w:top w:val="single" w:color="DDDDDD" w:sz="1"/>
              <w:left w:val="single" w:color="DDDDDD" w:sz="1"/>
              <w:bottom w:val="single" w:color="DDDDDD" w:sz="1"/>
              <w:right w:val="single" w:color="DDDDDD" w:sz="1"/>
            </w:tcBorders>
            <w:shd w:fill="F0FDF4" w:val="clear"/>
            <w:tcMar>
              <w:top w:type="dxa" w:w="100"/>
              <w:left w:type="dxa" w:w="120"/>
              <w:bottom w:type="dxa" w:w="100"/>
              <w:right w:type="dxa" w:w="120"/>
            </w:tcMar>
          </w:tcPr>
          <w:p>
            <w:pPr>
              <w:spacing w:after="40" w:before="40"/>
            </w:pPr>
            <w:r>
              <w:rPr>
                <w:rFonts w:ascii="Courier New" w:cs="Courier New" w:eastAsia="Courier New" w:hAnsi="Courier New"/>
                <w:color w:val="16A34A"/>
                <w:sz w:val="16"/>
                <w:szCs w:val="16"/>
              </w:rPr>
              <w:t xml:space="preserve">Circle | Monument | Type | Year | Tourists</w:t>
            </w:r>
          </w:p>
        </w:tc>
      </w:tr>
    </w:tbl>
    <w:p>
      <w:pPr>
        <w:spacing w:after="0" w:before="80"/>
      </w:pPr>
      <w:r>
        <w:rPr>
          <w:rFonts w:ascii="Calibri" w:cs="Calibri" w:eastAsia="Calibri" w:hAnsi="Calibri"/>
        </w:rPr>
        <w:t xml:space="preserve"/>
      </w:r>
    </w:p>
    <w:p>
      <w:pPr>
        <w:pStyle w:val="Heading3"/>
        <w:spacing w:after="80" w:before="180"/>
      </w:pPr>
      <w:r>
        <w:rPr>
          <w:rFonts w:ascii="Calibri" w:cs="Calibri" w:eastAsia="Calibri" w:hAnsi="Calibri"/>
          <w:b/>
          <w:bCs/>
          <w:color w:val="374151"/>
          <w:sz w:val="24"/>
          <w:szCs w:val="24"/>
        </w:rPr>
        <w:t xml:space="preserve">Steps Performed in Power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w:t>
            </w:r>
          </w:p>
        </w:tc>
        <w:tc>
          <w:tcPr>
            <w:tcW w:type="dxa" w:w="5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Details</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1</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Load CSV</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Imported raw file via Get Data → Text/CSV</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Remove Total Rows</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Filtered out rows where Circle = 'Total' (aggregated rows, not needed)</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3</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Remove Growth Columns</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Deleted '% Growth Domestic' and '% Growth Foreign' columns — calculated dynamically via DAX</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Select 4 Visitor Columns</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Selected only Domestic-2019-20, Foreign-2019-20, Domestic-2020-21, Foreign-2020-21 for Unpivot</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5</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Unpivot Columns</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Transform → Unpivot Selected Columns — creates two new columns: Attribute and Value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Split 'Attribute' Column</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Split by delimiter '-' to separate Type (Domestic/Foreign) from Year (2019-20, 2020-21)</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7</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 Columns</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Renamed columns: Attribute.1 → Type, Attribute.2 → Year, Value → Tourists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Fix Data Types</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Tourists: Whole Number, Year: Text, Type: Text, Circle/Monument: Text</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9</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 Table</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Renamed query to 'Tourism' for clarity in the data model</w:t>
            </w:r>
          </w:p>
        </w:tc>
      </w:tr>
    </w:tbl>
    <w:p>
      <w:pPr>
        <w:spacing w:after="0" w:before="12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3.2 Age Distribution Dataset – Transformation</w:t>
      </w:r>
    </w:p>
    <w:p>
      <w:pPr>
        <w:pStyle w:val="Heading3"/>
        <w:spacing w:after="80" w:before="180"/>
      </w:pPr>
      <w:r>
        <w:rPr>
          <w:rFonts w:ascii="Calibri" w:cs="Calibri" w:eastAsia="Calibri" w:hAnsi="Calibri"/>
          <w:b/>
          <w:bCs/>
          <w:color w:val="374151"/>
          <w:sz w:val="24"/>
          <w:szCs w:val="24"/>
        </w:rPr>
        <w:t xml:space="preserve">Problem: Multiple Age Columns in Wide Format</w:t>
      </w:r>
    </w:p>
    <w:p>
      <w:pPr>
        <w:spacing w:after="100" w:before="60"/>
      </w:pPr>
      <w:r>
        <w:rPr>
          <w:rFonts w:ascii="Calibri" w:cs="Calibri" w:eastAsia="Calibri" w:hAnsi="Calibri"/>
          <w:color w:val="374151"/>
          <w:sz w:val="22"/>
          <w:szCs w:val="22"/>
        </w:rPr>
        <w:t xml:space="preserve">The age distribution data had one column per age group (7+ columns), making it impossible to slice or filter by age group in Power BI without individual measures for each group.</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w:t>
            </w:r>
          </w:p>
        </w:tc>
        <w:tc>
          <w:tcPr>
            <w:tcW w:type="dxa" w:w="5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Details</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1</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Load Dataset</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Imported Table 2.7.1 CSV file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Promote Headers</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First row used as column headers</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3</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Remove 'Not Reported'</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Removed the 'Not Reported' column — unreliable/incomplete data, distorts age % analysis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Select Age Columns</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Selected all 7 age group percentage columns for unpivoting</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5</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Unpivot</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Created Attribute (Age_Group) and Value (Percentage) columns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Clean Column Names</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Renamed Attribute → Age_Group, Value → Percentage; cleaned long header names</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7</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Fix Data Types</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Year: Whole Number, Percentage: Decimal Number</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 Table</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Renamed query to 'Age_Distribution'</w:t>
            </w:r>
          </w:p>
        </w:tc>
      </w:tr>
    </w:tbl>
    <w:p>
      <w:pPr>
        <w:spacing w:after="0" w:before="12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3.3 Earnings Dataset – Transformation</w:t>
      </w:r>
    </w:p>
    <w:p>
      <w:pPr>
        <w:pStyle w:val="Heading3"/>
        <w:spacing w:after="80" w:before="180"/>
      </w:pPr>
      <w:r>
        <w:rPr>
          <w:rFonts w:ascii="Calibri" w:cs="Calibri" w:eastAsia="Calibri" w:hAnsi="Calibri"/>
          <w:b/>
          <w:bCs/>
          <w:color w:val="374151"/>
          <w:sz w:val="24"/>
          <w:szCs w:val="24"/>
        </w:rPr>
        <w:t xml:space="preserve">Problem: Dual Currency Columns + Missing Values</w:t>
      </w:r>
    </w:p>
    <w:p>
      <w:pPr>
        <w:spacing w:after="100" w:before="60"/>
      </w:pPr>
      <w:r>
        <w:rPr>
          <w:rFonts w:ascii="Calibri" w:cs="Calibri" w:eastAsia="Calibri" w:hAnsi="Calibri"/>
          <w:color w:val="374151"/>
          <w:sz w:val="22"/>
          <w:szCs w:val="22"/>
        </w:rPr>
        <w:t xml:space="preserve">The earnings dataset contained both INR and USD earnings columns. INR values were removed to keep the model clean (USD used as standard international measure). The first year's % Change column had 'NA' instead of a numeric null, causing type errors.</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w:t>
            </w:r>
          </w:p>
        </w:tc>
        <w:tc>
          <w:tcPr>
            <w:tcW w:type="dxa" w:w="5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Details</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1</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Load Dataset</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Imported Table 2.11.1 CSV file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Remove INR Column</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Removed FEE in INR (Crore) to avoid dual-currency confusion in visuals</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3</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Handle 'NA' Value</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Replaced 'NA' in % Change column with null — Power BI treats null correctly</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Remove '#2' Suffix</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Year column had '#2' suffix (e.g., 2019#2) — split column and removed suffix</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5</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 Columns</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Year, Earnings_USD, USD_Growth_Pct — clear, consistent naming</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Fix Data Types</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Year: Whole Number, Earnings_USD: Whole Number, Growth: Decimal</w:t>
            </w:r>
          </w:p>
        </w:tc>
      </w:tr>
      <w:tr>
        <w:tc>
          <w:tcPr>
            <w:tcW w:type="dxa" w:w="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7</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 Table</w:t>
            </w:r>
          </w:p>
        </w:tc>
        <w:tc>
          <w:tcPr>
            <w:tcW w:type="dxa" w:w="58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Renamed query to 'Earnings'</w:t>
            </w:r>
          </w:p>
        </w:tc>
      </w:tr>
    </w:tbl>
    <w:p>
      <w:pPr>
        <w:spacing w:after="0" w:before="200"/>
      </w:pPr>
      <w:r>
        <w:rPr>
          <w:rFonts w:ascii="Calibri" w:cs="Calibri" w:eastAsia="Calibri" w:hAnsi="Calibri"/>
        </w:rPr>
        <w:t xml:space="preserve"/>
      </w:r>
    </w:p>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4. Data Modeling</w:t>
      </w:r>
    </w:p>
    <w:p>
      <w:pPr>
        <w:spacing w:after="100" w:before="60"/>
      </w:pPr>
      <w:r>
        <w:rPr>
          <w:rFonts w:ascii="Calibri" w:cs="Calibri" w:eastAsia="Calibri" w:hAnsi="Calibri"/>
          <w:color w:val="374151"/>
          <w:sz w:val="22"/>
          <w:szCs w:val="22"/>
        </w:rPr>
        <w:t xml:space="preserve">After cleaning, the three tables are connected in Power BI's Model View. The project follows a modified Star Schema design — a fundamental principle of dimensional modeling used in enterprise BI systems.</w:t>
      </w:r>
    </w:p>
    <w:p>
      <w:pPr>
        <w:spacing w:after="0" w:before="10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4.1 Star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EF4FF" w:val="clear"/>
            <w:tcMar>
              <w:top w:type="dxa" w:w="240"/>
              <w:left w:type="dxa" w:w="240"/>
              <w:bottom w:type="dxa" w:w="240"/>
              <w:right w:type="dxa" w:w="240"/>
            </w:tcMar>
          </w:tcPr>
          <w:p>
            <w:pPr>
              <w:spacing w:after="120" w:before="0"/>
              <w:jc w:val="center"/>
            </w:pPr>
            <w:r>
              <w:rPr>
                <w:rFonts w:ascii="Calibri" w:cs="Calibri" w:eastAsia="Calibri" w:hAnsi="Calibri"/>
                <w:b/>
                <w:bCs/>
                <w:color w:val="1B3A6B"/>
                <w:spacing w:val="60"/>
                <w:sz w:val="22"/>
                <w:szCs w:val="22"/>
              </w:rPr>
              <w:t xml:space="preserve">STAR SCHEMA ARCHITECTURE</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800"/>
            </w:tblGrid>
            <w:tr>
              <w:tc>
                <w:tcPr>
                  <w:tcW w:type="dxa" w:w="2800"/>
                  <w:tcBorders>
                    <w:top w:val="single" w:color="2563EB" w:sz="1"/>
                    <w:left w:val="single" w:color="2563EB" w:sz="1"/>
                    <w:bottom w:val="single" w:color="2563EB" w:sz="1"/>
                    <w:right w:val="single" w:color="2563EB" w:sz="1"/>
                  </w:tcBorders>
                  <w:shd w:fill="EFF6FF" w:val="clear"/>
                  <w:tcMar>
                    <w:top w:type="dxa" w:w="120"/>
                    <w:left w:type="dxa" w:w="160"/>
                    <w:bottom w:type="dxa" w:w="120"/>
                    <w:right w:type="dxa" w:w="160"/>
                  </w:tcMar>
                </w:tcPr>
                <w:p>
                  <w:pPr>
                    <w:spacing w:after="60" w:before="0"/>
                    <w:jc w:val="center"/>
                  </w:pPr>
                  <w:r>
                    <w:rPr>
                      <w:rFonts w:ascii="Calibri" w:cs="Calibri" w:eastAsia="Calibri" w:hAnsi="Calibri"/>
                      <w:b/>
                      <w:bCs/>
                      <w:color w:val="2563EB"/>
                      <w:sz w:val="20"/>
                      <w:szCs w:val="20"/>
                    </w:rPr>
                    <w:t xml:space="preserve">Earnings</w:t>
                  </w:r>
                </w:p>
                <w:p>
                  <w:pPr>
                    <w:spacing w:after="20" w:before="0"/>
                    <w:jc w:val="center"/>
                  </w:pPr>
                  <w:r>
                    <w:rPr>
                      <w:rFonts w:ascii="Calibri" w:cs="Calibri" w:eastAsia="Calibri" w:hAnsi="Calibri"/>
                      <w:i/>
                      <w:iCs/>
                      <w:color w:val="6B7280"/>
                      <w:sz w:val="16"/>
                      <w:szCs w:val="16"/>
                    </w:rPr>
                    <w:t xml:space="preserve">(Dimension Table)</w:t>
                  </w:r>
                </w:p>
                <w:p>
                  <w:pPr>
                    <w:spacing w:after="20" w:before="20"/>
                    <w:jc w:val="center"/>
                  </w:pPr>
                  <w:r>
                    <w:rPr>
                      <w:rFonts w:ascii="Calibri" w:cs="Calibri" w:eastAsia="Calibri" w:hAnsi="Calibri"/>
                      <w:color w:val="374151"/>
                      <w:sz w:val="18"/>
                      <w:szCs w:val="18"/>
                      <w:u w:val="single"/>
                    </w:rPr>
                    <w:t xml:space="preserve">Year (PK)</w:t>
                  </w:r>
                </w:p>
                <w:p>
                  <w:pPr>
                    <w:spacing w:after="10" w:before="10"/>
                    <w:jc w:val="center"/>
                  </w:pPr>
                  <w:r>
                    <w:rPr>
                      <w:rFonts w:ascii="Calibri" w:cs="Calibri" w:eastAsia="Calibri" w:hAnsi="Calibri"/>
                      <w:color w:val="374151"/>
                      <w:sz w:val="18"/>
                      <w:szCs w:val="18"/>
                    </w:rPr>
                    <w:t xml:space="preserve">Earnings_USD</w:t>
                  </w:r>
                </w:p>
                <w:p>
                  <w:pPr>
                    <w:spacing w:after="10" w:before="10"/>
                    <w:jc w:val="center"/>
                  </w:pPr>
                  <w:r>
                    <w:rPr>
                      <w:rFonts w:ascii="Calibri" w:cs="Calibri" w:eastAsia="Calibri" w:hAnsi="Calibri"/>
                      <w:color w:val="374151"/>
                      <w:sz w:val="18"/>
                      <w:szCs w:val="18"/>
                    </w:rPr>
                    <w:t xml:space="preserve">USD_Growth_%</w:t>
                  </w:r>
                </w:p>
              </w:tc>
              <w:tc>
                <w:tcPr>
                  <w:tcW w:type="dxa" w:w="3200"/>
                  <w:tcBorders>
                    <w:top w:val="none" w:color="FFFFFF" w:sz="0"/>
                    <w:left w:val="none" w:color="FFFFFF" w:sz="0"/>
                    <w:bottom w:val="none" w:color="FFFFFF" w:sz="0"/>
                    <w:right w:val="none" w:color="FFFFFF" w:sz="0"/>
                  </w:tcBorders>
                  <w:shd w:fill="1B3A6B" w:val="clear"/>
                  <w:tcMar>
                    <w:top w:type="dxa" w:w="120"/>
                    <w:left w:type="dxa" w:w="60"/>
                    <w:bottom w:type="dxa" w:w="120"/>
                    <w:right w:type="dxa" w:w="60"/>
                  </w:tcMar>
                </w:tcPr>
                <w:p>
                  <w:pPr>
                    <w:spacing w:after="60" w:before="0"/>
                    <w:jc w:val="center"/>
                  </w:pPr>
                  <w:r>
                    <w:rPr>
                      <w:rFonts w:ascii="Calibri" w:cs="Calibri" w:eastAsia="Calibri" w:hAnsi="Calibri"/>
                      <w:b/>
                      <w:bCs/>
                      <w:color w:val="FFFFFF"/>
                      <w:sz w:val="22"/>
                      <w:szCs w:val="22"/>
                    </w:rPr>
                    <w:t xml:space="preserve">TOURISM</w:t>
                  </w:r>
                </w:p>
                <w:p>
                  <w:pPr>
                    <w:spacing w:after="0" w:before="0"/>
                    <w:jc w:val="center"/>
                  </w:pPr>
                  <w:r>
                    <w:rPr>
                      <w:rFonts w:ascii="Calibri" w:cs="Calibri" w:eastAsia="Calibri" w:hAnsi="Calibri"/>
                      <w:sz w:val="4"/>
                      <w:szCs w:val="4"/>
                    </w:rPr>
                    <w:t xml:space="preserve"/>
                  </w:r>
                </w:p>
              </w:tc>
              <w:tc>
                <w:tcPr>
                  <w:tcW w:type="dxa" w:w="2800"/>
                  <w:tcBorders>
                    <w:top w:val="single" w:color="2563EB" w:sz="1"/>
                    <w:left w:val="single" w:color="2563EB" w:sz="1"/>
                    <w:bottom w:val="single" w:color="2563EB" w:sz="1"/>
                    <w:right w:val="single" w:color="2563EB" w:sz="1"/>
                  </w:tcBorders>
                  <w:shd w:fill="EFF6FF" w:val="clear"/>
                  <w:tcMar>
                    <w:top w:type="dxa" w:w="120"/>
                    <w:left w:type="dxa" w:w="160"/>
                    <w:bottom w:type="dxa" w:w="120"/>
                    <w:right w:type="dxa" w:w="160"/>
                  </w:tcMar>
                </w:tcPr>
                <w:p>
                  <w:pPr>
                    <w:spacing w:after="60" w:before="0"/>
                    <w:jc w:val="center"/>
                  </w:pPr>
                  <w:r>
                    <w:rPr>
                      <w:rFonts w:ascii="Calibri" w:cs="Calibri" w:eastAsia="Calibri" w:hAnsi="Calibri"/>
                      <w:b/>
                      <w:bCs/>
                      <w:color w:val="2563EB"/>
                      <w:sz w:val="20"/>
                      <w:szCs w:val="20"/>
                    </w:rPr>
                    <w:t xml:space="preserve">Age_Distribution</w:t>
                  </w:r>
                </w:p>
                <w:p>
                  <w:pPr>
                    <w:spacing w:after="20" w:before="0"/>
                    <w:jc w:val="center"/>
                  </w:pPr>
                  <w:r>
                    <w:rPr>
                      <w:rFonts w:ascii="Calibri" w:cs="Calibri" w:eastAsia="Calibri" w:hAnsi="Calibri"/>
                      <w:i/>
                      <w:iCs/>
                      <w:color w:val="6B7280"/>
                      <w:sz w:val="16"/>
                      <w:szCs w:val="16"/>
                    </w:rPr>
                    <w:t xml:space="preserve">(Dimension Table)</w:t>
                  </w:r>
                </w:p>
                <w:p>
                  <w:pPr>
                    <w:spacing w:after="20" w:before="20"/>
                    <w:jc w:val="center"/>
                  </w:pPr>
                  <w:r>
                    <w:rPr>
                      <w:rFonts w:ascii="Calibri" w:cs="Calibri" w:eastAsia="Calibri" w:hAnsi="Calibri"/>
                      <w:color w:val="374151"/>
                      <w:sz w:val="18"/>
                      <w:szCs w:val="18"/>
                      <w:u w:val="single"/>
                    </w:rPr>
                    <w:t xml:space="preserve">Year (PK)</w:t>
                  </w:r>
                </w:p>
                <w:p>
                  <w:pPr>
                    <w:spacing w:after="10" w:before="10"/>
                    <w:jc w:val="center"/>
                  </w:pPr>
                  <w:r>
                    <w:rPr>
                      <w:rFonts w:ascii="Calibri" w:cs="Calibri" w:eastAsia="Calibri" w:hAnsi="Calibri"/>
                      <w:color w:val="374151"/>
                      <w:sz w:val="18"/>
                      <w:szCs w:val="18"/>
                    </w:rPr>
                    <w:t xml:space="preserve">Age_Group</w:t>
                  </w:r>
                </w:p>
                <w:p>
                  <w:pPr>
                    <w:spacing w:after="10" w:before="10"/>
                    <w:jc w:val="center"/>
                  </w:pPr>
                  <w:r>
                    <w:rPr>
                      <w:rFonts w:ascii="Calibri" w:cs="Calibri" w:eastAsia="Calibri" w:hAnsi="Calibri"/>
                      <w:color w:val="374151"/>
                      <w:sz w:val="18"/>
                      <w:szCs w:val="18"/>
                    </w:rPr>
                    <w:t xml:space="preserve">Percentage</w:t>
                  </w:r>
                </w:p>
              </w:tc>
            </w:tr>
          </w:tbl>
          <w:p>
            <w:pPr>
              <w:spacing w:after="0" w:before="40"/>
            </w:pPr>
            <w:r>
              <w:rPr>
                <w:rFonts w:ascii="Calibri" w:cs="Calibri" w:eastAsia="Calibri" w:hAnsi="Calibri"/>
              </w:rPr>
              <w:t xml:space="preserve"/>
            </w:r>
          </w:p>
          <w:p>
            <w:pPr>
              <w:spacing w:after="60" w:before="0"/>
              <w:jc w:val="center"/>
            </w:pPr>
            <w:r>
              <w:rPr>
                <w:rFonts w:ascii="Calibri" w:cs="Calibri" w:eastAsia="Calibri" w:hAnsi="Calibri"/>
                <w:b/>
                <w:bCs/>
                <w:color w:val="1B3A6B"/>
                <w:sz w:val="20"/>
                <w:szCs w:val="20"/>
              </w:rPr>
              <w:t xml:space="preserve">FACT TABLE — Tourism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B3A6B" w:sz="1"/>
                    <w:left w:val="single" w:color="1B3A6B" w:sz="1"/>
                    <w:bottom w:val="single" w:color="1B3A6B" w:sz="1"/>
                    <w:right w:val="single" w:color="1B3A6B" w:sz="1"/>
                  </w:tcBorders>
                  <w:shd w:fill="1B3A6B" w:val="clear"/>
                  <w:tcMar>
                    <w:top w:type="dxa" w:w="100"/>
                    <w:left w:type="dxa" w:w="200"/>
                    <w:bottom w:type="dxa" w:w="100"/>
                    <w:right w:type="dxa" w:w="200"/>
                  </w:tcMar>
                </w:tcPr>
                <w:p>
                  <w:pPr>
                    <w:spacing w:after="40" w:before="0"/>
                    <w:jc w:val="center"/>
                  </w:pPr>
                  <w:r>
                    <w:rPr>
                      <w:rFonts w:ascii="Calibri" w:cs="Calibri" w:eastAsia="Calibri" w:hAnsi="Calibri"/>
                      <w:b/>
                      <w:bCs/>
                      <w:color w:val="FFFFFF"/>
                      <w:sz w:val="20"/>
                      <w:szCs w:val="20"/>
                    </w:rPr>
                    <w:t xml:space="preserve">Circle (Region)  |  Monument  |  Type  |  Year (FK)  |  Tourists</w:t>
                  </w:r>
                </w:p>
                <w:p>
                  <w:pPr>
                    <w:jc w:val="center"/>
                  </w:pPr>
                  <w:r>
                    <w:rPr>
                      <w:rFonts w:ascii="Calibri" w:cs="Calibri" w:eastAsia="Calibri" w:hAnsi="Calibri"/>
                      <w:i/>
                      <w:iCs/>
                      <w:color w:val="B0C4DE"/>
                      <w:sz w:val="16"/>
                      <w:szCs w:val="16"/>
                    </w:rPr>
                    <w:t xml:space="preserve">Connects to Earnings &amp; Age_Distribution via Year</w:t>
                  </w:r>
                </w:p>
              </w:tc>
            </w:tr>
          </w:tbl>
          <w:p/>
        </w:tc>
      </w:tr>
    </w:tbl>
    <w:p>
      <w:pPr>
        <w:spacing w:after="0" w:before="12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4.2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From (Fact)</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 (Dimension)</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w:t>
            </w:r>
          </w:p>
        </w:tc>
        <w:tc>
          <w:tcPr>
            <w:tcW w:type="dxa" w:w="2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Cardinality</w:t>
            </w:r>
          </w:p>
        </w:tc>
      </w:tr>
      <w:tr>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Tourism[Year]</w:t>
            </w:r>
          </w:p>
        </w:tc>
        <w:tc>
          <w:tcPr>
            <w:tcW w:type="dxa" w:w="28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Earnings[Year]</w:t>
            </w:r>
          </w:p>
        </w:tc>
        <w:tc>
          <w:tcPr>
            <w:tcW w:type="dxa" w:w="15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Many → One</w:t>
            </w:r>
          </w:p>
        </w:tc>
        <w:tc>
          <w:tcPr>
            <w:tcW w:type="dxa" w:w="22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Multiple monument records per year → One earnings record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Tourism[Year]</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Age_Distribution[Year]</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Many → Many</w:t>
            </w:r>
          </w:p>
        </w:tc>
        <w:tc>
          <w:tcPr>
            <w:tcW w:type="dxa" w:w="2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Multiple monuments &amp; age groups per year; bridge relationship</w:t>
            </w:r>
          </w:p>
        </w:tc>
      </w:tr>
    </w:tbl>
    <w:p>
      <w:pPr>
        <w:spacing w:after="0" w:before="80"/>
      </w:pPr>
      <w:r>
        <w:rPr>
          <w:rFonts w:ascii="Calibri" w:cs="Calibri" w:eastAsia="Calibri" w:hAnsi="Calibri"/>
        </w:rPr>
        <w:t xml:space="preserve"/>
      </w:r>
    </w:p>
    <w:p>
      <w:pPr>
        <w:spacing w:after="100" w:before="60"/>
      </w:pPr>
      <w:r>
        <w:rPr>
          <w:rFonts w:ascii="Calibri" w:cs="Calibri" w:eastAsia="Calibri" w:hAnsi="Calibri"/>
          <w:color w:val="374151"/>
          <w:sz w:val="22"/>
          <w:szCs w:val="22"/>
        </w:rPr>
        <w:t xml:space="preserve">Note: The Many-to-Many relationship between Tourism and Age_Distribution exists because both tables have multiple records per year. In enterprise projects this would be resolved with a dedicated Date Dimension table. In this project, cross-filter direction was set to Single to avoid ambiguous filtering.</w:t>
      </w:r>
    </w:p>
    <w:p>
      <w:pPr>
        <w:spacing w:after="0" w:before="200"/>
      </w:pPr>
      <w:r>
        <w:rPr>
          <w:rFonts w:ascii="Calibri" w:cs="Calibri" w:eastAsia="Calibri" w:hAnsi="Calibri"/>
        </w:rPr>
        <w:t xml:space="preserve"/>
      </w:r>
    </w:p>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5. DAX Measures (Calculations)</w:t>
      </w:r>
    </w:p>
    <w:p>
      <w:pPr>
        <w:spacing w:after="100" w:before="60"/>
      </w:pPr>
      <w:r>
        <w:rPr>
          <w:rFonts w:ascii="Calibri" w:cs="Calibri" w:eastAsia="Calibri" w:hAnsi="Calibri"/>
          <w:color w:val="374151"/>
          <w:sz w:val="22"/>
          <w:szCs w:val="22"/>
        </w:rPr>
        <w:t xml:space="preserve">DAX (Data Analysis Expressions) is the formula language used in Power BI to create calculated measures. All KPI cards and chart values are driven by these measures. Unlike calculated columns (row-level), measures are evaluated dynamically based on the current filter context.</w:t>
      </w:r>
    </w:p>
    <w:p>
      <w:pPr>
        <w:spacing w:after="0" w:before="10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5.1 Core KPI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Measure Name</w:t>
            </w:r>
          </w:p>
        </w:tc>
        <w:tc>
          <w:tcPr>
            <w:tcW w:type="dxa" w:w="6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DAX Formula</w:t>
            </w:r>
          </w:p>
        </w:tc>
      </w:tr>
      <w:tr>
        <w:tc>
          <w:tcPr>
            <w:tcW w:type="dxa" w:w="25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Total Tourists</w:t>
            </w:r>
          </w:p>
        </w:tc>
        <w:tc>
          <w:tcPr>
            <w:tcW w:type="dxa" w:w="68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Courier New" w:cs="Courier New" w:eastAsia="Courier New" w:hAnsi="Courier New"/>
                <w:color w:val="1B3A6B"/>
                <w:sz w:val="18"/>
                <w:szCs w:val="18"/>
              </w:rPr>
              <w:t xml:space="preserve">Total Tourists = SUM(Tourism[Tourists])</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Domestic Tourists</w:t>
            </w:r>
          </w:p>
        </w:tc>
        <w:tc>
          <w:tcPr>
            <w:tcW w:type="dxa" w:w="68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pPr>
              <w:spacing w:after="0" w:before="0"/>
            </w:pPr>
            <w:r>
              <w:rPr>
                <w:rFonts w:ascii="Courier New" w:cs="Courier New" w:eastAsia="Courier New" w:hAnsi="Courier New"/>
                <w:color w:val="1B3A6B"/>
                <w:sz w:val="18"/>
                <w:szCs w:val="18"/>
              </w:rPr>
              <w:t xml:space="preserve">Domestic Tourists =</w:t>
            </w:r>
          </w:p>
          <w:p>
            <w:pPr>
              <w:spacing w:after="0" w:before="0"/>
            </w:pPr>
            <w:r>
              <w:rPr>
                <w:rFonts w:ascii="Courier New" w:cs="Courier New" w:eastAsia="Courier New" w:hAnsi="Courier New"/>
                <w:color w:val="1B3A6B"/>
                <w:sz w:val="18"/>
                <w:szCs w:val="18"/>
              </w:rPr>
              <w:t xml:space="preserve">CALCULATE(</w:t>
            </w:r>
          </w:p>
          <w:p>
            <w:pPr>
              <w:spacing w:after="0" w:before="0"/>
            </w:pPr>
            <w:r>
              <w:rPr>
                <w:rFonts w:ascii="Courier New" w:cs="Courier New" w:eastAsia="Courier New" w:hAnsi="Courier New"/>
                <w:color w:val="1B3A6B"/>
                <w:sz w:val="18"/>
                <w:szCs w:val="18"/>
              </w:rPr>
              <w:t xml:space="preserve">    SUM(Tourism[Tourists]),</w:t>
            </w:r>
          </w:p>
          <w:p>
            <w:pPr>
              <w:spacing w:after="0" w:before="0"/>
            </w:pPr>
            <w:r>
              <w:rPr>
                <w:rFonts w:ascii="Courier New" w:cs="Courier New" w:eastAsia="Courier New" w:hAnsi="Courier New"/>
                <w:color w:val="1B3A6B"/>
                <w:sz w:val="18"/>
                <w:szCs w:val="18"/>
              </w:rPr>
              <w:t xml:space="preserve">    Tourism[Type] = "Domestic"</w:t>
            </w:r>
          </w:p>
          <w:p>
            <w:pPr>
              <w:spacing w:after="0" w:before="0"/>
            </w:pPr>
            <w:r>
              <w:rPr>
                <w:rFonts w:ascii="Courier New" w:cs="Courier New" w:eastAsia="Courier New" w:hAnsi="Courier New"/>
                <w:color w:val="1B3A6B"/>
                <w:sz w:val="18"/>
                <w:szCs w:val="18"/>
              </w:rPr>
              <w:t xml:space="preserve">)</w:t>
            </w:r>
          </w:p>
        </w:tc>
      </w:tr>
      <w:tr>
        <w:tc>
          <w:tcPr>
            <w:tcW w:type="dxa" w:w="25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Foreign Tourists</w:t>
            </w:r>
          </w:p>
        </w:tc>
        <w:tc>
          <w:tcPr>
            <w:tcW w:type="dxa" w:w="68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pPr>
              <w:spacing w:after="0" w:before="0"/>
            </w:pPr>
            <w:r>
              <w:rPr>
                <w:rFonts w:ascii="Courier New" w:cs="Courier New" w:eastAsia="Courier New" w:hAnsi="Courier New"/>
                <w:color w:val="1B3A6B"/>
                <w:sz w:val="18"/>
                <w:szCs w:val="18"/>
              </w:rPr>
              <w:t xml:space="preserve">Foreign Tourists =</w:t>
            </w:r>
          </w:p>
          <w:p>
            <w:pPr>
              <w:spacing w:after="0" w:before="0"/>
            </w:pPr>
            <w:r>
              <w:rPr>
                <w:rFonts w:ascii="Courier New" w:cs="Courier New" w:eastAsia="Courier New" w:hAnsi="Courier New"/>
                <w:color w:val="1B3A6B"/>
                <w:sz w:val="18"/>
                <w:szCs w:val="18"/>
              </w:rPr>
              <w:t xml:space="preserve">CALCULATE(</w:t>
            </w:r>
          </w:p>
          <w:p>
            <w:pPr>
              <w:spacing w:after="0" w:before="0"/>
            </w:pPr>
            <w:r>
              <w:rPr>
                <w:rFonts w:ascii="Courier New" w:cs="Courier New" w:eastAsia="Courier New" w:hAnsi="Courier New"/>
                <w:color w:val="1B3A6B"/>
                <w:sz w:val="18"/>
                <w:szCs w:val="18"/>
              </w:rPr>
              <w:t xml:space="preserve">    SUM(Tourism[Tourists]),</w:t>
            </w:r>
          </w:p>
          <w:p>
            <w:pPr>
              <w:spacing w:after="0" w:before="0"/>
            </w:pPr>
            <w:r>
              <w:rPr>
                <w:rFonts w:ascii="Courier New" w:cs="Courier New" w:eastAsia="Courier New" w:hAnsi="Courier New"/>
                <w:color w:val="1B3A6B"/>
                <w:sz w:val="18"/>
                <w:szCs w:val="18"/>
              </w:rPr>
              <w:t xml:space="preserve">    Tourism[Type] = "Foreign"</w:t>
            </w:r>
          </w:p>
          <w:p>
            <w:pPr>
              <w:spacing w:after="0" w:before="0"/>
            </w:pPr>
            <w:r>
              <w:rPr>
                <w:rFonts w:ascii="Courier New" w:cs="Courier New" w:eastAsia="Courier New" w:hAnsi="Courier New"/>
                <w:color w:val="1B3A6B"/>
                <w:sz w:val="18"/>
                <w:szCs w:val="18"/>
              </w:rPr>
              <w:t xml:space="preserve">)</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Total Earnings (USD M)</w:t>
            </w:r>
          </w:p>
        </w:tc>
        <w:tc>
          <w:tcPr>
            <w:tcW w:type="dxa" w:w="68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Courier New" w:cs="Courier New" w:eastAsia="Courier New" w:hAnsi="Courier New"/>
                <w:color w:val="1B3A6B"/>
                <w:sz w:val="18"/>
                <w:szCs w:val="18"/>
              </w:rPr>
              <w:t xml:space="preserve">Total Earnings = SUM(Earnings[Earnings_USD])</w:t>
            </w:r>
          </w:p>
        </w:tc>
      </w:tr>
      <w:tr>
        <w:tc>
          <w:tcPr>
            <w:tcW w:type="dxa" w:w="25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Domestic %</w:t>
            </w:r>
          </w:p>
        </w:tc>
        <w:tc>
          <w:tcPr>
            <w:tcW w:type="dxa" w:w="68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pPr>
              <w:spacing w:after="0" w:before="0"/>
            </w:pPr>
            <w:r>
              <w:rPr>
                <w:rFonts w:ascii="Courier New" w:cs="Courier New" w:eastAsia="Courier New" w:hAnsi="Courier New"/>
                <w:color w:val="1B3A6B"/>
                <w:sz w:val="18"/>
                <w:szCs w:val="18"/>
              </w:rPr>
              <w:t xml:space="preserve">Domestic % =</w:t>
            </w:r>
          </w:p>
          <w:p>
            <w:pPr>
              <w:spacing w:after="0" w:before="0"/>
            </w:pPr>
            <w:r>
              <w:rPr>
                <w:rFonts w:ascii="Courier New" w:cs="Courier New" w:eastAsia="Courier New" w:hAnsi="Courier New"/>
                <w:color w:val="1B3A6B"/>
                <w:sz w:val="18"/>
                <w:szCs w:val="18"/>
              </w:rPr>
              <w:t xml:space="preserve">DIVIDE([Domestic Tourists], [Total Tourists], 0)</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COVID Impact %</w:t>
            </w:r>
          </w:p>
        </w:tc>
        <w:tc>
          <w:tcPr>
            <w:tcW w:type="dxa" w:w="68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pPr>
              <w:spacing w:after="0" w:before="0"/>
            </w:pPr>
            <w:r>
              <w:rPr>
                <w:rFonts w:ascii="Courier New" w:cs="Courier New" w:eastAsia="Courier New" w:hAnsi="Courier New"/>
                <w:color w:val="1B3A6B"/>
                <w:sz w:val="18"/>
                <w:szCs w:val="18"/>
              </w:rPr>
              <w:t xml:space="preserve">Avg Growth % =</w:t>
            </w:r>
          </w:p>
          <w:p>
            <w:pPr>
              <w:spacing w:after="0" w:before="0"/>
            </w:pPr>
            <w:r>
              <w:rPr>
                <w:rFonts w:ascii="Courier New" w:cs="Courier New" w:eastAsia="Courier New" w:hAnsi="Courier New"/>
                <w:color w:val="1B3A6B"/>
                <w:sz w:val="18"/>
                <w:szCs w:val="18"/>
              </w:rPr>
              <w:t xml:space="preserve">AVERAGE(Tourism[Growth_Pct])</w:t>
            </w:r>
          </w:p>
        </w:tc>
      </w:tr>
    </w:tbl>
    <w:p>
      <w:pPr>
        <w:spacing w:after="0" w:before="200"/>
      </w:pPr>
      <w:r>
        <w:rPr>
          <w:rFonts w:ascii="Calibri" w:cs="Calibri" w:eastAsia="Calibri" w:hAnsi="Calibri"/>
        </w:rPr>
        <w:t xml:space="preserve"/>
      </w:r>
    </w:p>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6. Dashboard Design &amp; Visualizations</w:t>
      </w:r>
    </w:p>
    <w:p>
      <w:pPr>
        <w:spacing w:after="100" w:before="60"/>
      </w:pPr>
      <w:r>
        <w:rPr>
          <w:rFonts w:ascii="Calibri" w:cs="Calibri" w:eastAsia="Calibri" w:hAnsi="Calibri"/>
          <w:color w:val="374151"/>
          <w:sz w:val="22"/>
          <w:szCs w:val="22"/>
        </w:rPr>
        <w:t xml:space="preserve">The Power BI dashboard is structured across three pages, each dedicated to a specific analytical dimension. This multi-page layout follows enterprise BI design standards with a top KPI bar, interactive visuals, and dynamic slicers.</w:t>
      </w:r>
    </w:p>
    <w:p>
      <w:pPr>
        <w:spacing w:after="0" w:before="10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6.1 Page 1 – Tourism Overview</w:t>
      </w:r>
    </w:p>
    <w:p>
      <w:pPr>
        <w:pStyle w:val="Heading3"/>
        <w:spacing w:after="80" w:before="180"/>
      </w:pPr>
      <w:r>
        <w:rPr>
          <w:rFonts w:ascii="Calibri" w:cs="Calibri" w:eastAsia="Calibri" w:hAnsi="Calibri"/>
          <w:b/>
          <w:bCs/>
          <w:color w:val="374151"/>
          <w:sz w:val="24"/>
          <w:szCs w:val="24"/>
        </w:rPr>
        <w:t xml:space="preserve">KPI Cards (Top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1B3A6B"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FFFFFF"/>
                <w:sz w:val="36"/>
                <w:szCs w:val="36"/>
              </w:rPr>
              <w:t xml:space="preserve">8.03M</w:t>
            </w:r>
          </w:p>
          <w:p>
            <w:pPr>
              <w:jc w:val="center"/>
            </w:pPr>
            <w:r>
              <w:rPr>
                <w:rFonts w:ascii="Calibri" w:cs="Calibri" w:eastAsia="Calibri" w:hAnsi="Calibri"/>
                <w:color w:val="6B7280"/>
                <w:sz w:val="18"/>
                <w:szCs w:val="18"/>
              </w:rPr>
              <w:t xml:space="preserve">Total Tourists (FY19-20)</w:t>
            </w:r>
          </w:p>
        </w:tc>
        <w:tc>
          <w:tcPr>
            <w:tcW w:type="dxa" w:w="2340"/>
            <w:tcBorders>
              <w:top w:val="single" w:color="2563EB" w:sz="1"/>
              <w:left w:val="single" w:color="2563EB" w:sz="1"/>
              <w:bottom w:val="single" w:color="2563EB" w:sz="1"/>
              <w:right w:val="single" w:color="2563EB" w:sz="1"/>
            </w:tcBorders>
            <w:shd w:fill="2563EB"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FFFFFF"/>
                <w:sz w:val="36"/>
                <w:szCs w:val="36"/>
              </w:rPr>
              <w:t xml:space="preserve">7.63M</w:t>
            </w:r>
          </w:p>
          <w:p>
            <w:pPr>
              <w:jc w:val="center"/>
            </w:pPr>
            <w:r>
              <w:rPr>
                <w:rFonts w:ascii="Calibri" w:cs="Calibri" w:eastAsia="Calibri" w:hAnsi="Calibri"/>
                <w:color w:val="6B7280"/>
                <w:sz w:val="18"/>
                <w:szCs w:val="18"/>
              </w:rPr>
              <w:t xml:space="preserve">Domestic Visitors</w:t>
            </w:r>
          </w:p>
        </w:tc>
        <w:tc>
          <w:tcPr>
            <w:tcW w:type="dxa" w:w="2340"/>
            <w:tcBorders>
              <w:top w:val="single" w:color="2563EB" w:sz="1"/>
              <w:left w:val="single" w:color="2563EB" w:sz="1"/>
              <w:bottom w:val="single" w:color="2563EB" w:sz="1"/>
              <w:right w:val="single" w:color="2563EB" w:sz="1"/>
            </w:tcBorders>
            <w:shd w:fill="FEF3C7"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374151"/>
                <w:sz w:val="36"/>
                <w:szCs w:val="36"/>
              </w:rPr>
              <w:t xml:space="preserve">1.39M</w:t>
            </w:r>
          </w:p>
          <w:p>
            <w:pPr>
              <w:jc w:val="center"/>
            </w:pPr>
            <w:r>
              <w:rPr>
                <w:rFonts w:ascii="Calibri" w:cs="Calibri" w:eastAsia="Calibri" w:hAnsi="Calibri"/>
                <w:color w:val="6B7280"/>
                <w:sz w:val="18"/>
                <w:szCs w:val="18"/>
              </w:rPr>
              <w:t xml:space="preserve">Foreign Visitors</w:t>
            </w:r>
          </w:p>
        </w:tc>
        <w:tc>
          <w:tcPr>
            <w:tcW w:type="dxa" w:w="2340"/>
            <w:tcBorders>
              <w:top w:val="single" w:color="2563EB" w:sz="1"/>
              <w:left w:val="single" w:color="2563EB" w:sz="1"/>
              <w:bottom w:val="single" w:color="2563EB" w:sz="1"/>
              <w:right w:val="single" w:color="2563EB" w:sz="1"/>
            </w:tcBorders>
            <w:shd w:fill="DCFCE7"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6A34A"/>
                <w:sz w:val="36"/>
                <w:szCs w:val="36"/>
              </w:rPr>
              <w:t xml:space="preserve">84.6%</w:t>
            </w:r>
          </w:p>
          <w:p>
            <w:pPr>
              <w:jc w:val="center"/>
            </w:pPr>
            <w:r>
              <w:rPr>
                <w:rFonts w:ascii="Calibri" w:cs="Calibri" w:eastAsia="Calibri" w:hAnsi="Calibri"/>
                <w:color w:val="6B7280"/>
                <w:sz w:val="18"/>
                <w:szCs w:val="18"/>
              </w:rPr>
              <w:t xml:space="preserve">Dom. Share</w:t>
            </w:r>
          </w:p>
        </w:tc>
      </w:tr>
    </w:tbl>
    <w:p>
      <w:pPr>
        <w:spacing w:after="0" w:before="100"/>
      </w:pPr>
      <w:r>
        <w:rPr>
          <w:rFonts w:ascii="Calibri" w:cs="Calibri" w:eastAsia="Calibri" w:hAnsi="Calibri"/>
        </w:rPr>
        <w:t xml:space="preserve"/>
      </w:r>
    </w:p>
    <w:p>
      <w:pPr>
        <w:pStyle w:val="Heading3"/>
        <w:spacing w:after="80" w:before="180"/>
      </w:pPr>
      <w:r>
        <w:rPr>
          <w:rFonts w:ascii="Calibri" w:cs="Calibri" w:eastAsia="Calibri" w:hAnsi="Calibri"/>
          <w:b/>
          <w:bCs/>
          <w:color w:val="374151"/>
          <w:sz w:val="24"/>
          <w:szCs w:val="24"/>
        </w:rPr>
        <w:t xml:space="preserve">Visual 1: Tourist Count by Monument (Bar Chart)</w:t>
      </w:r>
    </w:p>
    <w:p>
      <w:pPr>
        <w:spacing w:after="100" w:before="60"/>
      </w:pPr>
      <w:r>
        <w:rPr>
          <w:rFonts w:ascii="Calibri" w:cs="Calibri" w:eastAsia="Calibri" w:hAnsi="Calibri"/>
          <w:color w:val="374151"/>
          <w:sz w:val="22"/>
          <w:szCs w:val="22"/>
        </w:rPr>
        <w:t xml:space="preserve">Visual type: Horizontal Bar Chart</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Axis (Y): Name of Monument</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Values (X): Total Tourists measure</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Legend: Type (Domestic / Foreign) — stacked bars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Top 10 filter applied using Top N visual-level filter</w:t>
      </w:r>
    </w:p>
    <w:p>
      <w:pPr>
        <w:spacing w:after="100" w:before="60"/>
      </w:pPr>
      <w:r>
        <w:rPr>
          <w:rFonts w:ascii="Calibri" w:cs="Calibri" w:eastAsia="Calibri" w:hAnsi="Calibri"/>
          <w:color w:val="374151"/>
          <w:sz w:val="22"/>
          <w:szCs w:val="22"/>
        </w:rPr>
        <w:t xml:space="preserve">Insight: Taj Mahal dominates with 4.4M domestic visitors in FY 2019-20, followed by Excavated Remains at Sarnath and Rani Jhansi Fort.</w:t>
      </w:r>
    </w:p>
    <w:p>
      <w:pPr>
        <w:spacing w:after="0" w:before="80"/>
      </w:pPr>
      <w:r>
        <w:rPr>
          <w:rFonts w:ascii="Calibri" w:cs="Calibri" w:eastAsia="Calibri" w:hAnsi="Calibri"/>
        </w:rPr>
        <w:t xml:space="preserve"/>
      </w:r>
    </w:p>
    <w:p>
      <w:pPr>
        <w:pStyle w:val="Heading3"/>
        <w:spacing w:after="80" w:before="180"/>
      </w:pPr>
      <w:r>
        <w:rPr>
          <w:rFonts w:ascii="Calibri" w:cs="Calibri" w:eastAsia="Calibri" w:hAnsi="Calibri"/>
          <w:b/>
          <w:bCs/>
          <w:color w:val="374151"/>
          <w:sz w:val="24"/>
          <w:szCs w:val="24"/>
        </w:rPr>
        <w:t xml:space="preserve">Visual 2: Region-Wise Performance (Clustered Column Chart)</w:t>
      </w:r>
    </w:p>
    <w:p>
      <w:pPr>
        <w:spacing w:after="100" w:before="60"/>
      </w:pPr>
      <w:r>
        <w:rPr>
          <w:rFonts w:ascii="Calibri" w:cs="Calibri" w:eastAsia="Calibri" w:hAnsi="Calibri"/>
          <w:color w:val="374151"/>
          <w:sz w:val="22"/>
          <w:szCs w:val="22"/>
        </w:rPr>
        <w:t xml:space="preserve">Visual type: Clustered Column Chart</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Axis (X): Circle (Region/ASI Circle)</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Values (Y): Total Tourists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Color: Domestic vs Foreign comparison</w:t>
      </w:r>
    </w:p>
    <w:p>
      <w:pPr>
        <w:spacing w:after="100" w:before="60"/>
      </w:pPr>
      <w:r>
        <w:rPr>
          <w:rFonts w:ascii="Calibri" w:cs="Calibri" w:eastAsia="Calibri" w:hAnsi="Calibri"/>
          <w:color w:val="374151"/>
          <w:sz w:val="22"/>
          <w:szCs w:val="22"/>
        </w:rPr>
        <w:t xml:space="preserve">Insight: Agra Circle alone accounts for over 7.6M domestic tourists — the single largest tourism hub in India by monument footfall.</w:t>
      </w:r>
    </w:p>
    <w:p>
      <w:pPr>
        <w:spacing w:after="0" w:before="80"/>
      </w:pPr>
      <w:r>
        <w:rPr>
          <w:rFonts w:ascii="Calibri" w:cs="Calibri" w:eastAsia="Calibri" w:hAnsi="Calibri"/>
        </w:rPr>
        <w:t xml:space="preserve"/>
      </w:r>
    </w:p>
    <w:p>
      <w:pPr>
        <w:pStyle w:val="Heading3"/>
        <w:spacing w:after="80" w:before="180"/>
      </w:pPr>
      <w:r>
        <w:rPr>
          <w:rFonts w:ascii="Calibri" w:cs="Calibri" w:eastAsia="Calibri" w:hAnsi="Calibri"/>
          <w:b/>
          <w:bCs/>
          <w:color w:val="374151"/>
          <w:sz w:val="24"/>
          <w:szCs w:val="24"/>
        </w:rPr>
        <w:t xml:space="preserve">Visual 3: Domestic vs Foreign Split (Donut Chart)</w:t>
      </w:r>
    </w:p>
    <w:p>
      <w:pPr>
        <w:spacing w:after="100" w:before="60"/>
      </w:pPr>
      <w:r>
        <w:rPr>
          <w:rFonts w:ascii="Calibri" w:cs="Calibri" w:eastAsia="Calibri" w:hAnsi="Calibri"/>
          <w:color w:val="374151"/>
          <w:sz w:val="22"/>
          <w:szCs w:val="22"/>
        </w:rPr>
        <w:t xml:space="preserve">Visual type: Donut Chart</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Legend: Type</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Values: Total Tourists</w:t>
      </w:r>
    </w:p>
    <w:p>
      <w:pPr>
        <w:spacing w:after="100" w:before="60"/>
      </w:pPr>
      <w:r>
        <w:rPr>
          <w:rFonts w:ascii="Calibri" w:cs="Calibri" w:eastAsia="Calibri" w:hAnsi="Calibri"/>
          <w:color w:val="374151"/>
          <w:sz w:val="22"/>
          <w:szCs w:val="22"/>
        </w:rPr>
        <w:t xml:space="preserve">Insight: 85% of all monument visitors are domestic tourists. Foreign tourism is heavily concentrated at iconic heritage sites (Taj Mahal, Agra Fort).</w:t>
      </w:r>
    </w:p>
    <w:p>
      <w:pPr>
        <w:spacing w:after="0" w:before="80"/>
      </w:pPr>
      <w:r>
        <w:rPr>
          <w:rFonts w:ascii="Calibri" w:cs="Calibri" w:eastAsia="Calibri" w:hAnsi="Calibri"/>
        </w:rPr>
        <w:t xml:space="preserve"/>
      </w:r>
    </w:p>
    <w:p>
      <w:pPr>
        <w:pStyle w:val="Heading3"/>
        <w:spacing w:after="80" w:before="180"/>
      </w:pPr>
      <w:r>
        <w:rPr>
          <w:rFonts w:ascii="Calibri" w:cs="Calibri" w:eastAsia="Calibri" w:hAnsi="Calibri"/>
          <w:b/>
          <w:bCs/>
          <w:color w:val="374151"/>
          <w:sz w:val="24"/>
          <w:szCs w:val="24"/>
        </w:rPr>
        <w:t xml:space="preserve">Visual 4: COVID-19 Impact (KPI + Card)</w:t>
      </w:r>
    </w:p>
    <w:p>
      <w:pPr>
        <w:spacing w:after="100" w:before="60"/>
      </w:pPr>
      <w:r>
        <w:rPr>
          <w:rFonts w:ascii="Calibri" w:cs="Calibri" w:eastAsia="Calibri" w:hAnsi="Calibri"/>
          <w:color w:val="374151"/>
          <w:sz w:val="22"/>
          <w:szCs w:val="22"/>
        </w:rPr>
        <w:t xml:space="preserve">Comparison of FY 2019-20 vs FY 2020-21 tourist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Metric</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FY 2019-20</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FY 2020-21 (COVID)</w:t>
            </w:r>
          </w:p>
        </w:tc>
      </w:tr>
      <w:tr>
        <w:tc>
          <w:tcPr>
            <w:tcW w:type="dxa" w:w="312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Domestic Visitors</w:t>
            </w:r>
          </w:p>
        </w:tc>
        <w:tc>
          <w:tcPr>
            <w:tcW w:type="dxa" w:w="312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7,632,914</w:t>
            </w:r>
          </w:p>
        </w:tc>
        <w:tc>
          <w:tcPr>
            <w:tcW w:type="dxa" w:w="312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2,061,695 (-73%)</w:t>
            </w:r>
          </w:p>
        </w:tc>
      </w:tr>
      <w:tr>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Foreign Visitors</w:t>
            </w:r>
          </w:p>
        </w:tc>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1,394,635</w:t>
            </w:r>
          </w:p>
        </w:tc>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14,099 (-99%)</w:t>
            </w:r>
          </w:p>
        </w:tc>
      </w:tr>
      <w:tr>
        <w:tc>
          <w:tcPr>
            <w:tcW w:type="dxa" w:w="312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Total</w:t>
            </w:r>
          </w:p>
        </w:tc>
        <w:tc>
          <w:tcPr>
            <w:tcW w:type="dxa" w:w="312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9,027,549</w:t>
            </w:r>
          </w:p>
        </w:tc>
        <w:tc>
          <w:tcPr>
            <w:tcW w:type="dxa" w:w="312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2,075,794 (-77%)</w:t>
            </w:r>
          </w:p>
        </w:tc>
      </w:tr>
    </w:tbl>
    <w:p>
      <w:pPr>
        <w:spacing w:after="0" w:before="80"/>
      </w:pPr>
      <w:r>
        <w:rPr>
          <w:rFonts w:ascii="Calibri" w:cs="Calibri" w:eastAsia="Calibri" w:hAnsi="Calibri"/>
        </w:rPr>
        <w:t xml:space="preserve"/>
      </w:r>
    </w:p>
    <w:p>
      <w:pPr>
        <w:spacing w:after="100" w:before="60"/>
      </w:pPr>
      <w:r>
        <w:rPr>
          <w:rFonts w:ascii="Calibri" w:cs="Calibri" w:eastAsia="Calibri" w:hAnsi="Calibri"/>
          <w:color w:val="374151"/>
          <w:sz w:val="22"/>
          <w:szCs w:val="22"/>
        </w:rPr>
        <w:t xml:space="preserve">Slicers on this page: Year, Circle (Region)</w:t>
      </w:r>
    </w:p>
    <w:p>
      <w:pPr>
        <w:spacing w:after="0" w:before="12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6.2 Page 2 – Earnings &amp; Economic Impact</w:t>
      </w:r>
    </w:p>
    <w:p>
      <w:pPr>
        <w:pStyle w:val="Heading3"/>
        <w:spacing w:after="80" w:before="180"/>
      </w:pPr>
      <w:r>
        <w:rPr>
          <w:rFonts w:ascii="Calibri" w:cs="Calibri" w:eastAsia="Calibri" w:hAnsi="Calibri"/>
          <w:b/>
          <w:bCs/>
          <w:color w:val="374151"/>
          <w:sz w:val="24"/>
          <w:szCs w:val="24"/>
        </w:rPr>
        <w:t xml:space="preserve">Visual 5: FEE Trend Line Chart (2001–2020)</w:t>
      </w:r>
    </w:p>
    <w:p>
      <w:pPr>
        <w:spacing w:after="100" w:before="60"/>
      </w:pPr>
      <w:r>
        <w:rPr>
          <w:rFonts w:ascii="Calibri" w:cs="Calibri" w:eastAsia="Calibri" w:hAnsi="Calibri"/>
          <w:color w:val="374151"/>
          <w:sz w:val="22"/>
          <w:szCs w:val="22"/>
        </w:rPr>
        <w:t xml:space="preserve">Visual type: Line Chart</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X-Axis: Year</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Y-Axis: Earnings_USD (in Million USD)</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Data labels enabled for peak and trough years</w:t>
      </w:r>
    </w:p>
    <w:p>
      <w:pPr>
        <w:spacing w:after="100" w:before="60"/>
      </w:pPr>
      <w:r>
        <w:rPr>
          <w:rFonts w:ascii="Calibri" w:cs="Calibri" w:eastAsia="Calibri" w:hAnsi="Calibri"/>
          <w:color w:val="374151"/>
          <w:sz w:val="22"/>
          <w:szCs w:val="22"/>
        </w:rPr>
        <w:t xml:space="preserve">Insight: Foreign Exchange Earnings grew from $3.2 Billion in 2001 to $30.1 Billion in 2019 — a 9.4x increase over 18 years. In 2020, earnings collapsed to $6.96 Billion (a -76.9% crash) due to COVID-19 travel restrictions.</w:t>
      </w:r>
    </w:p>
    <w:p>
      <w:pPr>
        <w:spacing w:after="0" w:before="80"/>
      </w:pPr>
      <w:r>
        <w:rPr>
          <w:rFonts w:ascii="Calibri" w:cs="Calibri" w:eastAsia="Calibri" w:hAnsi="Calibri"/>
        </w:rPr>
        <w:t xml:space="preserve"/>
      </w:r>
    </w:p>
    <w:p>
      <w:pPr>
        <w:pStyle w:val="Heading3"/>
        <w:spacing w:after="80" w:before="180"/>
      </w:pPr>
      <w:r>
        <w:rPr>
          <w:rFonts w:ascii="Calibri" w:cs="Calibri" w:eastAsia="Calibri" w:hAnsi="Calibri"/>
          <w:b/>
          <w:bCs/>
          <w:color w:val="374151"/>
          <w:sz w:val="24"/>
          <w:szCs w:val="24"/>
        </w:rPr>
        <w:t xml:space="preserve">Visual 6: Year-on-Year Growth Rate (Waterfall Chart)</w:t>
      </w:r>
    </w:p>
    <w:p>
      <w:pPr>
        <w:spacing w:after="100" w:before="60"/>
      </w:pPr>
      <w:r>
        <w:rPr>
          <w:rFonts w:ascii="Calibri" w:cs="Calibri" w:eastAsia="Calibri" w:hAnsi="Calibri"/>
          <w:color w:val="374151"/>
          <w:sz w:val="22"/>
          <w:szCs w:val="22"/>
        </w:rPr>
        <w:t xml:space="preserve">Visual type: Waterfall / Column Chart with conditional formatting</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Positive growth: Green bars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Negative growth (2009, 2020): Red bars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2020 shows the most extreme negative value (-76.9%)</w:t>
      </w:r>
    </w:p>
    <w:p>
      <w:pPr>
        <w:spacing w:after="0" w:before="12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6.3 Page 3 – Age Demographic Analysis</w:t>
      </w:r>
    </w:p>
    <w:p>
      <w:pPr>
        <w:pStyle w:val="Heading3"/>
        <w:spacing w:after="80" w:before="180"/>
      </w:pPr>
      <w:r>
        <w:rPr>
          <w:rFonts w:ascii="Calibri" w:cs="Calibri" w:eastAsia="Calibri" w:hAnsi="Calibri"/>
          <w:b/>
          <w:bCs/>
          <w:color w:val="374151"/>
          <w:sz w:val="24"/>
          <w:szCs w:val="24"/>
        </w:rPr>
        <w:t xml:space="preserve">Visual 7: Age Group Distribution (Stacked Area / Line Chart)</w:t>
      </w:r>
    </w:p>
    <w:p>
      <w:pPr>
        <w:spacing w:after="100" w:before="60"/>
      </w:pPr>
      <w:r>
        <w:rPr>
          <w:rFonts w:ascii="Calibri" w:cs="Calibri" w:eastAsia="Calibri" w:hAnsi="Calibri"/>
          <w:color w:val="374151"/>
          <w:sz w:val="22"/>
          <w:szCs w:val="22"/>
        </w:rPr>
        <w:t xml:space="preserve">Visual type: Line Chart (multi-series) or Stacked Bar</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X-Axis: Year (2001–2020)</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Y-Axis: Percentage</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Series: Each Age Group (0-14, 15-24, 25-34, etc.)</w:t>
      </w:r>
    </w:p>
    <w:p>
      <w:pPr>
        <w:spacing w:after="100" w:before="60"/>
      </w:pPr>
      <w:r>
        <w:rPr>
          <w:rFonts w:ascii="Calibri" w:cs="Calibri" w:eastAsia="Calibri" w:hAnsi="Calibri"/>
          <w:color w:val="374151"/>
          <w:sz w:val="22"/>
          <w:szCs w:val="22"/>
        </w:rPr>
        <w:t xml:space="preserve">Key Findings from Age Data:</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35–44 age group consistently highest (21%+ across years)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25–34 segment accounts for ~19% — significant young adult market</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65+ segment has grown from 6.7% (2001) to 8.8% (2019) — senior tourism rising</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0–14 segment stable at ~9% — family travel remains consistent</w:t>
      </w:r>
    </w:p>
    <w:p>
      <w:pPr>
        <w:spacing w:after="0" w:before="200"/>
      </w:pPr>
      <w:r>
        <w:rPr>
          <w:rFonts w:ascii="Calibri" w:cs="Calibri" w:eastAsia="Calibri" w:hAnsi="Calibri"/>
        </w:rPr>
        <w:t xml:space="preserve"/>
      </w:r>
    </w:p>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7. Challenges Faced &amp; Solutions</w:t>
      </w:r>
    </w:p>
    <w:p>
      <w:pPr>
        <w:spacing w:after="100" w:before="60"/>
      </w:pPr>
      <w:r>
        <w:rPr>
          <w:rFonts w:ascii="Calibri" w:cs="Calibri" w:eastAsia="Calibri" w:hAnsi="Calibri"/>
          <w:color w:val="374151"/>
          <w:sz w:val="22"/>
          <w:szCs w:val="22"/>
        </w:rPr>
        <w:t xml:space="preserve">Every real-world BI project involves obstacles. This section documents the key challenges encountered and how each was resolved — this is critical for interviews and viva presentations.</w:t>
      </w:r>
    </w:p>
    <w:p>
      <w:pPr>
        <w:spacing w:after="0" w:before="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3000"/>
        <w:gridCol w:w="3360"/>
      </w:tblGrid>
      <w:tr>
        <w:tc>
          <w:tcPr>
            <w:tcW w:type="dxa" w:w="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2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Challenge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Root Cause</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Solution Applied</w:t>
            </w:r>
          </w:p>
        </w:tc>
      </w:tr>
      <w:tr>
        <w:tc>
          <w:tcPr>
            <w:tcW w:type="dxa" w:w="3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1</w:t>
            </w:r>
          </w:p>
        </w:tc>
        <w:tc>
          <w:tcPr>
            <w:tcW w:type="dxa" w:w="2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Wide format CSV — cannot filter by Type or Year</w:t>
            </w:r>
          </w:p>
        </w:tc>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Government data published in report-style wide format</w:t>
            </w:r>
          </w:p>
        </w:tc>
        <w:tc>
          <w:tcPr>
            <w:tcW w:type="dxa" w:w="33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Applied Unpivot in Power Query → normalized to long format</w:t>
            </w:r>
          </w:p>
        </w:tc>
      </w:tr>
      <w:tr>
        <w:tc>
          <w:tcPr>
            <w:tcW w:type="dxa" w:w="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2</w:t>
            </w:r>
          </w:p>
        </w:tc>
        <w:tc>
          <w:tcPr>
            <w:tcW w:type="dxa" w:w="2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'NA' text in % Change column causing type errors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First year has no prior year to compare — publisher used 'NA'</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Replaced 'NA' with null in Power Query; Power BI handles null correctly</w:t>
            </w:r>
          </w:p>
        </w:tc>
      </w:tr>
      <w:tr>
        <w:tc>
          <w:tcPr>
            <w:tcW w:type="dxa" w:w="3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3</w:t>
            </w:r>
          </w:p>
        </w:tc>
        <w:tc>
          <w:tcPr>
            <w:tcW w:type="dxa" w:w="2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Year column had '#2' suffix (e.g., 2019#2)</w:t>
            </w:r>
          </w:p>
        </w:tc>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PDF-to-CSV conversion artifact from footnote markers</w:t>
            </w:r>
          </w:p>
        </w:tc>
        <w:tc>
          <w:tcPr>
            <w:tcW w:type="dxa" w:w="33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Split Column by delimiter '#' → kept first part → correct year</w:t>
            </w:r>
          </w:p>
        </w:tc>
      </w:tr>
      <w:tr>
        <w:tc>
          <w:tcPr>
            <w:tcW w:type="dxa" w:w="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4</w:t>
            </w:r>
          </w:p>
        </w:tc>
        <w:tc>
          <w:tcPr>
            <w:tcW w:type="dxa" w:w="2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Many-to-Many relationship ambiguity in data model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Both Tourism and Age_Distribution have multiple rows per Year</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Set cross-filter to Single direction; acknowledged limitation in documentation</w:t>
            </w:r>
          </w:p>
        </w:tc>
      </w:tr>
      <w:tr>
        <w:tc>
          <w:tcPr>
            <w:tcW w:type="dxa" w:w="3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5</w:t>
            </w:r>
          </w:p>
        </w:tc>
        <w:tc>
          <w:tcPr>
            <w:tcW w:type="dxa" w:w="2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KPI cards showed blank values</w:t>
            </w:r>
          </w:p>
        </w:tc>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DAX measure referenced wrong column name after Unpivot rename</w:t>
            </w:r>
          </w:p>
        </w:tc>
        <w:tc>
          <w:tcPr>
            <w:tcW w:type="dxa" w:w="33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Verified column names post-transformation; updated measure references</w:t>
            </w:r>
          </w:p>
        </w:tc>
      </w:tr>
      <w:tr>
        <w:tc>
          <w:tcPr>
            <w:tcW w:type="dxa" w:w="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6</w:t>
            </w:r>
          </w:p>
        </w:tc>
        <w:tc>
          <w:tcPr>
            <w:tcW w:type="dxa" w:w="2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'Total' rows in tourism CSV inflated numbers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CSV includes subtotal rows (Circle = 'Total') that double-count data</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Filtered out rows where Circle equals 'Total' in Power Query</w:t>
            </w:r>
          </w:p>
        </w:tc>
      </w:tr>
      <w:tr>
        <w:tc>
          <w:tcPr>
            <w:tcW w:type="dxa" w:w="3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7</w:t>
            </w:r>
          </w:p>
        </w:tc>
        <w:tc>
          <w:tcPr>
            <w:tcW w:type="dxa" w:w="27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Year column mismatch — FY (2019-20) vs calendar year (2019)</w:t>
            </w:r>
          </w:p>
        </w:tc>
        <w:tc>
          <w:tcPr>
            <w:tcW w:type="dxa" w:w="3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Tourism dataset uses Financial Years; Earnings uses Calendar Years</w:t>
            </w:r>
          </w:p>
        </w:tc>
        <w:tc>
          <w:tcPr>
            <w:tcW w:type="dxa" w:w="33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Standardized Year column: extracted first 4 digits (e.g., 2019 from 2019-20)</w:t>
            </w:r>
          </w:p>
        </w:tc>
      </w:tr>
      <w:tr>
        <w:tc>
          <w:tcPr>
            <w:tcW w:type="dxa" w:w="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374151"/>
                <w:sz w:val="20"/>
                <w:szCs w:val="20"/>
              </w:rPr>
              <w:t xml:space="preserve">8</w:t>
            </w:r>
          </w:p>
        </w:tc>
        <w:tc>
          <w:tcPr>
            <w:tcW w:type="dxa" w:w="2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'Not Reported' category distorting age analysis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Some years had 3–18% data not attributed to any age group</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Removed 'Not Reported' column before Unpivot; excluded from demographic visuals</w:t>
            </w:r>
          </w:p>
        </w:tc>
      </w:tr>
    </w:tbl>
    <w:p>
      <w:pPr>
        <w:spacing w:after="0" w:before="200"/>
      </w:pPr>
      <w:r>
        <w:rPr>
          <w:rFonts w:ascii="Calibri" w:cs="Calibri" w:eastAsia="Calibri" w:hAnsi="Calibri"/>
        </w:rPr>
        <w:t xml:space="preserve"/>
      </w:r>
    </w:p>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8. Key Business Insights</w:t>
      </w:r>
    </w:p>
    <w:p>
      <w:pPr>
        <w:spacing w:after="100" w:before="60"/>
      </w:pPr>
      <w:r>
        <w:rPr>
          <w:rFonts w:ascii="Calibri" w:cs="Calibri" w:eastAsia="Calibri" w:hAnsi="Calibri"/>
          <w:color w:val="374151"/>
          <w:sz w:val="22"/>
          <w:szCs w:val="22"/>
        </w:rPr>
        <w:t xml:space="preserve">The dashboard surfaces the following data-driven insights that have direct policy and business relevance for the tourism sector:</w:t>
      </w:r>
    </w:p>
    <w:p>
      <w:pPr>
        <w:spacing w:after="0" w:before="10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8.1 Visitor Volume Insights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Domestic tourists account for 84–86% of all ASI monument visitors, making India's heritage sites primarily driven by domestic demand</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Taj Mahal alone attracted 4.43 million domestic visitors in FY 2019-20 — more than the total tourist count of many countries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Agra circle (Taj Mahal, Agra Fort, Fatehpur Sikri, etc.) is the single most visited ASI region in India</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Foreign visitor counts are highly concentrated in a small number of Tier-1 monuments — the top 5 monuments receive over 65% of all foreign visitors</w:t>
      </w:r>
    </w:p>
    <w:p>
      <w:pPr>
        <w:spacing w:after="0" w:before="8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8.2 COVID-19 Impact Insights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Foreign tourist arrivals at ASI monuments collapsed by -98.99% in FY 2020-21 vs FY 2019-20 — effectively zero tourism</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Domestic tourists declined by -72.99% — still showing some activity due to partial reopening in H2 2020-21</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Foreign Exchange Earnings dropped from $30.1 Billion (2019) to $6.96 Billion (2020) — worst annual decline since data collection began</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The crisis represents approximately $23 Billion in lost tourism revenue in a single year</w:t>
      </w:r>
    </w:p>
    <w:p>
      <w:pPr>
        <w:spacing w:after="0" w:before="8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8.3 Economic Trend Insights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FEE grew at a compound annual rate of approximately 13% from 2001–2019, indicating robust pre-COVID sector growth</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2009 showed a minor dip (-5.9% in USD) due to the global financial crisis — significantly milder than the 2020 crash</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India's tourism earnings in USD grew 9.4x over 18 years (2001–2019), outpacing many other emerging economies</w:t>
      </w:r>
    </w:p>
    <w:p>
      <w:pPr>
        <w:spacing w:after="0" w:before="8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8.4 Demographic Insights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35–44 age group is the dominant foreign tourist segment (21%+ consistently), indicating mid-career professionals are the primary target audience</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25–34 segment (~19%) is the second largest — digital-savvy young adult market important for online booking and social media marketing</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The 65+ segment has grown from 6.7% (2001) to 8.8% (2019) — a 31% relative increase, suggesting growing senior tourism opportunity</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Children (0-14) consistently form ~9% of arrivals, reflecting strong family travel behavior</w:t>
      </w:r>
    </w:p>
    <w:p>
      <w:pPr>
        <w:spacing w:after="0" w:before="200"/>
      </w:pPr>
      <w:r>
        <w:rPr>
          <w:rFonts w:ascii="Calibri" w:cs="Calibri" w:eastAsia="Calibri" w:hAnsi="Calibri"/>
        </w:rPr>
        <w:t xml:space="preserve"/>
      </w:r>
    </w:p>
    <w:p>
      <w:r>
        <w:br w:type="page"/>
      </w:r>
    </w:p>
    <w:p>
      <w:pPr>
        <w:pStyle w:val="Heading1"/>
        <w:pBdr>
          <w:bottom w:val="single" w:color="1B3A6B" w:sz="8" w:space="6"/>
        </w:pBdr>
        <w:spacing w:after="160" w:before="320"/>
      </w:pPr>
      <w:r>
        <w:rPr>
          <w:rFonts w:ascii="Calibri" w:cs="Calibri" w:eastAsia="Calibri" w:hAnsi="Calibri"/>
          <w:b/>
          <w:bCs/>
          <w:color w:val="1B3A6B"/>
          <w:sz w:val="36"/>
          <w:szCs w:val="36"/>
        </w:rPr>
        <w:t xml:space="preserve">9. Project Outcome &amp; Skills Demonstrated</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20"/>
              <w:left w:type="dxa" w:w="200"/>
              <w:bottom w:type="dxa" w:w="120"/>
              <w:right w:type="dxa" w:w="200"/>
            </w:tcMar>
          </w:tcPr>
          <w:p>
            <w:pPr>
              <w:spacing w:after="100" w:before="0"/>
              <w:jc w:val="center"/>
            </w:pPr>
            <w:r>
              <w:rPr>
                <w:rFonts w:ascii="Calibri" w:cs="Calibri" w:eastAsia="Calibri" w:hAnsi="Calibri"/>
                <w:b/>
                <w:bCs/>
                <w:color w:val="FFFFFF"/>
                <w:sz w:val="24"/>
                <w:szCs w:val="24"/>
              </w:rPr>
              <w:t xml:space="preserve">Skills Demonstrated</w:t>
            </w:r>
          </w:p>
          <w:p>
            <w:pPr>
              <w:pStyle w:val="ListParagraph"/>
              <w:numPr>
                <w:ilvl w:val="0"/>
                <w:numId w:val="2"/>
              </w:numPr>
              <w:spacing w:after="30" w:before="30"/>
            </w:pPr>
            <w:r>
              <w:rPr>
                <w:rFonts w:ascii="Calibri" w:cs="Calibri" w:eastAsia="Calibri" w:hAnsi="Calibri"/>
                <w:color w:val="B0C4DE"/>
                <w:sz w:val="20"/>
                <w:szCs w:val="20"/>
              </w:rPr>
              <w:t xml:space="preserve">Power Query – Data Extraction &amp; Load</w:t>
            </w:r>
          </w:p>
          <w:p>
            <w:pPr>
              <w:pStyle w:val="ListParagraph"/>
              <w:numPr>
                <w:ilvl w:val="0"/>
                <w:numId w:val="2"/>
              </w:numPr>
              <w:spacing w:after="30" w:before="30"/>
            </w:pPr>
            <w:r>
              <w:rPr>
                <w:rFonts w:ascii="Calibri" w:cs="Calibri" w:eastAsia="Calibri" w:hAnsi="Calibri"/>
                <w:color w:val="B0C4DE"/>
                <w:sz w:val="20"/>
                <w:szCs w:val="20"/>
              </w:rPr>
              <w:t xml:space="preserve">M Language – Column Splitting &amp; Unpivot</w:t>
            </w:r>
          </w:p>
          <w:p>
            <w:pPr>
              <w:pStyle w:val="ListParagraph"/>
              <w:numPr>
                <w:ilvl w:val="0"/>
                <w:numId w:val="2"/>
              </w:numPr>
              <w:spacing w:after="30" w:before="30"/>
            </w:pPr>
            <w:r>
              <w:rPr>
                <w:rFonts w:ascii="Calibri" w:cs="Calibri" w:eastAsia="Calibri" w:hAnsi="Calibri"/>
                <w:color w:val="B0C4DE"/>
                <w:sz w:val="20"/>
                <w:szCs w:val="20"/>
              </w:rPr>
              <w:t xml:space="preserve">Data Normalization (Wide → Long Format)</w:t>
            </w:r>
          </w:p>
          <w:p>
            <w:pPr>
              <w:pStyle w:val="ListParagraph"/>
              <w:numPr>
                <w:ilvl w:val="0"/>
                <w:numId w:val="2"/>
              </w:numPr>
              <w:spacing w:after="30" w:before="30"/>
            </w:pPr>
            <w:r>
              <w:rPr>
                <w:rFonts w:ascii="Calibri" w:cs="Calibri" w:eastAsia="Calibri" w:hAnsi="Calibri"/>
                <w:color w:val="B0C4DE"/>
                <w:sz w:val="20"/>
                <w:szCs w:val="20"/>
              </w:rPr>
              <w:t xml:space="preserve">Star Schema Data Modeling</w:t>
            </w:r>
          </w:p>
          <w:p>
            <w:pPr>
              <w:pStyle w:val="ListParagraph"/>
              <w:numPr>
                <w:ilvl w:val="0"/>
                <w:numId w:val="2"/>
              </w:numPr>
              <w:spacing w:after="30" w:before="30"/>
            </w:pPr>
            <w:r>
              <w:rPr>
                <w:rFonts w:ascii="Calibri" w:cs="Calibri" w:eastAsia="Calibri" w:hAnsi="Calibri"/>
                <w:color w:val="B0C4DE"/>
                <w:sz w:val="20"/>
                <w:szCs w:val="20"/>
              </w:rPr>
              <w:t xml:space="preserve">DAX – Measures &amp; CALCULATE Function</w:t>
            </w:r>
          </w:p>
          <w:p>
            <w:pPr>
              <w:pStyle w:val="ListParagraph"/>
              <w:numPr>
                <w:ilvl w:val="0"/>
                <w:numId w:val="2"/>
              </w:numPr>
              <w:spacing w:after="30" w:before="30"/>
            </w:pPr>
            <w:r>
              <w:rPr>
                <w:rFonts w:ascii="Calibri" w:cs="Calibri" w:eastAsia="Calibri" w:hAnsi="Calibri"/>
                <w:color w:val="B0C4DE"/>
                <w:sz w:val="20"/>
                <w:szCs w:val="20"/>
              </w:rPr>
              <w:t xml:space="preserve">DAX – DIVIDE for safe division</w:t>
            </w:r>
          </w:p>
          <w:p>
            <w:pPr>
              <w:pStyle w:val="ListParagraph"/>
              <w:numPr>
                <w:ilvl w:val="0"/>
                <w:numId w:val="2"/>
              </w:numPr>
              <w:spacing w:after="30" w:before="30"/>
            </w:pPr>
            <w:r>
              <w:rPr>
                <w:rFonts w:ascii="Calibri" w:cs="Calibri" w:eastAsia="Calibri" w:hAnsi="Calibri"/>
                <w:color w:val="B0C4DE"/>
                <w:sz w:val="20"/>
                <w:szCs w:val="20"/>
              </w:rPr>
              <w:t xml:space="preserve">Relationship Management in Power BI</w:t>
            </w:r>
          </w:p>
          <w:p>
            <w:pPr>
              <w:pStyle w:val="ListParagraph"/>
              <w:numPr>
                <w:ilvl w:val="0"/>
                <w:numId w:val="2"/>
              </w:numPr>
              <w:spacing w:after="30" w:before="30"/>
            </w:pPr>
            <w:r>
              <w:rPr>
                <w:rFonts w:ascii="Calibri" w:cs="Calibri" w:eastAsia="Calibri" w:hAnsi="Calibri"/>
                <w:color w:val="B0C4DE"/>
                <w:sz w:val="20"/>
                <w:szCs w:val="20"/>
              </w:rPr>
              <w:t xml:space="preserve">Conditional Formatting in Visuals</w:t>
            </w:r>
          </w:p>
          <w:p>
            <w:pPr>
              <w:pStyle w:val="ListParagraph"/>
              <w:numPr>
                <w:ilvl w:val="0"/>
                <w:numId w:val="2"/>
              </w:numPr>
              <w:spacing w:after="30" w:before="30"/>
            </w:pPr>
            <w:r>
              <w:rPr>
                <w:rFonts w:ascii="Calibri" w:cs="Calibri" w:eastAsia="Calibri" w:hAnsi="Calibri"/>
                <w:color w:val="B0C4DE"/>
                <w:sz w:val="20"/>
                <w:szCs w:val="20"/>
              </w:rPr>
              <w:t xml:space="preserve">Multi-page Dashboard Architecture</w:t>
            </w:r>
          </w:p>
          <w:p>
            <w:pPr>
              <w:pStyle w:val="ListParagraph"/>
              <w:numPr>
                <w:ilvl w:val="0"/>
                <w:numId w:val="2"/>
              </w:numPr>
              <w:spacing w:after="30" w:before="30"/>
            </w:pPr>
            <w:r>
              <w:rPr>
                <w:rFonts w:ascii="Calibri" w:cs="Calibri" w:eastAsia="Calibri" w:hAnsi="Calibri"/>
                <w:color w:val="B0C4DE"/>
                <w:sz w:val="20"/>
                <w:szCs w:val="20"/>
              </w:rPr>
              <w:t xml:space="preserve">Business Insight Generation</w:t>
            </w:r>
          </w:p>
        </w:tc>
        <w:tc>
          <w:tcPr>
            <w:tcW w:type="dxa" w:w="4680"/>
            <w:tcBorders>
              <w:top w:val="single" w:color="2563EB" w:sz="1"/>
              <w:left w:val="single" w:color="2563EB" w:sz="1"/>
              <w:bottom w:val="single" w:color="2563EB" w:sz="1"/>
              <w:right w:val="single" w:color="2563EB" w:sz="1"/>
            </w:tcBorders>
            <w:shd w:fill="EEF4FF" w:val="clear"/>
            <w:tcMar>
              <w:top w:type="dxa" w:w="120"/>
              <w:left w:type="dxa" w:w="200"/>
              <w:bottom w:type="dxa" w:w="120"/>
              <w:right w:type="dxa" w:w="200"/>
            </w:tcMar>
          </w:tcPr>
          <w:p>
            <w:pPr>
              <w:spacing w:after="100" w:before="0"/>
              <w:jc w:val="center"/>
            </w:pPr>
            <w:r>
              <w:rPr>
                <w:rFonts w:ascii="Calibri" w:cs="Calibri" w:eastAsia="Calibri" w:hAnsi="Calibri"/>
                <w:b/>
                <w:bCs/>
                <w:color w:val="1B3A6B"/>
                <w:sz w:val="24"/>
                <w:szCs w:val="24"/>
              </w:rPr>
              <w:t xml:space="preserve">Project Deliverables</w:t>
            </w:r>
          </w:p>
          <w:p>
            <w:pPr>
              <w:pStyle w:val="ListParagraph"/>
              <w:numPr>
                <w:ilvl w:val="0"/>
                <w:numId w:val="2"/>
              </w:numPr>
              <w:spacing w:after="30" w:before="30"/>
            </w:pPr>
            <w:r>
              <w:rPr>
                <w:rFonts w:ascii="Calibri" w:cs="Calibri" w:eastAsia="Calibri" w:hAnsi="Calibri"/>
                <w:color w:val="374151"/>
                <w:sz w:val="20"/>
                <w:szCs w:val="20"/>
              </w:rPr>
              <w:t xml:space="preserve">3 Cleaned and normalized Power Query tables</w:t>
            </w:r>
          </w:p>
          <w:p>
            <w:pPr>
              <w:pStyle w:val="ListParagraph"/>
              <w:numPr>
                <w:ilvl w:val="0"/>
                <w:numId w:val="2"/>
              </w:numPr>
              <w:spacing w:after="30" w:before="30"/>
            </w:pPr>
            <w:r>
              <w:rPr>
                <w:rFonts w:ascii="Calibri" w:cs="Calibri" w:eastAsia="Calibri" w:hAnsi="Calibri"/>
                <w:color w:val="374151"/>
                <w:sz w:val="20"/>
                <w:szCs w:val="20"/>
              </w:rPr>
              <w:t xml:space="preserve">Star Schema data model with relationships</w:t>
            </w:r>
          </w:p>
          <w:p>
            <w:pPr>
              <w:pStyle w:val="ListParagraph"/>
              <w:numPr>
                <w:ilvl w:val="0"/>
                <w:numId w:val="2"/>
              </w:numPr>
              <w:spacing w:after="30" w:before="30"/>
            </w:pPr>
            <w:r>
              <w:rPr>
                <w:rFonts w:ascii="Calibri" w:cs="Calibri" w:eastAsia="Calibri" w:hAnsi="Calibri"/>
                <w:color w:val="374151"/>
                <w:sz w:val="20"/>
                <w:szCs w:val="20"/>
              </w:rPr>
              <w:t xml:space="preserve">5+ DAX measures for KPIs and analysis</w:t>
            </w:r>
          </w:p>
          <w:p>
            <w:pPr>
              <w:pStyle w:val="ListParagraph"/>
              <w:numPr>
                <w:ilvl w:val="0"/>
                <w:numId w:val="2"/>
              </w:numPr>
              <w:spacing w:after="30" w:before="30"/>
            </w:pPr>
            <w:r>
              <w:rPr>
                <w:rFonts w:ascii="Calibri" w:cs="Calibri" w:eastAsia="Calibri" w:hAnsi="Calibri"/>
                <w:color w:val="374151"/>
                <w:sz w:val="20"/>
                <w:szCs w:val="20"/>
              </w:rPr>
              <w:t xml:space="preserve">3-page interactive Power BI dashboard</w:t>
            </w:r>
          </w:p>
          <w:p>
            <w:pPr>
              <w:pStyle w:val="ListParagraph"/>
              <w:numPr>
                <w:ilvl w:val="0"/>
                <w:numId w:val="2"/>
              </w:numPr>
              <w:spacing w:after="30" w:before="30"/>
            </w:pPr>
            <w:r>
              <w:rPr>
                <w:rFonts w:ascii="Calibri" w:cs="Calibri" w:eastAsia="Calibri" w:hAnsi="Calibri"/>
                <w:color w:val="374151"/>
                <w:sz w:val="20"/>
                <w:szCs w:val="20"/>
              </w:rPr>
              <w:t xml:space="preserve">Tourist Volume Analysis page</w:t>
            </w:r>
          </w:p>
          <w:p>
            <w:pPr>
              <w:pStyle w:val="ListParagraph"/>
              <w:numPr>
                <w:ilvl w:val="0"/>
                <w:numId w:val="2"/>
              </w:numPr>
              <w:spacing w:after="30" w:before="30"/>
            </w:pPr>
            <w:r>
              <w:rPr>
                <w:rFonts w:ascii="Calibri" w:cs="Calibri" w:eastAsia="Calibri" w:hAnsi="Calibri"/>
                <w:color w:val="374151"/>
                <w:sz w:val="20"/>
                <w:szCs w:val="20"/>
              </w:rPr>
              <w:t xml:space="preserve">Economic Impact (FEE) Analysis page</w:t>
            </w:r>
          </w:p>
          <w:p>
            <w:pPr>
              <w:pStyle w:val="ListParagraph"/>
              <w:numPr>
                <w:ilvl w:val="0"/>
                <w:numId w:val="2"/>
              </w:numPr>
              <w:spacing w:after="30" w:before="30"/>
            </w:pPr>
            <w:r>
              <w:rPr>
                <w:rFonts w:ascii="Calibri" w:cs="Calibri" w:eastAsia="Calibri" w:hAnsi="Calibri"/>
                <w:color w:val="374151"/>
                <w:sz w:val="20"/>
                <w:szCs w:val="20"/>
              </w:rPr>
              <w:t xml:space="preserve">Age Demographic Analysis page</w:t>
            </w:r>
          </w:p>
          <w:p>
            <w:pPr>
              <w:pStyle w:val="ListParagraph"/>
              <w:numPr>
                <w:ilvl w:val="0"/>
                <w:numId w:val="2"/>
              </w:numPr>
              <w:spacing w:after="30" w:before="30"/>
            </w:pPr>
            <w:r>
              <w:rPr>
                <w:rFonts w:ascii="Calibri" w:cs="Calibri" w:eastAsia="Calibri" w:hAnsi="Calibri"/>
                <w:color w:val="374151"/>
                <w:sz w:val="20"/>
                <w:szCs w:val="20"/>
              </w:rPr>
              <w:t xml:space="preserve">Dynamic slicers (Year, Region, Type)</w:t>
            </w:r>
          </w:p>
          <w:p>
            <w:pPr>
              <w:pStyle w:val="ListParagraph"/>
              <w:numPr>
                <w:ilvl w:val="0"/>
                <w:numId w:val="2"/>
              </w:numPr>
              <w:spacing w:after="30" w:before="30"/>
            </w:pPr>
            <w:r>
              <w:rPr>
                <w:rFonts w:ascii="Calibri" w:cs="Calibri" w:eastAsia="Calibri" w:hAnsi="Calibri"/>
                <w:color w:val="374151"/>
                <w:sz w:val="20"/>
                <w:szCs w:val="20"/>
              </w:rPr>
              <w:t xml:space="preserve">8 key business insights documented</w:t>
            </w:r>
          </w:p>
          <w:p>
            <w:pPr>
              <w:pStyle w:val="ListParagraph"/>
              <w:numPr>
                <w:ilvl w:val="0"/>
                <w:numId w:val="2"/>
              </w:numPr>
              <w:spacing w:after="30" w:before="30"/>
            </w:pPr>
            <w:r>
              <w:rPr>
                <w:rFonts w:ascii="Calibri" w:cs="Calibri" w:eastAsia="Calibri" w:hAnsi="Calibri"/>
                <w:color w:val="374151"/>
                <w:sz w:val="20"/>
                <w:szCs w:val="20"/>
              </w:rPr>
              <w:t xml:space="preserve">Complete project documentation (this doc)</w:t>
            </w:r>
          </w:p>
        </w:tc>
      </w:tr>
    </w:tbl>
    <w:p>
      <w:pPr>
        <w:spacing w:after="0" w:before="200"/>
      </w:pPr>
      <w:r>
        <w:rPr>
          <w:rFonts w:ascii="Calibri" w:cs="Calibri" w:eastAsia="Calibri" w:hAnsi="Calibri"/>
        </w:rPr>
        <w:t xml:space="preserve"/>
      </w:r>
    </w:p>
    <w:p>
      <w:pPr>
        <w:pStyle w:val="Heading1"/>
        <w:pBdr>
          <w:bottom w:val="single" w:color="1B3A6B" w:sz="8" w:space="6"/>
        </w:pBdr>
        <w:spacing w:after="160" w:before="320"/>
      </w:pPr>
      <w:r>
        <w:rPr>
          <w:rFonts w:ascii="Calibri" w:cs="Calibri" w:eastAsia="Calibri" w:hAnsi="Calibri"/>
          <w:b/>
          <w:bCs/>
          <w:color w:val="1B3A6B"/>
          <w:sz w:val="36"/>
          <w:szCs w:val="36"/>
        </w:rPr>
        <w:t xml:space="preserve">10. Resume / Interview Statements</w:t>
      </w:r>
    </w:p>
    <w:p>
      <w:pPr>
        <w:spacing w:after="0" w:before="8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10.1 One-Line Resume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60"/>
              <w:left w:type="dxa" w:w="200"/>
              <w:bottom w:type="dxa" w:w="160"/>
              <w:right w:type="dxa" w:w="200"/>
            </w:tcMar>
          </w:tcPr>
          <w:p>
            <w:pPr>
              <w:spacing w:after="80" w:before="0"/>
            </w:pPr>
            <w:r>
              <w:rPr>
                <w:rFonts w:ascii="Calibri" w:cs="Calibri" w:eastAsia="Calibri" w:hAnsi="Calibri"/>
                <w:b/>
                <w:bCs/>
                <w:color w:val="374151"/>
                <w:sz w:val="20"/>
                <w:szCs w:val="20"/>
              </w:rPr>
              <w:t xml:space="preserve">Resume Entry:</w:t>
            </w:r>
          </w:p>
          <w:p>
            <w:r>
              <w:rPr>
                <w:rFonts w:ascii="Calibri" w:cs="Calibri" w:eastAsia="Calibri" w:hAnsi="Calibri"/>
                <w:i/>
                <w:iCs/>
                <w:color w:val="1B3A6B"/>
                <w:sz w:val="22"/>
                <w:szCs w:val="22"/>
              </w:rPr>
              <w:t xml:space="preserve">Developed an end-to-end Tourism Analytics Dashboard using Microsoft Power BI — transformed wide-format government CSVs into a normalized star schema, built DAX measures for KPI tracking, and generated insights on 20 years of Indian tourism trends, demographic patterns, and economic impact through COVID-19.</w:t>
            </w:r>
          </w:p>
        </w:tc>
      </w:tr>
    </w:tbl>
    <w:p>
      <w:pPr>
        <w:spacing w:after="0" w:before="100"/>
      </w:pPr>
      <w:r>
        <w:rPr>
          <w:rFonts w:ascii="Calibri" w:cs="Calibri" w:eastAsia="Calibri" w:hAnsi="Calibri"/>
        </w:rPr>
        <w:t xml:space="preserve"/>
      </w:r>
    </w:p>
    <w:p>
      <w:pPr>
        <w:pStyle w:val="Heading2"/>
        <w:spacing w:after="120" w:before="240"/>
      </w:pPr>
      <w:r>
        <w:rPr>
          <w:rFonts w:ascii="Calibri" w:cs="Calibri" w:eastAsia="Calibri" w:hAnsi="Calibri"/>
          <w:b/>
          <w:bCs/>
          <w:color w:val="2563EB"/>
          <w:sz w:val="28"/>
          <w:szCs w:val="28"/>
        </w:rPr>
        <w:t xml:space="preserve">10.2 Interview Q&amp;A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Interview Question</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Strong Answer</w:t>
            </w:r>
          </w:p>
        </w:tc>
      </w:tr>
      <w:tr>
        <w:tc>
          <w:tcPr>
            <w:tcW w:type="dxa" w:w="4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What was the biggest challenge in this project?</w:t>
            </w:r>
          </w:p>
        </w:tc>
        <w:tc>
          <w:tcPr>
            <w:tcW w:type="dxa" w:w="53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The raw data was in wide format with multiple columns per year. I used Power Query's Unpivot transformation to normalize it into a row-per-observation structure, which enabled proper year-based filtering and relationships.</w:t>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What is a Star Schema and why did you use it?</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A star schema has one central Fact table connected to multiple Dimension tables. I used Tourism as the Fact table (with measures) and Earnings + Age Distribution as Dimensions, connected via the Year key — this is the standard structure for analytical BI models.</w:t>
            </w:r>
          </w:p>
        </w:tc>
      </w:tr>
      <w:tr>
        <w:tc>
          <w:tcPr>
            <w:tcW w:type="dxa" w:w="4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Explain CALCULATE in DAX</w:t>
            </w:r>
          </w:p>
        </w:tc>
        <w:tc>
          <w:tcPr>
            <w:tcW w:type="dxa" w:w="53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CALCULATE modifies the filter context of a measure. For example, Domestic Tourists uses CALCULATE to filter Tourism[Type] = 'Domestic' before summing, overriding the existing filter context from slicers.</w:t>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What is Unpivot and when do you use it?</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alibri" w:cs="Calibri" w:eastAsia="Calibri" w:hAnsi="Calibri"/>
                <w:color w:val="374151"/>
                <w:sz w:val="20"/>
                <w:szCs w:val="20"/>
              </w:rPr>
              <w:t xml:space="preserve">Unpivot converts columns into rows. I used it when columns like 'Domestic-2019-20' and 'Foreign-2020-21' needed to become row values in a Type and Year column, enabling analysis across both dimensions.</w:t>
            </w:r>
          </w:p>
        </w:tc>
      </w:tr>
      <w:tr>
        <w:tc>
          <w:tcPr>
            <w:tcW w:type="dxa" w:w="400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What insights did your dashboard reveal?</w:t>
            </w:r>
          </w:p>
        </w:tc>
        <w:tc>
          <w:tcPr>
            <w:tcW w:type="dxa" w:w="5360"/>
            <w:tcBorders>
              <w:top w:val="single" w:color="DDDDDD" w:sz="1"/>
              <w:left w:val="single" w:color="DDDDDD" w:sz="1"/>
              <w:bottom w:val="single" w:color="DDDDDD" w:sz="1"/>
              <w:right w:val="single" w:color="DDDDDD" w:sz="1"/>
            </w:tcBorders>
            <w:shd w:fill="F3F4F6" w:val="clear"/>
            <w:tcMar>
              <w:top w:type="dxa" w:w="70"/>
              <w:left w:type="dxa" w:w="120"/>
              <w:bottom w:type="dxa" w:w="70"/>
              <w:right w:type="dxa" w:w="120"/>
            </w:tcMar>
          </w:tcPr>
          <w:p>
            <w:pPr>
              <w:jc w:val="left"/>
            </w:pPr>
            <w:r>
              <w:rPr>
                <w:rFonts w:ascii="Calibri" w:cs="Calibri" w:eastAsia="Calibri" w:hAnsi="Calibri"/>
                <w:color w:val="374151"/>
                <w:sz w:val="20"/>
                <w:szCs w:val="20"/>
              </w:rPr>
              <w:t xml:space="preserve">Key insights: Domestic tourists form 85% of monument visitors; Taj Mahal is the top attraction; COVID caused a 99% drop in foreign visitors in 2020; FEE grew 9x from 2001-2019; the 35-44 age group is the dominant foreign tourist segment.</w:t>
            </w:r>
          </w:p>
        </w:tc>
      </w:tr>
    </w:tbl>
    <w:p>
      <w:pPr>
        <w:spacing w:after="0" w:before="200"/>
      </w:pPr>
      <w:r>
        <w:rPr>
          <w:rFonts w:ascii="Calibri" w:cs="Calibri" w:eastAsia="Calibri" w:hAnsi="Calibri"/>
        </w:rPr>
        <w:t xml:space="preserve"/>
      </w:r>
    </w:p>
    <w:p>
      <w:pPr>
        <w:pStyle w:val="Heading1"/>
        <w:pBdr>
          <w:bottom w:val="single" w:color="1B3A6B" w:sz="8" w:space="6"/>
        </w:pBdr>
        <w:spacing w:after="160" w:before="320"/>
      </w:pPr>
      <w:r>
        <w:rPr>
          <w:rFonts w:ascii="Calibri" w:cs="Calibri" w:eastAsia="Calibri" w:hAnsi="Calibri"/>
          <w:b/>
          <w:bCs/>
          <w:color w:val="1B3A6B"/>
          <w:sz w:val="36"/>
          <w:szCs w:val="36"/>
        </w:rPr>
        <w:t xml:space="preserve">11. Data Source &amp; References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Ministry of Tourism, Government of India — India Tourism Statistics 2021</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Table 5.2.3: Monument-wise Tourist Visits (ASI Protected Monuments), FY 2019-20 &amp; 2020-21</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Table 2.7.1: Age-wise Distribution of Foreign Tourist Arrivals (FTAs), 2001–2020</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Table 2.11.1: Foreign Exchange Earnings from Tourism (FEE), 1991–2020</w:t>
      </w:r>
    </w:p>
    <w:p>
      <w:pPr>
        <w:spacing w:after="0" w:before="60"/>
      </w:pPr>
      <w:r>
        <w:rPr>
          <w:rFonts w:ascii="Calibri" w:cs="Calibri" w:eastAsia="Calibri" w:hAnsi="Calibri"/>
        </w:rPr>
        <w:t xml:space="preserve"/>
      </w:r>
    </w:p>
    <w:p>
      <w:pPr>
        <w:spacing w:after="100" w:before="60"/>
      </w:pPr>
      <w:r>
        <w:rPr>
          <w:rFonts w:ascii="Calibri" w:cs="Calibri" w:eastAsia="Calibri" w:hAnsi="Calibri"/>
          <w:color w:val="2563EB"/>
          <w:sz w:val="22"/>
          <w:szCs w:val="22"/>
        </w:rPr>
        <w:t xml:space="preserve">Official Publication: https://tourism.gov.in/india-tourism-statistics</w:t>
      </w:r>
    </w:p>
    <w:p>
      <w:pPr>
        <w:spacing w:after="0" w:before="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240"/>
              <w:left w:type="dxa" w:w="360"/>
              <w:bottom w:type="dxa" w:w="240"/>
              <w:right w:type="dxa" w:w="360"/>
            </w:tcMar>
          </w:tcPr>
          <w:p>
            <w:pPr>
              <w:spacing w:after="80" w:before="0"/>
              <w:jc w:val="center"/>
            </w:pPr>
            <w:r>
              <w:rPr>
                <w:rFonts w:ascii="Calibri" w:cs="Calibri" w:eastAsia="Calibri" w:hAnsi="Calibri"/>
                <w:b/>
                <w:bCs/>
                <w:color w:val="F59E0B"/>
                <w:spacing w:val="80"/>
                <w:sz w:val="28"/>
                <w:szCs w:val="28"/>
              </w:rPr>
              <w:t xml:space="preserve">PROJECT COMPLETED</w:t>
            </w:r>
          </w:p>
          <w:p>
            <w:pPr>
              <w:jc w:val="center"/>
            </w:pPr>
            <w:r>
              <w:rPr>
                <w:rFonts w:ascii="Calibri" w:cs="Calibri" w:eastAsia="Calibri" w:hAnsi="Calibri"/>
                <w:i/>
                <w:iCs/>
                <w:color w:val="B0C4DE"/>
                <w:sz w:val="20"/>
                <w:szCs w:val="20"/>
              </w:rPr>
              <w:t xml:space="preserve">Power BI  •  Power Query  •  DAX  •  Star Schema  •  Business Intelligence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r>
      <w:rPr>
        <w:rFonts w:ascii="Calibri" w:cs="Calibri" w:eastAsia="Calibri" w:hAnsi="Calibri"/>
        <w:color w:val="6B7280"/>
        <w:sz w:val="18"/>
        <w:szCs w:val="18"/>
      </w:rPr>
      <w:t xml:space="preserve">   |   Ministry of Tourism, Govt. of India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1B3A6B" w:sz="4" w:space="4"/>
            </w:pBdr>
          </w:pPr>
          <w:r>
            <w:rPr>
              <w:rFonts w:ascii="Calibri" w:cs="Calibri" w:eastAsia="Calibri" w:hAnsi="Calibri"/>
              <w:b/>
              <w:bCs/>
              <w:color w:val="1B3A6B"/>
              <w:sz w:val="18"/>
              <w:szCs w:val="18"/>
            </w:rPr>
            <w:t xml:space="preserve">India Tourism Analytics Dashboard</w:t>
          </w:r>
        </w:p>
      </w:tc>
      <w:tc>
        <w:tcPr>
          <w:tcW w:type="dxa" w:w="3360"/>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1B3A6B" w:sz="4" w:space="4"/>
            </w:pBdr>
            <w:jc w:val="right"/>
          </w:pPr>
          <w:r>
            <w:rPr>
              <w:rFonts w:ascii="Calibri" w:cs="Calibri" w:eastAsia="Calibri" w:hAnsi="Calibri"/>
              <w:color w:val="6B7280"/>
              <w:sz w:val="18"/>
              <w:szCs w:val="18"/>
            </w:rPr>
            <w:t xml:space="preserve">Power BI Project Documentation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2026-04-01T22:25:02.740Z</dcterms:created>
  <dcterms:modified xsi:type="dcterms:W3CDTF">2026-04-01T22:25:02.770Z</dcterms:modified>
</cp:coreProperties>
</file>

<file path=docProps/custom.xml><?xml version="1.0" encoding="utf-8"?>
<Properties xmlns="http://schemas.openxmlformats.org/officeDocument/2006/custom-properties" xmlns:vt="http://schemas.openxmlformats.org/officeDocument/2006/docPropsVTypes"/>
</file>