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 Example</w:t>
      </w:r>
    </w:p>
    <w:p>
      <w:pPr>
        <w:pStyle w:val="Heading2"/>
      </w:pPr>
      <w:r>
        <w:t>Heading 2 Example</w:t>
      </w:r>
    </w:p>
    <w:p>
      <w:pPr>
        <w:pStyle w:val="Heading3"/>
      </w:pPr>
      <w:r>
        <w:t>Heading 3 Example</w:t>
      </w:r>
    </w:p>
    <w:p>
      <w:r>
        <w:t>Body text paragraph in Times New Roman 11pt.</w:t>
      </w:r>
    </w:p>
    <w:p>
      <w:pPr>
        <w:pStyle w:val="ListBullet"/>
      </w:pPr>
      <w:r>
        <w:t>Bullet item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>
              <w:rPr>
                <w:rFonts w:ascii="Times New Roman" w:hAnsi="Times New Roman"/>
                <w:b/>
                <w:sz w:val="18"/>
              </w:rPr>
              <w:t>Column A</w:t>
            </w:r>
          </w:p>
        </w:tc>
        <w:tc>
          <w:tcPr>
            <w:tcW w:type="dxa" w:w="2882"/>
            <w:shd w:fill="D9E2F3" w:val="clear"/>
          </w:tcPr>
          <w:p>
            <w:r>
              <w:rPr>
                <w:rFonts w:ascii="Times New Roman" w:hAnsi="Times New Roman"/>
                <w:b/>
                <w:sz w:val="18"/>
              </w:rPr>
              <w:t>Column B</w:t>
            </w:r>
          </w:p>
        </w:tc>
        <w:tc>
          <w:tcPr>
            <w:tcW w:type="dxa" w:w="2882"/>
            <w:shd w:fill="D9E2F3" w:val="clear"/>
          </w:tcPr>
          <w:p>
            <w:r>
              <w:rPr>
                <w:rFonts w:ascii="Times New Roman" w:hAnsi="Times New Roman"/>
                <w:b/>
                <w:sz w:val="18"/>
              </w:rPr>
              <w:t>Column C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/>
                <w:sz w:val="18"/>
              </w:rPr>
              <w:t>Data 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/>
                <w:sz w:val="18"/>
              </w:rPr>
              <w:t>Data 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/>
                <w:sz w:val="18"/>
              </w:rPr>
              <w:t>Data 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999999"/>
        <w:sz w:val="16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color w:val="000000"/>
      <w:sz w:val="22"/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7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7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7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