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Green Lines – HQ Console Specification</w:t>
      </w:r>
    </w:p>
    <w:p>
      <w:r>
        <w:rPr>
          <w:i/>
          <w:sz w:val="22"/>
        </w:rPr>
        <w:t>Version 1.0 | 15 Oct 2025 | Web Admin | Odoo‑Integrated | Service‑Level Assignments</w:t>
      </w:r>
    </w:p>
    <w:p>
      <w:pPr>
        <w:pStyle w:val="Heading1"/>
      </w:pPr>
      <w:r>
        <w:t>1. Navigation &amp; Roles</w:t>
      </w:r>
    </w:p>
    <w:p>
      <w:pPr>
        <w:pStyle w:val="ListBullet"/>
      </w:pPr>
      <w:r>
        <w:t>Top Nav: Dashboard | CRM | Plan Builder | Engagements | Assignments | Catalog &amp; Pricing | Billing | Payouts | Partners &amp; Agents | Documents | Meetings | Analytics | Integrations | Settings</w:t>
      </w:r>
    </w:p>
    <w:p>
      <w:pPr>
        <w:pStyle w:val="ListBullet"/>
      </w:pPr>
      <w:r>
        <w:t>Roles: Admin, Senior Consultant, Ops Admin, Finance Admin, Partner Success, Read‑only; row‑level security by region/portfolio.</w:t>
      </w:r>
    </w:p>
    <w:p>
      <w:pPr>
        <w:pStyle w:val="Heading1"/>
      </w:pPr>
      <w:r>
        <w:t>2. CRM (with ERP Triage)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</w:tr>
      <w:tr>
        <w:tc>
          <w:tcPr>
            <w:tcW w:type="dxa" w:w="2880"/>
          </w:tcPr>
          <w:p>
            <w:r>
              <w:t>Customer ERP Status</w:t>
            </w:r>
          </w:p>
        </w:tc>
        <w:tc>
          <w:tcPr>
            <w:tcW w:type="dxa" w:w="2880"/>
          </w:tcPr>
          <w:p>
            <w:r>
              <w:t>Select</w:t>
            </w:r>
          </w:p>
        </w:tc>
        <w:tc>
          <w:tcPr>
            <w:tcW w:type="dxa" w:w="2880"/>
          </w:tcPr>
          <w:p>
            <w:r>
              <w:t>Required: PARTNER | NON_PARTNER | NONE</w:t>
            </w:r>
          </w:p>
        </w:tc>
      </w:tr>
      <w:tr>
        <w:tc>
          <w:tcPr>
            <w:tcW w:type="dxa" w:w="2880"/>
          </w:tcPr>
          <w:p>
            <w:r>
              <w:t>ERP Vendor</w:t>
            </w:r>
          </w:p>
        </w:tc>
        <w:tc>
          <w:tcPr>
            <w:tcW w:type="dxa" w:w="2880"/>
          </w:tcPr>
          <w:p>
            <w:r>
              <w:t>Select/Text</w:t>
            </w:r>
          </w:p>
        </w:tc>
        <w:tc>
          <w:tcPr>
            <w:tcW w:type="dxa" w:w="2880"/>
          </w:tcPr>
          <w:p>
            <w:r>
              <w:t>Visible if status != NONE: Odoo | Zoho | SAP | Other</w:t>
            </w:r>
          </w:p>
        </w:tc>
      </w:tr>
      <w:tr>
        <w:tc>
          <w:tcPr>
            <w:tcW w:type="dxa" w:w="2880"/>
          </w:tcPr>
          <w:p>
            <w:r>
              <w:t>ERP Integration Scope</w:t>
            </w:r>
          </w:p>
        </w:tc>
        <w:tc>
          <w:tcPr>
            <w:tcW w:type="dxa" w:w="2880"/>
          </w:tcPr>
          <w:p>
            <w:r>
              <w:t>Multi-select</w:t>
            </w:r>
          </w:p>
        </w:tc>
        <w:tc>
          <w:tcPr>
            <w:tcW w:type="dxa" w:w="2880"/>
          </w:tcPr>
          <w:p>
            <w:r>
              <w:t>COA, Customers, Vendors, AP, AR, Inventory, Payroll, Custom</w:t>
            </w:r>
          </w:p>
        </w:tc>
      </w:tr>
      <w:tr>
        <w:tc>
          <w:tcPr>
            <w:tcW w:type="dxa" w:w="2880"/>
          </w:tcPr>
          <w:p>
            <w:r>
              <w:t>ERP Integration Fee</w:t>
            </w:r>
          </w:p>
        </w:tc>
        <w:tc>
          <w:tcPr>
            <w:tcW w:type="dxa" w:w="2880"/>
          </w:tcPr>
          <w:p>
            <w:r>
              <w:t>Money</w:t>
            </w:r>
          </w:p>
        </w:tc>
        <w:tc>
          <w:tcPr>
            <w:tcW w:type="dxa" w:w="2880"/>
          </w:tcPr>
          <w:p>
            <w:r>
              <w:t>Auto 0 if PARTNER; priced if NON_PARTNER; hidden if NONE</w:t>
            </w:r>
          </w:p>
        </w:tc>
      </w:tr>
      <w:tr>
        <w:tc>
          <w:tcPr>
            <w:tcW w:type="dxa" w:w="2880"/>
          </w:tcPr>
          <w:p>
            <w:r>
              <w:t>Plan Term</w:t>
            </w:r>
          </w:p>
        </w:tc>
        <w:tc>
          <w:tcPr>
            <w:tcW w:type="dxa" w:w="2880"/>
          </w:tcPr>
          <w:p>
            <w:r>
              <w:t>Select</w:t>
            </w:r>
          </w:p>
        </w:tc>
        <w:tc>
          <w:tcPr>
            <w:tcW w:type="dxa" w:w="2880"/>
          </w:tcPr>
          <w:p>
            <w:r>
              <w:t>3 | 6 | 12 months</w:t>
            </w:r>
          </w:p>
        </w:tc>
      </w:tr>
      <w:tr>
        <w:tc>
          <w:tcPr>
            <w:tcW w:type="dxa" w:w="2880"/>
          </w:tcPr>
          <w:p>
            <w:r>
              <w:t>Base Package</w:t>
            </w:r>
          </w:p>
        </w:tc>
        <w:tc>
          <w:tcPr>
            <w:tcW w:type="dxa" w:w="2880"/>
          </w:tcPr>
          <w:p>
            <w:r>
              <w:t>Select</w:t>
            </w:r>
          </w:p>
        </w:tc>
        <w:tc>
          <w:tcPr>
            <w:tcW w:type="dxa" w:w="2880"/>
          </w:tcPr>
          <w:p>
            <w:r>
              <w:t>Starter | Growth | Enterprise</w:t>
            </w:r>
          </w:p>
        </w:tc>
      </w:tr>
      <w:tr>
        <w:tc>
          <w:tcPr>
            <w:tcW w:type="dxa" w:w="2880"/>
          </w:tcPr>
          <w:p>
            <w:r>
              <w:t>Discount %</w:t>
            </w:r>
          </w:p>
        </w:tc>
        <w:tc>
          <w:tcPr>
            <w:tcW w:type="dxa" w:w="2880"/>
          </w:tcPr>
          <w:p>
            <w:r>
              <w:t>Number</w:t>
            </w:r>
          </w:p>
        </w:tc>
        <w:tc>
          <w:tcPr>
            <w:tcW w:type="dxa" w:w="2880"/>
          </w:tcPr>
          <w:p>
            <w:r>
              <w:t>&gt;15% needs approval</w:t>
            </w:r>
          </w:p>
        </w:tc>
      </w:tr>
    </w:tbl>
    <w:p>
      <w:pPr>
        <w:pStyle w:val="ListBullet"/>
      </w:pPr>
      <w:r>
        <w:t>On Won: push Customer, Sales Order, and Invoice draft to Odoo; add Integration SKU accordingly.</w:t>
      </w:r>
    </w:p>
    <w:p>
      <w:pPr>
        <w:pStyle w:val="ListBullet"/>
      </w:pPr>
      <w:r>
        <w:t>If ERP Status = NONE, must assign Tech Partner before Provision (ERP Gate).</w:t>
      </w:r>
    </w:p>
    <w:p>
      <w:pPr>
        <w:pStyle w:val="Heading1"/>
      </w:pPr>
      <w:r>
        <w:t>3. Engagements &amp; ERP Gate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</w:t>
            </w:r>
          </w:p>
        </w:tc>
        <w:tc>
          <w:tcPr>
            <w:tcW w:type="dxa" w:w="4320"/>
          </w:tcPr>
          <w:p>
            <w:r>
              <w:t>Contents</w:t>
            </w:r>
          </w:p>
        </w:tc>
      </w:tr>
      <w:tr>
        <w:tc>
          <w:tcPr>
            <w:tcW w:type="dxa" w:w="4320"/>
          </w:tcPr>
          <w:p>
            <w:r>
              <w:t>Plan</w:t>
            </w:r>
          </w:p>
        </w:tc>
        <w:tc>
          <w:tcPr>
            <w:tcW w:type="dxa" w:w="4320"/>
          </w:tcPr>
          <w:p>
            <w:r>
              <w:t>Term, dates, status</w:t>
            </w:r>
          </w:p>
        </w:tc>
      </w:tr>
      <w:tr>
        <w:tc>
          <w:tcPr>
            <w:tcW w:type="dxa" w:w="4320"/>
          </w:tcPr>
          <w:p>
            <w:r>
              <w:t>ERP Gate</w:t>
            </w:r>
          </w:p>
        </w:tc>
        <w:tc>
          <w:tcPr>
            <w:tcW w:type="dxa" w:w="4320"/>
          </w:tcPr>
          <w:p>
            <w:r>
              <w:t>Status REQUIRED | INTEGRATION | READY; ERP project link</w:t>
            </w:r>
          </w:p>
        </w:tc>
      </w:tr>
      <w:tr>
        <w:tc>
          <w:tcPr>
            <w:tcW w:type="dxa" w:w="4320"/>
          </w:tcPr>
          <w:p>
            <w:r>
              <w:t>Services</w:t>
            </w:r>
          </w:p>
        </w:tc>
        <w:tc>
          <w:tcPr>
            <w:tcW w:type="dxa" w:w="4320"/>
          </w:tcPr>
          <w:p>
            <w:r>
              <w:t>List with SLA/evidence; lock if gate active</w:t>
            </w:r>
          </w:p>
        </w:tc>
      </w:tr>
      <w:tr>
        <w:tc>
          <w:tcPr>
            <w:tcW w:type="dxa" w:w="4320"/>
          </w:tcPr>
          <w:p>
            <w:r>
              <w:t>Milestones</w:t>
            </w:r>
          </w:p>
        </w:tc>
        <w:tc>
          <w:tcPr>
            <w:tcW w:type="dxa" w:w="4320"/>
          </w:tcPr>
          <w:p>
            <w:r>
              <w:t>Schedule and acceptance</w:t>
            </w:r>
          </w:p>
        </w:tc>
      </w:tr>
      <w:tr>
        <w:tc>
          <w:tcPr>
            <w:tcW w:type="dxa" w:w="4320"/>
          </w:tcPr>
          <w:p>
            <w:r>
              <w:t>Sessions</w:t>
            </w:r>
          </w:p>
        </w:tc>
        <w:tc>
          <w:tcPr>
            <w:tcW w:type="dxa" w:w="4320"/>
          </w:tcPr>
          <w:p>
            <w:r>
              <w:t>Calendar; Teams links</w:t>
            </w:r>
          </w:p>
        </w:tc>
      </w:tr>
      <w:tr>
        <w:tc>
          <w:tcPr>
            <w:tcW w:type="dxa" w:w="4320"/>
          </w:tcPr>
          <w:p>
            <w:r>
              <w:t>Assignments</w:t>
            </w:r>
          </w:p>
        </w:tc>
        <w:tc>
          <w:tcPr>
            <w:tcW w:type="dxa" w:w="4320"/>
          </w:tcPr>
          <w:p>
            <w:r>
              <w:t>Primary/Secondary per service; scores; acknowledgments</w:t>
            </w:r>
          </w:p>
        </w:tc>
      </w:tr>
      <w:tr>
        <w:tc>
          <w:tcPr>
            <w:tcW w:type="dxa" w:w="4320"/>
          </w:tcPr>
          <w:p>
            <w:r>
              <w:t>Billing</w:t>
            </w:r>
          </w:p>
        </w:tc>
        <w:tc>
          <w:tcPr>
            <w:tcW w:type="dxa" w:w="4320"/>
          </w:tcPr>
          <w:p>
            <w:r>
              <w:t>Invoices &amp; payments (Odoo links)</w:t>
            </w:r>
          </w:p>
        </w:tc>
      </w:tr>
      <w:tr>
        <w:tc>
          <w:tcPr>
            <w:tcW w:type="dxa" w:w="4320"/>
          </w:tcPr>
          <w:p>
            <w:r>
              <w:t>Documents</w:t>
            </w:r>
          </w:p>
        </w:tc>
        <w:tc>
          <w:tcPr>
            <w:tcW w:type="dxa" w:w="4320"/>
          </w:tcPr>
          <w:p>
            <w:r>
              <w:t>Vault; tagging; retention</w:t>
            </w:r>
          </w:p>
        </w:tc>
      </w:tr>
    </w:tbl>
    <w:p>
      <w:pPr>
        <w:pStyle w:val="Heading1"/>
      </w:pPr>
      <w:r>
        <w:t>4. Assignments (Smart)</w:t>
      </w:r>
    </w:p>
    <w:p>
      <w:r>
        <w:t>Score = 25*Proximity + 30*Skills+Cert + 20*Availability + 15*Quality + 10*Load (0–100) with explainable badges.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Field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Lookup</w:t>
            </w:r>
          </w:p>
        </w:tc>
        <w:tc>
          <w:tcPr>
            <w:tcW w:type="dxa" w:w="2880"/>
          </w:tcPr>
          <w:p>
            <w:r>
              <w:t>Service within Engagement</w:t>
            </w:r>
          </w:p>
        </w:tc>
      </w:tr>
      <w:tr>
        <w:tc>
          <w:tcPr>
            <w:tcW w:type="dxa" w:w="2880"/>
          </w:tcPr>
          <w:p>
            <w:r>
              <w:t>Primary Agent</w:t>
            </w:r>
          </w:p>
        </w:tc>
        <w:tc>
          <w:tcPr>
            <w:tcW w:type="dxa" w:w="2880"/>
          </w:tcPr>
          <w:p>
            <w:r>
              <w:t>Lookup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</w:tr>
      <w:tr>
        <w:tc>
          <w:tcPr>
            <w:tcW w:type="dxa" w:w="2880"/>
          </w:tcPr>
          <w:p>
            <w:r>
              <w:t>Secondary Agents</w:t>
            </w:r>
          </w:p>
        </w:tc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Optional</w:t>
            </w:r>
          </w:p>
        </w:tc>
      </w:tr>
      <w:tr>
        <w:tc>
          <w:tcPr>
            <w:tcW w:type="dxa" w:w="2880"/>
          </w:tcPr>
          <w:p>
            <w:r>
              <w:t>SLA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  <w:tc>
          <w:tcPr>
            <w:tcW w:type="dxa" w:w="2880"/>
          </w:tcPr>
          <w:p>
            <w:r>
              <w:t>Standard/Expedited/Custom</w:t>
            </w:r>
          </w:p>
        </w:tc>
      </w:tr>
      <w:tr>
        <w:tc>
          <w:tcPr>
            <w:tcW w:type="dxa" w:w="2880"/>
          </w:tcPr>
          <w:p>
            <w:r>
              <w:t>Due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Derived from SLA</w:t>
            </w:r>
          </w:p>
        </w:tc>
      </w:tr>
      <w:tr>
        <w:tc>
          <w:tcPr>
            <w:tcW w:type="dxa" w:w="2880"/>
          </w:tcPr>
          <w:p>
            <w:r>
              <w:t>Evidence Rules</w:t>
            </w:r>
          </w:p>
        </w:tc>
        <w:tc>
          <w:tcPr>
            <w:tcW w:type="dxa" w:w="2880"/>
          </w:tcPr>
          <w:p>
            <w:r>
              <w:t>JSON</w:t>
            </w:r>
          </w:p>
        </w:tc>
        <w:tc>
          <w:tcPr>
            <w:tcW w:type="dxa" w:w="2880"/>
          </w:tcPr>
          <w:p>
            <w:r>
              <w:t>minPhotos, geotag, signature, fileTypes</w:t>
            </w:r>
          </w:p>
        </w:tc>
      </w:tr>
    </w:tbl>
    <w:p>
      <w:pPr>
        <w:pStyle w:val="Heading1"/>
      </w:pPr>
      <w:r>
        <w:t>5. Catalog &amp; Pricing</w:t>
      </w:r>
    </w:p>
    <w:p>
      <w:pPr>
        <w:pStyle w:val="ListBullet"/>
      </w:pPr>
      <w:r>
        <w:t>Services with SLA defaults, evidence, commission rules (default 40% platform).</w:t>
      </w:r>
    </w:p>
    <w:p>
      <w:pPr>
        <w:pStyle w:val="ListBullet"/>
      </w:pPr>
      <w:r>
        <w:t>Add‑ons with eligibility; Integration SKUs: ERP‑INT‑PARTNER (0 AED), ERP‑INT‑NONPARTNER (priced).</w:t>
      </w:r>
    </w:p>
    <w:p>
      <w:pPr>
        <w:pStyle w:val="Heading1"/>
      </w:pPr>
      <w:r>
        <w:t>6. Billing &amp; Refunds (Odoo)</w:t>
      </w:r>
    </w:p>
    <w:p>
      <w:pPr>
        <w:pStyle w:val="ListBullet"/>
      </w:pPr>
      <w:r>
        <w:t>Odoo is authoritative for invoices/credit notes; platform mirrors status.</w:t>
      </w:r>
    </w:p>
    <w:p>
      <w:pPr>
        <w:pStyle w:val="ListBullet"/>
      </w:pPr>
      <w:r>
        <w:t>PSP webhooks update both systems; refund wizard issues credit note in Odoo.</w:t>
      </w:r>
    </w:p>
    <w:p>
      <w:pPr>
        <w:pStyle w:val="Heading1"/>
      </w:pPr>
      <w:r>
        <w:t>7. Payouts &amp; Commission</w:t>
      </w:r>
    </w:p>
    <w:p>
      <w:pPr>
        <w:pStyle w:val="ListBullet"/>
      </w:pPr>
      <w:r>
        <w:t>Eligibility: customer acceptance + 30 days; no pending refunds.</w:t>
      </w:r>
    </w:p>
    <w:p>
      <w:pPr>
        <w:pStyle w:val="ListBullet"/>
      </w:pPr>
      <w:r>
        <w:t>Partner statements with adjustments; weekly payout run.</w:t>
      </w:r>
    </w:p>
    <w:p>
      <w:pPr>
        <w:pStyle w:val="Heading1"/>
      </w:pPr>
      <w:r>
        <w:t>8. Partners &amp; Agents</w:t>
      </w:r>
    </w:p>
    <w:p>
      <w:pPr>
        <w:pStyle w:val="ListBullet"/>
      </w:pPr>
      <w:r>
        <w:t>Profiles include certifications, exams, annual fees, service areas, languages, utilization, CSAT/NPS.</w:t>
      </w:r>
    </w:p>
    <w:p>
      <w:pPr>
        <w:pStyle w:val="ListBullet"/>
      </w:pPr>
      <w:r>
        <w:t>ERP Tech Partners flagged; ERP project templates available.</w:t>
      </w:r>
    </w:p>
    <w:p>
      <w:pPr>
        <w:pStyle w:val="Heading1"/>
      </w:pPr>
      <w:r>
        <w:t>9. Integrations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Odoo Model.Field</w:t>
            </w:r>
          </w:p>
        </w:tc>
        <w:tc>
          <w:tcPr>
            <w:tcW w:type="dxa" w:w="2160"/>
          </w:tcPr>
          <w:p>
            <w:r>
              <w:t>Direction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Account.name</w:t>
            </w:r>
          </w:p>
        </w:tc>
        <w:tc>
          <w:tcPr>
            <w:tcW w:type="dxa" w:w="2160"/>
          </w:tcPr>
          <w:p>
            <w:r>
              <w:t>res.partner.name</w:t>
            </w:r>
          </w:p>
        </w:tc>
        <w:tc>
          <w:tcPr>
            <w:tcW w:type="dxa" w:w="2160"/>
          </w:tcPr>
          <w:p>
            <w:r>
              <w:t>→</w:t>
            </w:r>
          </w:p>
        </w:tc>
        <w:tc>
          <w:tcPr>
            <w:tcW w:type="dxa" w:w="2160"/>
          </w:tcPr>
          <w:p>
            <w:r>
              <w:t>Create/Update</w:t>
            </w:r>
          </w:p>
        </w:tc>
      </w:tr>
      <w:tr>
        <w:tc>
          <w:tcPr>
            <w:tcW w:type="dxa" w:w="2160"/>
          </w:tcPr>
          <w:p>
            <w:r>
              <w:t>Account.trn</w:t>
            </w:r>
          </w:p>
        </w:tc>
        <w:tc>
          <w:tcPr>
            <w:tcW w:type="dxa" w:w="2160"/>
          </w:tcPr>
          <w:p>
            <w:r>
              <w:t>res.partner.vat</w:t>
            </w:r>
          </w:p>
        </w:tc>
        <w:tc>
          <w:tcPr>
            <w:tcW w:type="dxa" w:w="2160"/>
          </w:tcPr>
          <w:p>
            <w:r>
              <w:t>→</w:t>
            </w:r>
          </w:p>
        </w:tc>
        <w:tc>
          <w:tcPr>
            <w:tcW w:type="dxa" w:w="2160"/>
          </w:tcPr>
          <w:p>
            <w:r>
              <w:t>VAT/TRN</w:t>
            </w:r>
          </w:p>
        </w:tc>
      </w:tr>
      <w:tr>
        <w:tc>
          <w:tcPr>
            <w:tcW w:type="dxa" w:w="2160"/>
          </w:tcPr>
          <w:p>
            <w:r>
              <w:t>SalesOrder</w:t>
            </w:r>
          </w:p>
        </w:tc>
        <w:tc>
          <w:tcPr>
            <w:tcW w:type="dxa" w:w="2160"/>
          </w:tcPr>
          <w:p>
            <w:r>
              <w:t>sale.order</w:t>
            </w:r>
          </w:p>
        </w:tc>
        <w:tc>
          <w:tcPr>
            <w:tcW w:type="dxa" w:w="2160"/>
          </w:tcPr>
          <w:p>
            <w:r>
              <w:t>→</w:t>
            </w:r>
          </w:p>
        </w:tc>
        <w:tc>
          <w:tcPr>
            <w:tcW w:type="dxa" w:w="2160"/>
          </w:tcPr>
          <w:p>
            <w:r>
              <w:t>Plan + add-ons + SKU</w:t>
            </w:r>
          </w:p>
        </w:tc>
      </w:tr>
      <w:tr>
        <w:tc>
          <w:tcPr>
            <w:tcW w:type="dxa" w:w="2160"/>
          </w:tcPr>
          <w:p>
            <w:r>
              <w:t>Invoice.status</w:t>
            </w:r>
          </w:p>
        </w:tc>
        <w:tc>
          <w:tcPr>
            <w:tcW w:type="dxa" w:w="2160"/>
          </w:tcPr>
          <w:p>
            <w:r>
              <w:t>account.move.state</w:t>
            </w:r>
          </w:p>
        </w:tc>
        <w:tc>
          <w:tcPr>
            <w:tcW w:type="dxa" w:w="2160"/>
          </w:tcPr>
          <w:p>
            <w:r>
              <w:t>↔</w:t>
            </w:r>
          </w:p>
        </w:tc>
        <w:tc>
          <w:tcPr>
            <w:tcW w:type="dxa" w:w="2160"/>
          </w:tcPr>
          <w:p>
            <w:r>
              <w:t>Paid/Overdue</w:t>
            </w:r>
          </w:p>
        </w:tc>
      </w:tr>
      <w:tr>
        <w:tc>
          <w:tcPr>
            <w:tcW w:type="dxa" w:w="2160"/>
          </w:tcPr>
          <w:p>
            <w:r>
              <w:t>CreditNote</w:t>
            </w:r>
          </w:p>
        </w:tc>
        <w:tc>
          <w:tcPr>
            <w:tcW w:type="dxa" w:w="2160"/>
          </w:tcPr>
          <w:p>
            <w:r>
              <w:t>account.move(reversal)</w:t>
            </w:r>
          </w:p>
        </w:tc>
        <w:tc>
          <w:tcPr>
            <w:tcW w:type="dxa" w:w="2160"/>
          </w:tcPr>
          <w:p>
            <w:r>
              <w:t>↔</w:t>
            </w:r>
          </w:p>
        </w:tc>
        <w:tc>
          <w:tcPr>
            <w:tcW w:type="dxa" w:w="2160"/>
          </w:tcPr>
          <w:p>
            <w:r>
              <w:t>Refunds</w:t>
            </w:r>
          </w:p>
        </w:tc>
      </w:tr>
    </w:tbl>
    <w:p>
      <w:pPr>
        <w:pStyle w:val="Heading1"/>
      </w:pPr>
      <w:r>
        <w:t>10. APIs (Samples)</w:t>
      </w:r>
    </w:p>
    <w:p>
      <w:r>
        <w:t>Create Engagement</w:t>
      </w:r>
    </w:p>
    <w:p>
      <w:r>
        <w:rPr>
          <w:rFonts w:ascii="Consolas" w:hAnsi="Consolas"/>
          <w:sz w:val="20"/>
        </w:rPr>
        <w:t>POST /api/engagements { accountId, termMonths, services[], erpGateStatus }</w:t>
      </w:r>
    </w:p>
    <w:p>
      <w:r>
        <w:t>Assign Agent</w:t>
      </w:r>
    </w:p>
    <w:p>
      <w:r>
        <w:rPr>
          <w:rFonts w:ascii="Consolas" w:hAnsi="Consolas"/>
          <w:sz w:val="20"/>
        </w:rPr>
        <w:t>POST /api/assignments { serviceId, primaryAgentId, sla, evidenceRules }</w:t>
      </w:r>
    </w:p>
    <w:p>
      <w:pPr>
        <w:pStyle w:val="Heading1"/>
      </w:pPr>
      <w:r>
        <w:t>11. Acceptance Criteria</w:t>
      </w:r>
    </w:p>
    <w:p>
      <w:pPr>
        <w:pStyle w:val="ListBullet"/>
      </w:pPr>
      <w:r>
        <w:t>ERP Status mandatory; Partner ERP → 0 fee; Non‑Partner → add SKU; No ERP → Tech Partner before Provision.</w:t>
      </w:r>
    </w:p>
    <w:p>
      <w:pPr>
        <w:pStyle w:val="ListBullet"/>
      </w:pPr>
      <w:r>
        <w:t>Engagement cannot be Active until every service has a Primary agent.</w:t>
      </w:r>
    </w:p>
    <w:p>
      <w:pPr>
        <w:pStyle w:val="ListBullet"/>
      </w:pPr>
      <w:r>
        <w:t>Evidence enforcement configured per service and reflected to Agent app.</w:t>
      </w:r>
    </w:p>
    <w:p>
      <w:pPr>
        <w:pStyle w:val="ListBullet"/>
      </w:pPr>
      <w:r>
        <w:t>Payouts scheduled T+30 post‑acceptance; refunds reduce partner share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