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drawing>
          <wp:inline xmlns:a="http://schemas.openxmlformats.org/drawingml/2006/main" xmlns:pic="http://schemas.openxmlformats.org/drawingml/2006/picture">
            <wp:extent cx="5943600" cy="3128211"/>
            <wp:docPr id="1" name="PipelineOS cover" title="PipelineOS cover" descr="PipelineOS product artwork with sales growth charts and the tagline Sales clarity, without the clutter."/>
            <wp:cNvGraphicFramePr>
              <a:graphicFrameLocks noChangeAspect="1"/>
            </wp:cNvGraphicFramePr>
            <a:graphic>
              <a:graphicData uri="http://schemas.openxmlformats.org/drawingml/2006/picture">
                <pic:pic>
                  <pic:nvPicPr>
                    <pic:cNvPr id="0" name="og.png"/>
                    <pic:cNvPicPr/>
                  </pic:nvPicPr>
                  <pic:blipFill>
                    <a:blip r:embed="rId11"/>
                    <a:stretch>
                      <a:fillRect/>
                    </a:stretch>
                  </pic:blipFill>
                  <pic:spPr>
                    <a:xfrm>
                      <a:off x="0" y="0"/>
                      <a:ext cx="5943600" cy="3128211"/>
                    </a:xfrm>
                    <a:prstGeom prst="rect"/>
                  </pic:spPr>
                </pic:pic>
              </a:graphicData>
            </a:graphic>
          </wp:inline>
        </w:drawing>
      </w:r>
    </w:p>
    <w:p>
      <w:pPr>
        <w:spacing w:before="480" w:after="80"/>
      </w:pPr>
      <w:r>
        <w:rPr>
          <w:rFonts w:ascii="Calibri" w:hAnsi="Calibri"/>
          <w:b/>
          <w:i w:val="0"/>
          <w:color w:val="66852E"/>
          <w:sz w:val="22"/>
        </w:rPr>
        <w:t>PIPELINEOS</w:t>
      </w:r>
    </w:p>
    <w:p>
      <w:pPr>
        <w:spacing w:after="160"/>
      </w:pPr>
      <w:r>
        <w:rPr>
          <w:rFonts w:ascii="Calibri" w:hAnsi="Calibri"/>
          <w:b/>
          <w:i w:val="0"/>
          <w:color w:val="17221B"/>
          <w:sz w:val="52"/>
        </w:rPr>
        <w:t>End-to-End Product &amp; Technical Documentation</w:t>
      </w:r>
    </w:p>
    <w:p>
      <w:pPr>
        <w:spacing w:after="360"/>
      </w:pPr>
      <w:r>
        <w:rPr>
          <w:rFonts w:ascii="Calibri" w:hAnsi="Calibri"/>
          <w:b w:val="0"/>
          <w:i/>
          <w:color w:val="62645C"/>
          <w:sz w:val="27"/>
        </w:rPr>
        <w:t>Modern AI-ready sales pipeline operations, backed by Supabase</w:t>
      </w:r>
    </w:p>
    <w:p>
      <w:pPr>
        <w:keepLines/>
        <w:widowControl/>
      </w:pPr>
      <w:r>
        <w:rPr>
          <w:rFonts w:ascii="Calibri" w:hAnsi="Calibri"/>
          <w:b w:val="0"/>
          <w:i w:val="0"/>
          <w:color w:val="20211D"/>
          <w:sz w:val="22"/>
        </w:rPr>
        <w:t>Prepared for: Alba Corp — Data Dashboard on a Backend Service</w:t>
      </w:r>
    </w:p>
    <w:p>
      <w:pPr>
        <w:keepLines/>
        <w:widowControl/>
      </w:pPr>
      <w:r>
        <w:rPr>
          <w:rFonts w:ascii="Calibri" w:hAnsi="Calibri"/>
          <w:b w:val="0"/>
          <w:i w:val="0"/>
          <w:color w:val="20211D"/>
          <w:sz w:val="22"/>
        </w:rPr>
        <w:t>Document version: 1.0  |  July 24, 2026  |  Status: production deployment</w:t>
      </w:r>
    </w:p>
    <w:p>
      <w:pPr>
        <w:keepLines/>
        <w:spacing w:before="100" w:after="200"/>
        <w:ind w:left="173" w:right="173"/>
        <w:shd w:fill="EEF5DF"/>
        <w:pBdr>
          <w:left w:val="single" w:sz="18" w:space="6" w:color="66852E"/>
        </w:pBdr>
      </w:pPr>
      <w:r>
        <w:rPr>
          <w:rFonts w:ascii="Calibri" w:hAnsi="Calibri"/>
          <w:b/>
          <w:i w:val="0"/>
          <w:color w:val="66852E"/>
          <w:sz w:val="18"/>
        </w:rPr>
        <w:t>REVIEWER-READY</w:t>
        <w:br/>
      </w:r>
      <w:r>
        <w:rPr>
          <w:rFonts w:ascii="Calibri" w:hAnsi="Calibri"/>
          <w:b w:val="0"/>
          <w:i w:val="0"/>
          <w:color w:val="20211D"/>
          <w:sz w:val="21"/>
        </w:rPr>
        <w:t>This guide includes two seeded workspaces, complete credentials, a product walkthrough, the full schema, services and SQL functions, RLS proof, setup from zero, deployment instructions, and measured Lighthouse results.</w:t>
      </w:r>
    </w:p>
    <w:p>
      <w:pPr>
        <w:pStyle w:val="Heading1"/>
        <w:pageBreakBefore/>
        <w:keepNext/>
        <w:keepLines/>
        <w:widowControl/>
      </w:pPr>
      <w:r>
        <w:t>1. Executive overview</w:t>
      </w:r>
    </w:p>
    <w:p>
      <w:pPr>
        <w:keepLines/>
        <w:widowControl/>
      </w:pPr>
      <w:r>
        <w:rPr>
          <w:rFonts w:ascii="Calibri" w:hAnsi="Calibri"/>
          <w:b w:val="0"/>
          <w:i w:val="0"/>
          <w:color w:val="20211D"/>
          <w:sz w:val="22"/>
        </w:rPr>
        <w:t>PipelineOS is a focused CRM and revenue-intelligence workspace for a small sales team. It replaces spreadsheet-driven pipeline tracking with a normalized, authenticated data model; clear operational workflows; and dashboards that show how opportunities move from first signal to closed revenue.</w:t>
      </w:r>
    </w:p>
    <w:p>
      <w:pPr>
        <w:keepLines/>
        <w:widowControl/>
      </w:pPr>
      <w:r>
        <w:rPr>
          <w:rFonts w:ascii="Calibri" w:hAnsi="Calibri"/>
          <w:b w:val="0"/>
          <w:i w:val="0"/>
          <w:color w:val="20211D"/>
          <w:sz w:val="22"/>
        </w:rPr>
        <w:t>The product is designed to feel like real SaaS software rather than a generic administration template. Users manage companies, people, opportunities, and follow-up activity from one persistent workspace. PostgreSQL performs the analytical work, Supabase enforces each user's security boundary, and Next.js renders the product interface.</w:t>
      </w:r>
    </w:p>
    <w:p>
      <w:pPr>
        <w:pStyle w:val="Heading2"/>
        <w:keepNext/>
        <w:keepLines/>
        <w:widowControl/>
      </w:pPr>
      <w:r>
        <w:t>What the product achieves</w:t>
      </w:r>
    </w:p>
    <w:p>
      <w:pPr>
        <w:pStyle w:val="ListBullet"/>
        <w:keepLines/>
        <w:widowControl/>
      </w:pPr>
      <w:r>
        <w:rPr>
          <w:rFonts w:ascii="Calibri" w:hAnsi="Calibri"/>
          <w:b w:val="0"/>
          <w:i w:val="0"/>
          <w:color w:val="20211D"/>
          <w:sz w:val="22"/>
        </w:rPr>
        <w:t>One private pipeline workspace per authenticated user, enforced in PostgreSQL rather than only in the UI.</w:t>
      </w:r>
    </w:p>
    <w:p>
      <w:pPr>
        <w:pStyle w:val="ListBullet"/>
        <w:keepLines/>
        <w:widowControl/>
      </w:pPr>
      <w:r>
        <w:rPr>
          <w:rFonts w:ascii="Calibri" w:hAnsi="Calibri"/>
          <w:b w:val="0"/>
          <w:i w:val="0"/>
          <w:color w:val="20211D"/>
          <w:sz w:val="22"/>
        </w:rPr>
        <w:t>Complete create, read, update, and delete workflows for the core CRM entities, with optimistic or clearly handled feedback.</w:t>
      </w:r>
    </w:p>
    <w:p>
      <w:pPr>
        <w:pStyle w:val="ListBullet"/>
        <w:keepLines/>
        <w:widowControl/>
      </w:pPr>
      <w:r>
        <w:rPr>
          <w:rFonts w:ascii="Calibri" w:hAnsi="Calibri"/>
          <w:b w:val="0"/>
          <w:i w:val="0"/>
          <w:color w:val="20211D"/>
          <w:sz w:val="22"/>
        </w:rPr>
        <w:t>Operational dashboards and deeper analytics powered by backend aggregates rather than browser-side calculations.</w:t>
      </w:r>
    </w:p>
    <w:p>
      <w:pPr>
        <w:pStyle w:val="ListBullet"/>
        <w:keepLines/>
        <w:widowControl/>
      </w:pPr>
      <w:r>
        <w:rPr>
          <w:rFonts w:ascii="Calibri" w:hAnsi="Calibri"/>
          <w:b w:val="0"/>
          <w:i w:val="0"/>
          <w:color w:val="20211D"/>
          <w:sz w:val="22"/>
        </w:rPr>
        <w:t>A reproducible backend defined by migrations, policies, functions, indexes, seed data, and documented test accounts.</w:t>
      </w:r>
    </w:p>
    <w:p>
      <w:pPr>
        <w:pStyle w:val="ListBullet"/>
        <w:keepLines/>
        <w:widowControl/>
      </w:pPr>
      <w:r>
        <w:rPr>
          <w:rFonts w:ascii="Calibri" w:hAnsi="Calibri"/>
          <w:b w:val="0"/>
          <w:i w:val="0"/>
          <w:color w:val="20211D"/>
          <w:sz w:val="22"/>
        </w:rPr>
        <w:t>A polished, responsive product shell with global search, keyboard navigation, loading skeletons, empty states, and error recovery.</w:t>
      </w:r>
    </w:p>
    <w:p>
      <w:pPr>
        <w:pStyle w:val="Heading2"/>
        <w:keepNext/>
        <w:keepLines/>
        <w:widowControl/>
      </w:pPr>
      <w:r>
        <w:t>Scope at a glance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90" w:type="dxa"/>
              <w:start w:w="120" w:type="dxa"/>
              <w:bottom w:w="90" w:type="dxa"/>
              <w:end w:w="120" w:type="dxa"/>
            </w:tcMar>
          </w:tcPr>
          <w:p>
            <w:pPr>
              <w:spacing w:after="0"/>
            </w:pPr>
            <w:r>
              <w:rPr>
                <w:rFonts w:ascii="Calibri" w:hAnsi="Calibri"/>
                <w:b/>
                <w:i w:val="0"/>
                <w:color w:val="17221B"/>
                <w:sz w:val="19"/>
              </w:rPr>
              <w:t>Area</w:t>
            </w:r>
          </w:p>
        </w:tc>
        <w:tc>
          <w:tcPr>
            <w:tcW w:type="dxa" w:w="6660"/>
            <w:shd w:fill="E8EEF5"/>
            <w:vAlign w:val="center"/>
            <w:tcMar>
              <w:top w:w="90" w:type="dxa"/>
              <w:start w:w="120" w:type="dxa"/>
              <w:bottom w:w="90" w:type="dxa"/>
              <w:end w:w="120" w:type="dxa"/>
            </w:tcMar>
          </w:tcPr>
          <w:p>
            <w:pPr>
              <w:spacing w:after="0"/>
            </w:pPr>
            <w:r>
              <w:rPr>
                <w:rFonts w:ascii="Calibri" w:hAnsi="Calibri"/>
                <w:b/>
                <w:i w:val="0"/>
                <w:color w:val="17221B"/>
                <w:sz w:val="19"/>
              </w:rPr>
              <w:t>Delivered</w:t>
            </w:r>
          </w:p>
        </w:tc>
      </w:tr>
      <w:tr>
        <w:tc>
          <w:tcPr>
            <w:tcW w:type="dxa" w:w="2700"/>
            <w:vAlign w:val="center"/>
            <w:tcMar>
              <w:top w:w="90" w:type="dxa"/>
              <w:start w:w="120" w:type="dxa"/>
              <w:bottom w:w="90" w:type="dxa"/>
              <w:end w:w="120" w:type="dxa"/>
            </w:tcMar>
          </w:tcPr>
          <w:p>
            <w:pPr>
              <w:spacing w:after="0" w:line="269" w:lineRule="auto"/>
            </w:pPr>
            <w:r>
              <w:rPr>
                <w:rFonts w:ascii="Calibri" w:hAnsi="Calibri"/>
                <w:b w:val="0"/>
                <w:i w:val="0"/>
                <w:color w:val="20211D"/>
                <w:sz w:val="19"/>
              </w:rPr>
              <w:t>Core requirements</w:t>
            </w:r>
          </w:p>
        </w:tc>
        <w:tc>
          <w:tcPr>
            <w:tcW w:type="dxa" w:w="6660"/>
            <w:vAlign w:val="center"/>
            <w:tcMar>
              <w:top w:w="90" w:type="dxa"/>
              <w:start w:w="120" w:type="dxa"/>
              <w:bottom w:w="90" w:type="dxa"/>
              <w:end w:w="120" w:type="dxa"/>
            </w:tcMar>
          </w:tcPr>
          <w:p>
            <w:pPr>
              <w:spacing w:after="0" w:line="269" w:lineRule="auto"/>
            </w:pPr>
            <w:r>
              <w:rPr>
                <w:rFonts w:ascii="Calibri" w:hAnsi="Calibri"/>
                <w:b w:val="0"/>
                <w:i w:val="0"/>
                <w:color w:val="20211D"/>
                <w:sz w:val="19"/>
              </w:rPr>
              <w:t>7 of 7 complete</w:t>
            </w:r>
          </w:p>
        </w:tc>
      </w:tr>
      <w:tr>
        <w:tc>
          <w:tcPr>
            <w:tcW w:type="dxa" w:w="2700"/>
            <w:vAlign w:val="center"/>
            <w:tcMar>
              <w:top w:w="90" w:type="dxa"/>
              <w:start w:w="120" w:type="dxa"/>
              <w:bottom w:w="90" w:type="dxa"/>
              <w:end w:w="120" w:type="dxa"/>
            </w:tcMar>
          </w:tcPr>
          <w:p>
            <w:pPr>
              <w:spacing w:after="0" w:line="269" w:lineRule="auto"/>
            </w:pPr>
            <w:r>
              <w:rPr>
                <w:rFonts w:ascii="Calibri" w:hAnsi="Calibri"/>
                <w:b w:val="0"/>
                <w:i w:val="0"/>
                <w:color w:val="20211D"/>
                <w:sz w:val="19"/>
              </w:rPr>
              <w:t>Advanced features</w:t>
            </w:r>
          </w:p>
        </w:tc>
        <w:tc>
          <w:tcPr>
            <w:tcW w:type="dxa" w:w="6660"/>
            <w:vAlign w:val="center"/>
            <w:tcMar>
              <w:top w:w="90" w:type="dxa"/>
              <w:start w:w="120" w:type="dxa"/>
              <w:bottom w:w="90" w:type="dxa"/>
              <w:end w:w="120" w:type="dxa"/>
            </w:tcMar>
          </w:tcPr>
          <w:p>
            <w:pPr>
              <w:spacing w:after="0" w:line="269" w:lineRule="auto"/>
            </w:pPr>
            <w:r>
              <w:rPr>
                <w:rFonts w:ascii="Calibri" w:hAnsi="Calibri"/>
                <w:b w:val="0"/>
                <w:i w:val="0"/>
                <w:color w:val="20211D"/>
                <w:sz w:val="19"/>
              </w:rPr>
              <w:t>Authentication + RLS + server analytics</w:t>
            </w:r>
          </w:p>
        </w:tc>
      </w:tr>
      <w:tr>
        <w:tc>
          <w:tcPr>
            <w:tcW w:type="dxa" w:w="2700"/>
            <w:vAlign w:val="center"/>
            <w:tcMar>
              <w:top w:w="90" w:type="dxa"/>
              <w:start w:w="120" w:type="dxa"/>
              <w:bottom w:w="90" w:type="dxa"/>
              <w:end w:w="120" w:type="dxa"/>
            </w:tcMar>
          </w:tcPr>
          <w:p>
            <w:pPr>
              <w:spacing w:after="0" w:line="269" w:lineRule="auto"/>
            </w:pPr>
            <w:r>
              <w:rPr>
                <w:rFonts w:ascii="Calibri" w:hAnsi="Calibri"/>
                <w:b w:val="0"/>
                <w:i w:val="0"/>
                <w:color w:val="20211D"/>
                <w:sz w:val="19"/>
              </w:rPr>
              <w:t>Application entities</w:t>
            </w:r>
          </w:p>
        </w:tc>
        <w:tc>
          <w:tcPr>
            <w:tcW w:type="dxa" w:w="6660"/>
            <w:vAlign w:val="center"/>
            <w:tcMar>
              <w:top w:w="90" w:type="dxa"/>
              <w:start w:w="120" w:type="dxa"/>
              <w:bottom w:w="90" w:type="dxa"/>
              <w:end w:w="120" w:type="dxa"/>
            </w:tcMar>
          </w:tcPr>
          <w:p>
            <w:pPr>
              <w:spacing w:after="0" w:line="269" w:lineRule="auto"/>
            </w:pPr>
            <w:r>
              <w:rPr>
                <w:rFonts w:ascii="Calibri" w:hAnsi="Calibri"/>
                <w:b w:val="0"/>
                <w:i w:val="0"/>
                <w:color w:val="20211D"/>
                <w:sz w:val="19"/>
              </w:rPr>
              <w:t>7 owner-scoped PostgreSQL tables</w:t>
            </w:r>
          </w:p>
        </w:tc>
      </w:tr>
      <w:tr>
        <w:tc>
          <w:tcPr>
            <w:tcW w:type="dxa" w:w="2700"/>
            <w:vAlign w:val="center"/>
            <w:tcMar>
              <w:top w:w="90" w:type="dxa"/>
              <w:start w:w="120" w:type="dxa"/>
              <w:bottom w:w="90" w:type="dxa"/>
              <w:end w:w="120" w:type="dxa"/>
            </w:tcMar>
          </w:tcPr>
          <w:p>
            <w:pPr>
              <w:spacing w:after="0" w:line="269" w:lineRule="auto"/>
            </w:pPr>
            <w:r>
              <w:rPr>
                <w:rFonts w:ascii="Calibri" w:hAnsi="Calibri"/>
                <w:b w:val="0"/>
                <w:i w:val="0"/>
                <w:color w:val="20211D"/>
                <w:sz w:val="19"/>
              </w:rPr>
              <w:t>Product routes</w:t>
            </w:r>
          </w:p>
        </w:tc>
        <w:tc>
          <w:tcPr>
            <w:tcW w:type="dxa" w:w="6660"/>
            <w:vAlign w:val="center"/>
            <w:tcMar>
              <w:top w:w="90" w:type="dxa"/>
              <w:start w:w="120" w:type="dxa"/>
              <w:bottom w:w="90" w:type="dxa"/>
              <w:end w:w="120" w:type="dxa"/>
            </w:tcMar>
          </w:tcPr>
          <w:p>
            <w:pPr>
              <w:spacing w:after="0" w:line="269" w:lineRule="auto"/>
            </w:pPr>
            <w:r>
              <w:rPr>
                <w:rFonts w:ascii="Calibri" w:hAnsi="Calibri"/>
                <w:b w:val="0"/>
                <w:i w:val="0"/>
                <w:color w:val="20211D"/>
                <w:sz w:val="19"/>
              </w:rPr>
              <w:t>Dashboard, Companies, Contacts, Deals, Activities, Analytics, Settings</w:t>
            </w:r>
          </w:p>
        </w:tc>
      </w:tr>
      <w:tr>
        <w:tc>
          <w:tcPr>
            <w:tcW w:type="dxa" w:w="2700"/>
            <w:vAlign w:val="center"/>
            <w:tcMar>
              <w:top w:w="90" w:type="dxa"/>
              <w:start w:w="120" w:type="dxa"/>
              <w:bottom w:w="90" w:type="dxa"/>
              <w:end w:w="120" w:type="dxa"/>
            </w:tcMar>
          </w:tcPr>
          <w:p>
            <w:pPr>
              <w:spacing w:after="0" w:line="269" w:lineRule="auto"/>
            </w:pPr>
            <w:r>
              <w:rPr>
                <w:rFonts w:ascii="Calibri" w:hAnsi="Calibri"/>
                <w:b w:val="0"/>
                <w:i w:val="0"/>
                <w:color w:val="20211D"/>
                <w:sz w:val="19"/>
              </w:rPr>
              <w:t>Demo workspaces</w:t>
            </w:r>
          </w:p>
        </w:tc>
        <w:tc>
          <w:tcPr>
            <w:tcW w:type="dxa" w:w="6660"/>
            <w:vAlign w:val="center"/>
            <w:tcMar>
              <w:top w:w="90" w:type="dxa"/>
              <w:start w:w="120" w:type="dxa"/>
              <w:bottom w:w="90" w:type="dxa"/>
              <w:end w:w="120" w:type="dxa"/>
            </w:tcMar>
          </w:tcPr>
          <w:p>
            <w:pPr>
              <w:spacing w:after="0" w:line="269" w:lineRule="auto"/>
            </w:pPr>
            <w:r>
              <w:rPr>
                <w:rFonts w:ascii="Calibri" w:hAnsi="Calibri"/>
                <w:b w:val="0"/>
                <w:i w:val="0"/>
                <w:color w:val="20211D"/>
                <w:sz w:val="19"/>
              </w:rPr>
              <w:t>2 isolated users with different datasets</w:t>
            </w:r>
          </w:p>
        </w:tc>
      </w:tr>
      <w:tr>
        <w:tc>
          <w:tcPr>
            <w:tcW w:type="dxa" w:w="2700"/>
            <w:vAlign w:val="center"/>
            <w:tcMar>
              <w:top w:w="90" w:type="dxa"/>
              <w:start w:w="120" w:type="dxa"/>
              <w:bottom w:w="90" w:type="dxa"/>
              <w:end w:w="120" w:type="dxa"/>
            </w:tcMar>
          </w:tcPr>
          <w:p>
            <w:pPr>
              <w:spacing w:after="0" w:line="269" w:lineRule="auto"/>
            </w:pPr>
            <w:r>
              <w:rPr>
                <w:rFonts w:ascii="Calibri" w:hAnsi="Calibri"/>
                <w:b w:val="0"/>
                <w:i w:val="0"/>
                <w:color w:val="20211D"/>
                <w:sz w:val="19"/>
              </w:rPr>
              <w:t>Measured quality</w:t>
            </w:r>
          </w:p>
        </w:tc>
        <w:tc>
          <w:tcPr>
            <w:tcW w:type="dxa" w:w="6660"/>
            <w:vAlign w:val="center"/>
            <w:tcMar>
              <w:top w:w="90" w:type="dxa"/>
              <w:start w:w="120" w:type="dxa"/>
              <w:bottom w:w="90" w:type="dxa"/>
              <w:end w:w="120" w:type="dxa"/>
            </w:tcMar>
          </w:tcPr>
          <w:p>
            <w:pPr>
              <w:spacing w:after="0" w:line="269" w:lineRule="auto"/>
            </w:pPr>
            <w:r>
              <w:rPr>
                <w:rFonts w:ascii="Calibri" w:hAnsi="Calibri"/>
                <w:b w:val="0"/>
                <w:i w:val="0"/>
                <w:color w:val="20211D"/>
                <w:sz w:val="19"/>
              </w:rPr>
              <w:t>Lighthouse median: 95 / 100 / 96 / 100</w:t>
            </w:r>
          </w:p>
        </w:tc>
      </w:tr>
    </w:tbl>
    <w:p>
      <w:pPr>
        <w:spacing w:after="20"/>
      </w:pPr>
    </w:p>
    <w:p>
      <w:pPr>
        <w:pStyle w:val="Heading1"/>
        <w:pageBreakBefore/>
        <w:keepNext/>
        <w:keepLines/>
        <w:widowControl/>
      </w:pPr>
      <w:r>
        <w:t>2. Reviewer quick start</w:t>
      </w:r>
    </w:p>
    <w:p>
      <w:pPr>
        <w:keepLines/>
        <w:spacing w:before="100" w:after="200"/>
        <w:ind w:left="173" w:right="173"/>
        <w:shd w:fill="EEF5DF"/>
        <w:pBdr>
          <w:left w:val="single" w:sz="18" w:space="6" w:color="66852E"/>
        </w:pBdr>
      </w:pPr>
      <w:r>
        <w:rPr>
          <w:rFonts w:ascii="Calibri" w:hAnsi="Calibri"/>
          <w:b/>
          <w:i w:val="0"/>
          <w:color w:val="66852E"/>
          <w:sz w:val="18"/>
        </w:rPr>
        <w:t>FASTEST PATH</w:t>
        <w:br/>
      </w:r>
      <w:r>
        <w:rPr>
          <w:rFonts w:ascii="Calibri" w:hAnsi="Calibri"/>
          <w:b w:val="0"/>
          <w:i w:val="0"/>
          <w:color w:val="20211D"/>
          <w:sz w:val="21"/>
        </w:rPr>
        <w:t>Open the deployed application link supplied with the submission, sign in with either account below, and follow the ten-minute walkthrough. If the deployment URL is protected, run the repository locally using Section 13.</w:t>
      </w:r>
    </w:p>
    <w:p>
      <w:pPr>
        <w:pStyle w:val="Heading2"/>
        <w:keepNext/>
        <w:keepLines/>
        <w:widowControl/>
      </w:pPr>
      <w:r>
        <w:t>Repository</w:t>
      </w:r>
    </w:p>
    <w:p>
      <w:hyperlink r:id="rId12">
        <w:r>
          <w:rPr>
            <w:rFonts w:ascii="Calibri" w:hAnsi="Calibri"/>
            <w:color w:val="2E74B5"/>
            <w:u w:val="single"/>
          </w:rPr>
          <w:t>github.com/maluraditya/alba-assessments/tree/main/02-dashboard</w:t>
        </w:r>
      </w:hyperlink>
    </w:p>
    <w:p>
      <w:pPr>
        <w:pStyle w:val="Heading2"/>
        <w:keepNext/>
        <w:keepLines/>
        <w:widowControl/>
      </w:pPr>
      <w:r>
        <w:t>Demo credentials</w:t>
      </w:r>
    </w:p>
    <w:tbl>
      <w:tblPr>
        <w:tblStyle w:val="TableGrid"/>
        <w:tblW w:type="dxa" w:w="9360"/>
        <w:jc w:val="left"/>
        <w:tblLayout w:type="fixed"/>
        <w:tblLook w:firstColumn="1" w:firstRow="1" w:lastColumn="0" w:lastRow="0" w:noHBand="0" w:noVBand="1" w:val="04A0"/>
        <w:tblInd w:w="120" w:type="dxa"/>
      </w:tblPr>
      <w:tblGrid>
        <w:gridCol w:w="1500"/>
        <w:gridCol w:w="2450"/>
        <w:gridCol w:w="2300"/>
        <w:gridCol w:w="3110"/>
      </w:tblGrid>
      <w:tr>
        <w:trPr>
          <w:tblHeader w:val="true"/>
        </w:trPr>
        <w:tc>
          <w:tcPr>
            <w:tcW w:type="dxa" w:w="1500"/>
            <w:shd w:fill="D8FF72"/>
            <w:vAlign w:val="center"/>
            <w:tcMar>
              <w:top w:w="90" w:type="dxa"/>
              <w:start w:w="120" w:type="dxa"/>
              <w:bottom w:w="90" w:type="dxa"/>
              <w:end w:w="120" w:type="dxa"/>
            </w:tcMar>
          </w:tcPr>
          <w:p>
            <w:pPr>
              <w:spacing w:after="0"/>
            </w:pPr>
            <w:r>
              <w:rPr>
                <w:rFonts w:ascii="Calibri" w:hAnsi="Calibri"/>
                <w:b/>
                <w:i w:val="0"/>
                <w:color w:val="17221B"/>
                <w:sz w:val="17"/>
              </w:rPr>
              <w:t>Persona</w:t>
            </w:r>
          </w:p>
        </w:tc>
        <w:tc>
          <w:tcPr>
            <w:tcW w:type="dxa" w:w="2450"/>
            <w:shd w:fill="D8FF72"/>
            <w:vAlign w:val="center"/>
            <w:tcMar>
              <w:top w:w="90" w:type="dxa"/>
              <w:start w:w="120" w:type="dxa"/>
              <w:bottom w:w="90" w:type="dxa"/>
              <w:end w:w="120" w:type="dxa"/>
            </w:tcMar>
          </w:tcPr>
          <w:p>
            <w:pPr>
              <w:spacing w:after="0"/>
            </w:pPr>
            <w:r>
              <w:rPr>
                <w:rFonts w:ascii="Calibri" w:hAnsi="Calibri"/>
                <w:b/>
                <w:i w:val="0"/>
                <w:color w:val="17221B"/>
                <w:sz w:val="17"/>
              </w:rPr>
              <w:t>Email</w:t>
            </w:r>
          </w:p>
        </w:tc>
        <w:tc>
          <w:tcPr>
            <w:tcW w:type="dxa" w:w="2300"/>
            <w:shd w:fill="D8FF72"/>
            <w:vAlign w:val="center"/>
            <w:tcMar>
              <w:top w:w="90" w:type="dxa"/>
              <w:start w:w="120" w:type="dxa"/>
              <w:bottom w:w="90" w:type="dxa"/>
              <w:end w:w="120" w:type="dxa"/>
            </w:tcMar>
          </w:tcPr>
          <w:p>
            <w:pPr>
              <w:spacing w:after="0"/>
            </w:pPr>
            <w:r>
              <w:rPr>
                <w:rFonts w:ascii="Calibri" w:hAnsi="Calibri"/>
                <w:b/>
                <w:i w:val="0"/>
                <w:color w:val="17221B"/>
                <w:sz w:val="17"/>
              </w:rPr>
              <w:t>Password</w:t>
            </w:r>
          </w:p>
        </w:tc>
        <w:tc>
          <w:tcPr>
            <w:tcW w:type="dxa" w:w="3110"/>
            <w:shd w:fill="D8FF72"/>
            <w:vAlign w:val="center"/>
            <w:tcMar>
              <w:top w:w="90" w:type="dxa"/>
              <w:start w:w="120" w:type="dxa"/>
              <w:bottom w:w="90" w:type="dxa"/>
              <w:end w:w="120" w:type="dxa"/>
            </w:tcMar>
          </w:tcPr>
          <w:p>
            <w:pPr>
              <w:spacing w:after="0"/>
            </w:pPr>
            <w:r>
              <w:rPr>
                <w:rFonts w:ascii="Calibri" w:hAnsi="Calibri"/>
                <w:b/>
                <w:i w:val="0"/>
                <w:color w:val="17221B"/>
                <w:sz w:val="17"/>
              </w:rPr>
              <w:t>Seeded workspace</w:t>
            </w:r>
          </w:p>
        </w:tc>
      </w:tr>
      <w:tr>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7"/>
              </w:rPr>
              <w:t>Alex Morgan</w:t>
            </w:r>
          </w:p>
        </w:tc>
        <w:tc>
          <w:tcPr>
            <w:tcW w:type="dxa" w:w="2450"/>
            <w:vAlign w:val="center"/>
            <w:tcMar>
              <w:top w:w="90" w:type="dxa"/>
              <w:start w:w="120" w:type="dxa"/>
              <w:bottom w:w="90" w:type="dxa"/>
              <w:end w:w="120" w:type="dxa"/>
            </w:tcMar>
          </w:tcPr>
          <w:p>
            <w:pPr>
              <w:spacing w:after="0" w:line="269" w:lineRule="auto"/>
            </w:pPr>
            <w:r>
              <w:rPr>
                <w:rFonts w:ascii="Calibri" w:hAnsi="Calibri"/>
                <w:b w:val="0"/>
                <w:i w:val="0"/>
                <w:color w:val="20211D"/>
                <w:sz w:val="17"/>
              </w:rPr>
              <w:t>alex@pipelineos.demo</w:t>
            </w:r>
          </w:p>
        </w:tc>
        <w:tc>
          <w:tcPr>
            <w:tcW w:type="dxa" w:w="2300"/>
            <w:vAlign w:val="center"/>
            <w:tcMar>
              <w:top w:w="90" w:type="dxa"/>
              <w:start w:w="120" w:type="dxa"/>
              <w:bottom w:w="90" w:type="dxa"/>
              <w:end w:w="120" w:type="dxa"/>
            </w:tcMar>
          </w:tcPr>
          <w:p>
            <w:pPr>
              <w:spacing w:after="0" w:line="269" w:lineRule="auto"/>
            </w:pPr>
            <w:r>
              <w:rPr>
                <w:rFonts w:ascii="Calibri" w:hAnsi="Calibri"/>
                <w:b w:val="0"/>
                <w:i w:val="0"/>
                <w:color w:val="20211D"/>
                <w:sz w:val="17"/>
              </w:rPr>
              <w:t>PipelineOS-demo-2026!</w:t>
            </w:r>
          </w:p>
        </w:tc>
        <w:tc>
          <w:tcPr>
            <w:tcW w:type="dxa" w:w="3110"/>
            <w:vAlign w:val="center"/>
            <w:tcMar>
              <w:top w:w="90" w:type="dxa"/>
              <w:start w:w="120" w:type="dxa"/>
              <w:bottom w:w="90" w:type="dxa"/>
              <w:end w:w="120" w:type="dxa"/>
            </w:tcMar>
          </w:tcPr>
          <w:p>
            <w:pPr>
              <w:spacing w:after="0" w:line="269" w:lineRule="auto"/>
            </w:pPr>
            <w:r>
              <w:rPr>
                <w:rFonts w:ascii="Calibri" w:hAnsi="Calibri"/>
                <w:b w:val="0"/>
                <w:i w:val="0"/>
                <w:color w:val="20211D"/>
                <w:sz w:val="17"/>
              </w:rPr>
              <w:t>9 companies · 13 deals · enterprise, multi-channel</w:t>
            </w:r>
          </w:p>
        </w:tc>
      </w:tr>
      <w:tr>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7"/>
              </w:rPr>
              <w:t>Sam Rivera</w:t>
            </w:r>
          </w:p>
        </w:tc>
        <w:tc>
          <w:tcPr>
            <w:tcW w:type="dxa" w:w="2450"/>
            <w:vAlign w:val="center"/>
            <w:tcMar>
              <w:top w:w="90" w:type="dxa"/>
              <w:start w:w="120" w:type="dxa"/>
              <w:bottom w:w="90" w:type="dxa"/>
              <w:end w:w="120" w:type="dxa"/>
            </w:tcMar>
          </w:tcPr>
          <w:p>
            <w:pPr>
              <w:spacing w:after="0" w:line="269" w:lineRule="auto"/>
            </w:pPr>
            <w:r>
              <w:rPr>
                <w:rFonts w:ascii="Calibri" w:hAnsi="Calibri"/>
                <w:b w:val="0"/>
                <w:i w:val="0"/>
                <w:color w:val="20211D"/>
                <w:sz w:val="17"/>
              </w:rPr>
              <w:t>sam@pipelineos.demo</w:t>
            </w:r>
          </w:p>
        </w:tc>
        <w:tc>
          <w:tcPr>
            <w:tcW w:type="dxa" w:w="2300"/>
            <w:vAlign w:val="center"/>
            <w:tcMar>
              <w:top w:w="90" w:type="dxa"/>
              <w:start w:w="120" w:type="dxa"/>
              <w:bottom w:w="90" w:type="dxa"/>
              <w:end w:w="120" w:type="dxa"/>
            </w:tcMar>
          </w:tcPr>
          <w:p>
            <w:pPr>
              <w:spacing w:after="0" w:line="269" w:lineRule="auto"/>
            </w:pPr>
            <w:r>
              <w:rPr>
                <w:rFonts w:ascii="Calibri" w:hAnsi="Calibri"/>
                <w:b w:val="0"/>
                <w:i w:val="0"/>
                <w:color w:val="20211D"/>
                <w:sz w:val="17"/>
              </w:rPr>
              <w:t>PipelineOS-demo-2026!</w:t>
            </w:r>
          </w:p>
        </w:tc>
        <w:tc>
          <w:tcPr>
            <w:tcW w:type="dxa" w:w="3110"/>
            <w:vAlign w:val="center"/>
            <w:tcMar>
              <w:top w:w="90" w:type="dxa"/>
              <w:start w:w="120" w:type="dxa"/>
              <w:bottom w:w="90" w:type="dxa"/>
              <w:end w:w="120" w:type="dxa"/>
            </w:tcMar>
          </w:tcPr>
          <w:p>
            <w:pPr>
              <w:spacing w:after="0" w:line="269" w:lineRule="auto"/>
            </w:pPr>
            <w:r>
              <w:rPr>
                <w:rFonts w:ascii="Calibri" w:hAnsi="Calibri"/>
                <w:b w:val="0"/>
                <w:i w:val="0"/>
                <w:color w:val="20211D"/>
                <w:sz w:val="17"/>
              </w:rPr>
              <w:t>4 companies · 7 deals · smaller mid-market pipeline</w:t>
            </w:r>
          </w:p>
        </w:tc>
      </w:tr>
    </w:tbl>
    <w:p>
      <w:pPr>
        <w:spacing w:after="20"/>
      </w:pPr>
    </w:p>
    <w:p>
      <w:pPr>
        <w:keepLines/>
        <w:spacing w:before="100" w:after="200"/>
        <w:ind w:left="173" w:right="173"/>
        <w:shd w:fill="EEF5DF"/>
        <w:pBdr>
          <w:left w:val="single" w:sz="18" w:space="6" w:color="66852E"/>
        </w:pBdr>
      </w:pPr>
      <w:r>
        <w:rPr>
          <w:rFonts w:ascii="Calibri" w:hAnsi="Calibri"/>
          <w:b/>
          <w:i w:val="0"/>
          <w:color w:val="66852E"/>
          <w:sz w:val="18"/>
        </w:rPr>
        <w:t>SECURITY DEMONSTRATION</w:t>
        <w:br/>
      </w:r>
      <w:r>
        <w:rPr>
          <w:rFonts w:ascii="Calibri" w:hAnsi="Calibri"/>
          <w:b w:val="0"/>
          <w:i w:val="0"/>
          <w:color w:val="20211D"/>
          <w:sz w:val="21"/>
        </w:rPr>
        <w:t>The accounts intentionally contain different customers, values, stages, sources, revenue history, tags, and activities. Switching between them demonstrates that RLS prevents one user from seeing the other's rows.</w:t>
      </w:r>
    </w:p>
    <w:p>
      <w:pPr>
        <w:pStyle w:val="Heading2"/>
        <w:keepNext/>
        <w:keepLines/>
        <w:widowControl/>
      </w:pPr>
      <w:r>
        <w:t>Ten-minute walkthrough</w:t>
      </w:r>
    </w:p>
    <w:p>
      <w:pPr>
        <w:numPr>
          <w:ilvl w:val="0"/>
          <w:numId w:val="10"/>
        </w:numPr>
        <w:keepLines/>
        <w:widowControl/>
      </w:pPr>
      <w:r>
        <w:rPr>
          <w:rFonts w:ascii="Calibri" w:hAnsi="Calibri"/>
          <w:b w:val="0"/>
          <w:i w:val="0"/>
          <w:color w:val="20211D"/>
          <w:sz w:val="22"/>
        </w:rPr>
        <w:t>Sign in as Alex and review the command-center dashboard: open pipeline, win rate, revenue funnel, source mix, activity velocity, and priority queue.</w:t>
      </w:r>
    </w:p>
    <w:p>
      <w:pPr>
        <w:numPr>
          <w:ilvl w:val="0"/>
          <w:numId w:val="10"/>
        </w:numPr>
        <w:keepLines/>
        <w:widowControl/>
      </w:pPr>
      <w:r>
        <w:rPr>
          <w:rFonts w:ascii="Calibri" w:hAnsi="Calibri"/>
          <w:b w:val="0"/>
          <w:i w:val="0"/>
          <w:color w:val="20211D"/>
          <w:sz w:val="22"/>
        </w:rPr>
        <w:t>Open Companies and create a temporary company. Edit one field, then delete the row to observe mutation feedback.</w:t>
      </w:r>
    </w:p>
    <w:p>
      <w:pPr>
        <w:numPr>
          <w:ilvl w:val="0"/>
          <w:numId w:val="10"/>
        </w:numPr>
        <w:keepLines/>
        <w:widowControl/>
      </w:pPr>
      <w:r>
        <w:rPr>
          <w:rFonts w:ascii="Calibri" w:hAnsi="Calibri"/>
          <w:b w:val="0"/>
          <w:i w:val="0"/>
          <w:color w:val="20211D"/>
          <w:sz w:val="22"/>
        </w:rPr>
        <w:t>Open Contacts, Deals, and Activities to see how related entities retain company, person, opportunity, and follow-up context.</w:t>
      </w:r>
    </w:p>
    <w:p>
      <w:pPr>
        <w:numPr>
          <w:ilvl w:val="0"/>
          <w:numId w:val="10"/>
        </w:numPr>
        <w:keepLines/>
        <w:widowControl/>
      </w:pPr>
      <w:r>
        <w:rPr>
          <w:rFonts w:ascii="Calibri" w:hAnsi="Calibri"/>
          <w:b w:val="0"/>
          <w:i w:val="0"/>
          <w:color w:val="20211D"/>
          <w:sz w:val="22"/>
        </w:rPr>
        <w:t>Press Cmd/Ctrl+K and search for a company, contact, or deal. Results are returned by an authenticated PostgreSQL function.</w:t>
      </w:r>
    </w:p>
    <w:p>
      <w:pPr>
        <w:numPr>
          <w:ilvl w:val="0"/>
          <w:numId w:val="10"/>
        </w:numPr>
        <w:keepLines/>
        <w:widowControl/>
      </w:pPr>
      <w:r>
        <w:rPr>
          <w:rFonts w:ascii="Calibri" w:hAnsi="Calibri"/>
          <w:b w:val="0"/>
          <w:i w:val="0"/>
          <w:color w:val="20211D"/>
          <w:sz w:val="22"/>
        </w:rPr>
        <w:t>Open Analytics and inspect the server-computed revenue, coverage, source, activity, and pipeline metrics.</w:t>
      </w:r>
    </w:p>
    <w:p>
      <w:pPr>
        <w:numPr>
          <w:ilvl w:val="0"/>
          <w:numId w:val="10"/>
        </w:numPr>
        <w:keepLines/>
        <w:widowControl/>
      </w:pPr>
      <w:r>
        <w:rPr>
          <w:rFonts w:ascii="Calibri" w:hAnsi="Calibri"/>
          <w:b w:val="0"/>
          <w:i w:val="0"/>
          <w:color w:val="20211D"/>
          <w:sz w:val="22"/>
        </w:rPr>
        <w:t>Sign out, sign in as Sam, and confirm that the data, charts, and metrics change and Alex's rows do not appear.</w:t>
      </w:r>
    </w:p>
    <w:p>
      <w:pPr>
        <w:pStyle w:val="Heading1"/>
        <w:keepNext/>
        <w:keepLines/>
        <w:widowControl/>
      </w:pPr>
      <w:r>
        <w:t>3. Product guide</w:t>
      </w:r>
    </w:p>
    <w:p>
      <w:pPr>
        <w:pStyle w:val="Heading2"/>
        <w:keepNext/>
        <w:keepLines/>
        <w:widowControl/>
      </w:pPr>
      <w:r>
        <w:t>Authentication and account access</w:t>
      </w:r>
    </w:p>
    <w:p>
      <w:pPr>
        <w:keepLines/>
        <w:widowControl/>
      </w:pPr>
      <w:r>
        <w:rPr>
          <w:rFonts w:ascii="Calibri" w:hAnsi="Calibri"/>
          <w:b w:val="0"/>
          <w:i w:val="0"/>
          <w:color w:val="20211D"/>
          <w:sz w:val="22"/>
        </w:rPr>
        <w:t>The login surface supports sign-in, registration, email confirmation, password recovery, and a dedicated new-password screen. Protected pages verify the Supabase user on the server before loading CRM data. Signing out clears the session and returns the user to login.</w:t>
      </w:r>
    </w:p>
    <w:p>
      <w:pPr>
        <w:pStyle w:val="Heading2"/>
        <w:keepNext/>
        <w:keepLines/>
        <w:widowControl/>
      </w:pPr>
      <w:r>
        <w:t>Dashboard — the operational command center</w:t>
      </w:r>
    </w:p>
    <w:p>
      <w:pPr>
        <w:keepLines/>
        <w:widowControl/>
      </w:pPr>
      <w:r>
        <w:rPr>
          <w:rFonts w:ascii="Calibri" w:hAnsi="Calibri"/>
          <w:b w:val="0"/>
          <w:i w:val="0"/>
          <w:color w:val="20211D"/>
          <w:sz w:val="22"/>
        </w:rPr>
        <w:t>The dashboard is for decisions and execution, not only reporting. It combines headline pipeline health with the conversion funnel, acquisition channel mix, seven-day execution velocity, the largest active opportunities, and the next scheduled commitments.</w:t>
      </w:r>
    </w:p>
    <w:p>
      <w:pPr>
        <w:pStyle w:val="ListBullet"/>
        <w:keepLines/>
        <w:widowControl/>
      </w:pPr>
      <w:r>
        <w:rPr>
          <w:rFonts w:ascii="Calibri" w:hAnsi="Calibri"/>
          <w:b w:val="0"/>
          <w:i w:val="0"/>
          <w:color w:val="20211D"/>
          <w:sz w:val="22"/>
        </w:rPr>
        <w:t>Use View deals to move from summary metrics into the complete pipeline.</w:t>
      </w:r>
    </w:p>
    <w:p>
      <w:pPr>
        <w:pStyle w:val="ListBullet"/>
        <w:keepLines/>
        <w:widowControl/>
      </w:pPr>
      <w:r>
        <w:rPr>
          <w:rFonts w:ascii="Calibri" w:hAnsi="Calibri"/>
          <w:b w:val="0"/>
          <w:i w:val="0"/>
          <w:color w:val="20211D"/>
          <w:sz w:val="22"/>
        </w:rPr>
        <w:t>Use Deep analytics when you need trend and coverage detail rather than today's action queue.</w:t>
      </w:r>
    </w:p>
    <w:p>
      <w:pPr>
        <w:pStyle w:val="ListBullet"/>
        <w:keepLines/>
        <w:widowControl/>
      </w:pPr>
      <w:r>
        <w:rPr>
          <w:rFonts w:ascii="Calibri" w:hAnsi="Calibri"/>
          <w:b w:val="0"/>
          <w:i w:val="0"/>
          <w:color w:val="20211D"/>
          <w:sz w:val="22"/>
        </w:rPr>
        <w:t>Hover charts for consistent high-contrast tooltips with the exact stage, source, value, or activity total.</w:t>
      </w:r>
    </w:p>
    <w:p>
      <w:pPr>
        <w:pStyle w:val="Heading2"/>
        <w:keepNext/>
        <w:keepLines/>
        <w:widowControl/>
      </w:pPr>
      <w:r>
        <w:t>Companies and contacts</w:t>
      </w:r>
    </w:p>
    <w:p>
      <w:pPr>
        <w:keepLines/>
        <w:widowControl/>
      </w:pPr>
      <w:r>
        <w:rPr>
          <w:rFonts w:ascii="Calibri" w:hAnsi="Calibri"/>
          <w:b w:val="0"/>
          <w:i w:val="0"/>
          <w:color w:val="20211D"/>
          <w:sz w:val="22"/>
        </w:rPr>
        <w:t>Companies represent customer or prospect organizations. Contacts belong to a company and capture the people involved in a buying process. Create the company first, then add its stakeholders so later deals can reference both records without duplicating data.</w:t>
      </w:r>
    </w:p>
    <w:p>
      <w:pPr>
        <w:pStyle w:val="Heading2"/>
        <w:keepNext/>
        <w:keepLines/>
        <w:widowControl/>
      </w:pPr>
      <w:r>
        <w:t>Deals</w:t>
      </w:r>
    </w:p>
    <w:p>
      <w:pPr>
        <w:keepLines/>
        <w:widowControl/>
      </w:pPr>
      <w:r>
        <w:rPr>
          <w:rFonts w:ascii="Calibri" w:hAnsi="Calibri"/>
          <w:b w:val="0"/>
          <w:i w:val="0"/>
          <w:color w:val="20211D"/>
          <w:sz w:val="22"/>
        </w:rPr>
        <w:t>Deals are revenue opportunities. Each record includes a company, optional primary contact, value, pipeline stage, probability, source, expected close date, closed timestamp, and optional loss reason. Filters and sorting help users isolate a stage or search by opportunity name.</w:t>
      </w:r>
    </w:p>
    <w:p>
      <w:pPr>
        <w:keepNext/>
        <w:jc w:val="center"/>
      </w:pPr>
      <w:r>
        <w:drawing>
          <wp:inline xmlns:a="http://schemas.openxmlformats.org/drawingml/2006/main" xmlns:pic="http://schemas.openxmlformats.org/drawingml/2006/picture">
            <wp:extent cx="2971800" cy="5005973"/>
            <wp:docPr id="2" name="PipelineOS deals workspace" title="PipelineOS deals workspace" descr="PipelineOS sidebar and deals workspace showing navigation, opportunity rows, filters, and account profile."/>
            <wp:cNvGraphicFramePr>
              <a:graphicFrameLocks noChangeAspect="1"/>
            </wp:cNvGraphicFramePr>
            <a:graphic>
              <a:graphicData uri="http://schemas.openxmlformats.org/drawingml/2006/picture">
                <pic:pic>
                  <pic:nvPicPr>
                    <pic:cNvPr id="0" name="codex-clipboard-b754e243-9311-4226-a984-4639274834a9.png"/>
                    <pic:cNvPicPr/>
                  </pic:nvPicPr>
                  <pic:blipFill>
                    <a:blip r:embed="rId13"/>
                    <a:stretch>
                      <a:fillRect/>
                    </a:stretch>
                  </pic:blipFill>
                  <pic:spPr>
                    <a:xfrm>
                      <a:off x="0" y="0"/>
                      <a:ext cx="2971800" cy="5005973"/>
                    </a:xfrm>
                    <a:prstGeom prst="rect"/>
                  </pic:spPr>
                </pic:pic>
              </a:graphicData>
            </a:graphic>
          </wp:inline>
        </w:drawing>
      </w:r>
    </w:p>
    <w:p>
      <w:pPr>
        <w:pStyle w:val="Caption"/>
        <w:jc w:val="center"/>
      </w:pPr>
      <w:r>
        <w:t>Figure 1. Persistent workspace navigation and the Deals surface.</w:t>
      </w:r>
    </w:p>
    <w:p>
      <w:pPr>
        <w:pStyle w:val="Heading2"/>
        <w:keepNext/>
        <w:keepLines/>
        <w:widowControl/>
      </w:pPr>
      <w:r>
        <w:t>Activities</w:t>
      </w:r>
    </w:p>
    <w:p>
      <w:pPr>
        <w:keepLines/>
        <w:widowControl/>
      </w:pPr>
      <w:r>
        <w:rPr>
          <w:rFonts w:ascii="Calibri" w:hAnsi="Calibri"/>
          <w:b w:val="0"/>
          <w:i w:val="0"/>
          <w:color w:val="20211D"/>
          <w:sz w:val="22"/>
        </w:rPr>
        <w:t>Activities capture calls, emails, meetings, tasks, and notes connected to a deal and optionally a contact. Due dates create the follow-up queue; a completion timestamp separates finished work from outstanding commitments.</w:t>
      </w:r>
    </w:p>
    <w:p>
      <w:pPr>
        <w:pStyle w:val="Heading2"/>
        <w:keepNext/>
        <w:keepLines/>
        <w:widowControl/>
      </w:pPr>
      <w:r>
        <w:t>Analytics</w:t>
      </w:r>
    </w:p>
    <w:p>
      <w:pPr>
        <w:keepLines/>
        <w:widowControl/>
      </w:pPr>
      <w:r>
        <w:rPr>
          <w:rFonts w:ascii="Calibri" w:hAnsi="Calibri"/>
          <w:b w:val="0"/>
          <w:i w:val="0"/>
          <w:color w:val="20211D"/>
          <w:sz w:val="22"/>
        </w:rPr>
        <w:t>Analytics is the reporting surface. It shows closed-won revenue, pipeline coverage by active stage, acquisition source mix, activity completion, win rate, average deal size, open opportunities, and overdue work. The page consumes one authenticated analytics payload from PostgreSQL.</w:t>
      </w:r>
    </w:p>
    <w:p>
      <w:pPr>
        <w:pStyle w:val="Heading2"/>
        <w:keepNext/>
        <w:keepLines/>
        <w:widowControl/>
      </w:pPr>
      <w:r>
        <w:t>Global search, navigation, and settings</w:t>
      </w:r>
    </w:p>
    <w:p>
      <w:pPr>
        <w:pStyle w:val="ListBullet"/>
        <w:keepLines/>
        <w:widowControl/>
      </w:pPr>
      <w:r>
        <w:rPr>
          <w:rFonts w:ascii="Calibri" w:hAnsi="Calibri"/>
          <w:b w:val="0"/>
          <w:i w:val="0"/>
          <w:color w:val="20211D"/>
          <w:sz w:val="22"/>
        </w:rPr>
        <w:t>Open global search from the header or press Cmd/Ctrl+K. Results are limited to the current user's companies, contacts, and deals.</w:t>
      </w:r>
    </w:p>
    <w:p>
      <w:pPr>
        <w:pStyle w:val="ListBullet"/>
        <w:keepLines/>
        <w:widowControl/>
      </w:pPr>
      <w:r>
        <w:rPr>
          <w:rFonts w:ascii="Calibri" w:hAnsi="Calibri"/>
          <w:b w:val="0"/>
          <w:i w:val="0"/>
          <w:color w:val="20211D"/>
          <w:sz w:val="22"/>
        </w:rPr>
        <w:t>Use the persistent sidebar to move between pages. During data loading, the sidebar and global-search header remain mounted while only the page content becomes a skeleton.</w:t>
      </w:r>
    </w:p>
    <w:p>
      <w:pPr>
        <w:pStyle w:val="ListBullet"/>
        <w:keepLines/>
        <w:widowControl/>
      </w:pPr>
      <w:r>
        <w:rPr>
          <w:rFonts w:ascii="Calibri" w:hAnsi="Calibri"/>
          <w:b w:val="0"/>
          <w:i w:val="0"/>
          <w:color w:val="20211D"/>
          <w:sz w:val="22"/>
        </w:rPr>
        <w:t>Use Settings to update the profile and workspace preferences. Use the account control in the sidebar to sign out.</w:t>
      </w:r>
    </w:p>
    <w:p>
      <w:pPr>
        <w:pStyle w:val="Heading1"/>
        <w:pageBreakBefore/>
        <w:keepNext/>
        <w:keepLines/>
        <w:widowControl/>
      </w:pPr>
      <w:r>
        <w:t>4. Core CRM workflows</w:t>
      </w:r>
    </w:p>
    <w:p>
      <w:pPr>
        <w:pStyle w:val="Heading2"/>
        <w:keepNext/>
        <w:keepLines/>
        <w:widowControl/>
      </w:pPr>
      <w:r>
        <w:t>Recommended record sequence</w:t>
      </w:r>
    </w:p>
    <w:p>
      <w:pPr>
        <w:numPr>
          <w:ilvl w:val="0"/>
          <w:numId w:val="11"/>
        </w:numPr>
        <w:keepLines/>
        <w:widowControl/>
      </w:pPr>
      <w:r>
        <w:rPr>
          <w:rFonts w:ascii="Calibri" w:hAnsi="Calibri"/>
          <w:b w:val="0"/>
          <w:i w:val="0"/>
          <w:color w:val="20211D"/>
          <w:sz w:val="22"/>
        </w:rPr>
        <w:t>Create a Company to establish the organization.</w:t>
      </w:r>
    </w:p>
    <w:p>
      <w:pPr>
        <w:numPr>
          <w:ilvl w:val="0"/>
          <w:numId w:val="11"/>
        </w:numPr>
        <w:keepLines/>
        <w:widowControl/>
      </w:pPr>
      <w:r>
        <w:rPr>
          <w:rFonts w:ascii="Calibri" w:hAnsi="Calibri"/>
          <w:b w:val="0"/>
          <w:i w:val="0"/>
          <w:color w:val="20211D"/>
          <w:sz w:val="22"/>
        </w:rPr>
        <w:t>Create one or more Contacts under that company.</w:t>
      </w:r>
    </w:p>
    <w:p>
      <w:pPr>
        <w:numPr>
          <w:ilvl w:val="0"/>
          <w:numId w:val="11"/>
        </w:numPr>
        <w:keepLines/>
        <w:widowControl/>
      </w:pPr>
      <w:r>
        <w:rPr>
          <w:rFonts w:ascii="Calibri" w:hAnsi="Calibri"/>
          <w:b w:val="0"/>
          <w:i w:val="0"/>
          <w:color w:val="20211D"/>
          <w:sz w:val="22"/>
        </w:rPr>
        <w:t>Create a Deal and connect it to the company and optional primary contact.</w:t>
      </w:r>
    </w:p>
    <w:p>
      <w:pPr>
        <w:numPr>
          <w:ilvl w:val="0"/>
          <w:numId w:val="11"/>
        </w:numPr>
        <w:keepLines/>
        <w:widowControl/>
      </w:pPr>
      <w:r>
        <w:rPr>
          <w:rFonts w:ascii="Calibri" w:hAnsi="Calibri"/>
          <w:b w:val="0"/>
          <w:i w:val="0"/>
          <w:color w:val="20211D"/>
          <w:sz w:val="22"/>
        </w:rPr>
        <w:t>Add Activities to record follow-ups, meetings, notes, or tasks for the deal.</w:t>
      </w:r>
    </w:p>
    <w:p>
      <w:pPr>
        <w:numPr>
          <w:ilvl w:val="0"/>
          <w:numId w:val="11"/>
        </w:numPr>
        <w:keepLines/>
        <w:widowControl/>
      </w:pPr>
      <w:r>
        <w:rPr>
          <w:rFonts w:ascii="Calibri" w:hAnsi="Calibri"/>
          <w:b w:val="0"/>
          <w:i w:val="0"/>
          <w:color w:val="20211D"/>
          <w:sz w:val="22"/>
        </w:rPr>
        <w:t>Classify the deal with Tags when segmentation is useful.</w:t>
      </w:r>
    </w:p>
    <w:p>
      <w:pPr>
        <w:pStyle w:val="Heading2"/>
        <w:keepNext/>
        <w:keepLines/>
        <w:widowControl/>
      </w:pPr>
      <w:r>
        <w:t>Mutation behavior</w:t>
      </w:r>
    </w:p>
    <w:p>
      <w:pPr>
        <w:keepLines/>
        <w:widowControl/>
      </w:pPr>
      <w:r>
        <w:rPr>
          <w:rFonts w:ascii="Calibri" w:hAnsi="Calibri"/>
          <w:b w:val="0"/>
          <w:i w:val="0"/>
          <w:color w:val="20211D"/>
          <w:sz w:val="22"/>
        </w:rPr>
        <w:t>Creates show a pending state and produce success or error notifications. Updates and deletes use optimistic collection state where appropriate. If Supabase rejects a request, the interface rolls back to the previous state and surfaces the error rather than leaving the browser out of sync with PostgreSQL.</w:t>
      </w:r>
    </w:p>
    <w:p>
      <w:pPr>
        <w:pStyle w:val="Heading2"/>
        <w:keepNext/>
        <w:keepLines/>
        <w:widowControl/>
      </w:pPr>
      <w:r>
        <w:t>Relationship and deletion behavior</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vAlign w:val="center"/>
            <w:tcMar>
              <w:top w:w="90" w:type="dxa"/>
              <w:start w:w="120" w:type="dxa"/>
              <w:bottom w:w="90" w:type="dxa"/>
              <w:end w:w="120" w:type="dxa"/>
            </w:tcMar>
          </w:tcPr>
          <w:p>
            <w:pPr>
              <w:spacing w:after="0"/>
            </w:pPr>
            <w:r>
              <w:rPr>
                <w:rFonts w:ascii="Calibri" w:hAnsi="Calibri"/>
                <w:b/>
                <w:i w:val="0"/>
                <w:color w:val="17221B"/>
                <w:sz w:val="18"/>
              </w:rPr>
              <w:t>Relationship</w:t>
            </w:r>
          </w:p>
        </w:tc>
        <w:tc>
          <w:tcPr>
            <w:tcW w:type="dxa" w:w="6860"/>
            <w:shd w:fill="E8EEF5"/>
            <w:vAlign w:val="center"/>
            <w:tcMar>
              <w:top w:w="90" w:type="dxa"/>
              <w:start w:w="120" w:type="dxa"/>
              <w:bottom w:w="90" w:type="dxa"/>
              <w:end w:w="120" w:type="dxa"/>
            </w:tcMar>
          </w:tcPr>
          <w:p>
            <w:pPr>
              <w:spacing w:after="0"/>
            </w:pPr>
            <w:r>
              <w:rPr>
                <w:rFonts w:ascii="Calibri" w:hAnsi="Calibri"/>
                <w:b/>
                <w:i w:val="0"/>
                <w:color w:val="17221B"/>
                <w:sz w:val="18"/>
              </w:rPr>
              <w:t>Behavior</w:t>
            </w:r>
          </w:p>
        </w:tc>
      </w:tr>
      <w:tr>
        <w:tc>
          <w:tcPr>
            <w:tcW w:type="dxa" w:w="2500"/>
            <w:vAlign w:val="center"/>
            <w:tcMar>
              <w:top w:w="90" w:type="dxa"/>
              <w:start w:w="120" w:type="dxa"/>
              <w:bottom w:w="90" w:type="dxa"/>
              <w:end w:w="120" w:type="dxa"/>
            </w:tcMar>
          </w:tcPr>
          <w:p>
            <w:pPr>
              <w:spacing w:after="0" w:line="269" w:lineRule="auto"/>
            </w:pPr>
            <w:r>
              <w:rPr>
                <w:rFonts w:ascii="Calibri" w:hAnsi="Calibri"/>
                <w:b w:val="0"/>
                <w:i w:val="0"/>
                <w:color w:val="20211D"/>
                <w:sz w:val="18"/>
              </w:rPr>
              <w:t>Company → Contacts</w:t>
            </w:r>
          </w:p>
        </w:tc>
        <w:tc>
          <w:tcPr>
            <w:tcW w:type="dxa" w:w="6860"/>
            <w:vAlign w:val="center"/>
            <w:tcMar>
              <w:top w:w="90" w:type="dxa"/>
              <w:start w:w="120" w:type="dxa"/>
              <w:bottom w:w="90" w:type="dxa"/>
              <w:end w:w="120" w:type="dxa"/>
            </w:tcMar>
          </w:tcPr>
          <w:p>
            <w:pPr>
              <w:spacing w:after="0" w:line="269" w:lineRule="auto"/>
            </w:pPr>
            <w:r>
              <w:rPr>
                <w:rFonts w:ascii="Calibri" w:hAnsi="Calibri"/>
                <w:b w:val="0"/>
                <w:i w:val="0"/>
                <w:color w:val="20211D"/>
                <w:sz w:val="18"/>
              </w:rPr>
              <w:t>Contacts are removed if their company is deleted.</w:t>
            </w:r>
          </w:p>
        </w:tc>
      </w:tr>
      <w:tr>
        <w:tc>
          <w:tcPr>
            <w:tcW w:type="dxa" w:w="2500"/>
            <w:vAlign w:val="center"/>
            <w:tcMar>
              <w:top w:w="90" w:type="dxa"/>
              <w:start w:w="120" w:type="dxa"/>
              <w:bottom w:w="90" w:type="dxa"/>
              <w:end w:w="120" w:type="dxa"/>
            </w:tcMar>
          </w:tcPr>
          <w:p>
            <w:pPr>
              <w:spacing w:after="0" w:line="269" w:lineRule="auto"/>
            </w:pPr>
            <w:r>
              <w:rPr>
                <w:rFonts w:ascii="Calibri" w:hAnsi="Calibri"/>
                <w:b w:val="0"/>
                <w:i w:val="0"/>
                <w:color w:val="20211D"/>
                <w:sz w:val="18"/>
              </w:rPr>
              <w:t>Company → Deals</w:t>
            </w:r>
          </w:p>
        </w:tc>
        <w:tc>
          <w:tcPr>
            <w:tcW w:type="dxa" w:w="6860"/>
            <w:vAlign w:val="center"/>
            <w:tcMar>
              <w:top w:w="90" w:type="dxa"/>
              <w:start w:w="120" w:type="dxa"/>
              <w:bottom w:w="90" w:type="dxa"/>
              <w:end w:w="120" w:type="dxa"/>
            </w:tcMar>
          </w:tcPr>
          <w:p>
            <w:pPr>
              <w:spacing w:after="0" w:line="269" w:lineRule="auto"/>
            </w:pPr>
            <w:r>
              <w:rPr>
                <w:rFonts w:ascii="Calibri" w:hAnsi="Calibri"/>
                <w:b w:val="0"/>
                <w:i w:val="0"/>
                <w:color w:val="20211D"/>
                <w:sz w:val="18"/>
              </w:rPr>
              <w:t>Company deletion is restricted while deals reference it.</w:t>
            </w:r>
          </w:p>
        </w:tc>
      </w:tr>
      <w:tr>
        <w:tc>
          <w:tcPr>
            <w:tcW w:type="dxa" w:w="2500"/>
            <w:vAlign w:val="center"/>
            <w:tcMar>
              <w:top w:w="90" w:type="dxa"/>
              <w:start w:w="120" w:type="dxa"/>
              <w:bottom w:w="90" w:type="dxa"/>
              <w:end w:w="120" w:type="dxa"/>
            </w:tcMar>
          </w:tcPr>
          <w:p>
            <w:pPr>
              <w:spacing w:after="0" w:line="269" w:lineRule="auto"/>
            </w:pPr>
            <w:r>
              <w:rPr>
                <w:rFonts w:ascii="Calibri" w:hAnsi="Calibri"/>
                <w:b w:val="0"/>
                <w:i w:val="0"/>
                <w:color w:val="20211D"/>
                <w:sz w:val="18"/>
              </w:rPr>
              <w:t>Contact → Deals / Activities</w:t>
            </w:r>
          </w:p>
        </w:tc>
        <w:tc>
          <w:tcPr>
            <w:tcW w:type="dxa" w:w="6860"/>
            <w:vAlign w:val="center"/>
            <w:tcMar>
              <w:top w:w="90" w:type="dxa"/>
              <w:start w:w="120" w:type="dxa"/>
              <w:bottom w:w="90" w:type="dxa"/>
              <w:end w:w="120" w:type="dxa"/>
            </w:tcMar>
          </w:tcPr>
          <w:p>
            <w:pPr>
              <w:spacing w:after="0" w:line="269" w:lineRule="auto"/>
            </w:pPr>
            <w:r>
              <w:rPr>
                <w:rFonts w:ascii="Calibri" w:hAnsi="Calibri"/>
                <w:b w:val="0"/>
                <w:i w:val="0"/>
                <w:color w:val="20211D"/>
                <w:sz w:val="18"/>
              </w:rPr>
              <w:t>Primary-contact references become null if the contact is removed.</w:t>
            </w:r>
          </w:p>
        </w:tc>
      </w:tr>
      <w:tr>
        <w:tc>
          <w:tcPr>
            <w:tcW w:type="dxa" w:w="2500"/>
            <w:vAlign w:val="center"/>
            <w:tcMar>
              <w:top w:w="90" w:type="dxa"/>
              <w:start w:w="120" w:type="dxa"/>
              <w:bottom w:w="90" w:type="dxa"/>
              <w:end w:w="120" w:type="dxa"/>
            </w:tcMar>
          </w:tcPr>
          <w:p>
            <w:pPr>
              <w:spacing w:after="0" w:line="269" w:lineRule="auto"/>
            </w:pPr>
            <w:r>
              <w:rPr>
                <w:rFonts w:ascii="Calibri" w:hAnsi="Calibri"/>
                <w:b w:val="0"/>
                <w:i w:val="0"/>
                <w:color w:val="20211D"/>
                <w:sz w:val="18"/>
              </w:rPr>
              <w:t>Deal → Activities</w:t>
            </w:r>
          </w:p>
        </w:tc>
        <w:tc>
          <w:tcPr>
            <w:tcW w:type="dxa" w:w="6860"/>
            <w:vAlign w:val="center"/>
            <w:tcMar>
              <w:top w:w="90" w:type="dxa"/>
              <w:start w:w="120" w:type="dxa"/>
              <w:bottom w:w="90" w:type="dxa"/>
              <w:end w:w="120" w:type="dxa"/>
            </w:tcMar>
          </w:tcPr>
          <w:p>
            <w:pPr>
              <w:spacing w:after="0" w:line="269" w:lineRule="auto"/>
            </w:pPr>
            <w:r>
              <w:rPr>
                <w:rFonts w:ascii="Calibri" w:hAnsi="Calibri"/>
                <w:b w:val="0"/>
                <w:i w:val="0"/>
                <w:color w:val="20211D"/>
                <w:sz w:val="18"/>
              </w:rPr>
              <w:t>Dependent activities are removed with the deal.</w:t>
            </w:r>
          </w:p>
        </w:tc>
      </w:tr>
      <w:tr>
        <w:tc>
          <w:tcPr>
            <w:tcW w:type="dxa" w:w="2500"/>
            <w:vAlign w:val="center"/>
            <w:tcMar>
              <w:top w:w="90" w:type="dxa"/>
              <w:start w:w="120" w:type="dxa"/>
              <w:bottom w:w="90" w:type="dxa"/>
              <w:end w:w="120" w:type="dxa"/>
            </w:tcMar>
          </w:tcPr>
          <w:p>
            <w:pPr>
              <w:spacing w:after="0" w:line="269" w:lineRule="auto"/>
            </w:pPr>
            <w:r>
              <w:rPr>
                <w:rFonts w:ascii="Calibri" w:hAnsi="Calibri"/>
                <w:b w:val="0"/>
                <w:i w:val="0"/>
                <w:color w:val="20211D"/>
                <w:sz w:val="18"/>
              </w:rPr>
              <w:t>Deal ↔ Tags</w:t>
            </w:r>
          </w:p>
        </w:tc>
        <w:tc>
          <w:tcPr>
            <w:tcW w:type="dxa" w:w="6860"/>
            <w:vAlign w:val="center"/>
            <w:tcMar>
              <w:top w:w="90" w:type="dxa"/>
              <w:start w:w="120" w:type="dxa"/>
              <w:bottom w:w="90" w:type="dxa"/>
              <w:end w:w="120" w:type="dxa"/>
            </w:tcMar>
          </w:tcPr>
          <w:p>
            <w:pPr>
              <w:spacing w:after="0" w:line="269" w:lineRule="auto"/>
            </w:pPr>
            <w:r>
              <w:rPr>
                <w:rFonts w:ascii="Calibri" w:hAnsi="Calibri"/>
                <w:b w:val="0"/>
                <w:i w:val="0"/>
                <w:color w:val="20211D"/>
                <w:sz w:val="18"/>
              </w:rPr>
              <w:t>Join rows cascade when either side is removed.</w:t>
            </w:r>
          </w:p>
        </w:tc>
      </w:tr>
    </w:tbl>
    <w:p>
      <w:pPr>
        <w:spacing w:after="20"/>
      </w:pPr>
    </w:p>
    <w:p>
      <w:pPr>
        <w:pStyle w:val="Heading1"/>
        <w:pageBreakBefore/>
        <w:keepNext/>
        <w:keepLines/>
        <w:widowControl/>
      </w:pPr>
      <w:r>
        <w:t>5. Backend choice</w:t>
      </w:r>
    </w:p>
    <w:p>
      <w:pPr>
        <w:pStyle w:val="Heading2"/>
        <w:keepNext/>
        <w:keepLines/>
        <w:widowControl/>
      </w:pPr>
      <w:r>
        <w:t>Why Supabase</w:t>
      </w:r>
    </w:p>
    <w:p>
      <w:pPr>
        <w:keepLines/>
        <w:widowControl/>
      </w:pPr>
      <w:r>
        <w:rPr>
          <w:rFonts w:ascii="Calibri" w:hAnsi="Calibri"/>
          <w:b w:val="0"/>
          <w:i w:val="0"/>
          <w:color w:val="20211D"/>
          <w:sz w:val="22"/>
        </w:rPr>
        <w:t>Supabase was selected because the assignment rewards a backend that does real work. It combines managed PostgreSQL, relationships, SQL, migrations, authentication, Row Level Security, REST access, and RPC functions without introducing a separate application server for routine CRM operations.</w:t>
      </w:r>
    </w:p>
    <w:p>
      <w:pPr>
        <w:pStyle w:val="Heading2"/>
        <w:keepNext/>
        <w:keepLines/>
        <w:widowControl/>
      </w:pPr>
      <w:r>
        <w:t>Alternatives considered</w:t>
      </w:r>
    </w:p>
    <w:tbl>
      <w:tblPr>
        <w:tblStyle w:val="TableGrid"/>
        <w:tblW w:type="dxa" w:w="9360"/>
        <w:jc w:val="left"/>
        <w:tblLayout w:type="fixed"/>
        <w:tblLook w:firstColumn="1" w:firstRow="1" w:lastColumn="0" w:lastRow="0" w:noHBand="0" w:noVBand="1" w:val="04A0"/>
        <w:tblInd w:w="120" w:type="dxa"/>
      </w:tblPr>
      <w:tblGrid>
        <w:gridCol w:w="1500"/>
        <w:gridCol w:w="3400"/>
        <w:gridCol w:w="4460"/>
      </w:tblGrid>
      <w:tr>
        <w:trPr>
          <w:tblHeader w:val="true"/>
        </w:trPr>
        <w:tc>
          <w:tcPr>
            <w:tcW w:type="dxa" w:w="1500"/>
            <w:shd w:fill="E8EEF5"/>
            <w:vAlign w:val="center"/>
            <w:tcMar>
              <w:top w:w="90" w:type="dxa"/>
              <w:start w:w="120" w:type="dxa"/>
              <w:bottom w:w="90" w:type="dxa"/>
              <w:end w:w="120" w:type="dxa"/>
            </w:tcMar>
          </w:tcPr>
          <w:p>
            <w:pPr>
              <w:spacing w:after="0"/>
            </w:pPr>
            <w:r>
              <w:rPr>
                <w:rFonts w:ascii="Calibri" w:hAnsi="Calibri"/>
                <w:b/>
                <w:i w:val="0"/>
                <w:color w:val="17221B"/>
                <w:sz w:val="17"/>
              </w:rPr>
              <w:t>Option</w:t>
            </w:r>
          </w:p>
        </w:tc>
        <w:tc>
          <w:tcPr>
            <w:tcW w:type="dxa" w:w="3400"/>
            <w:shd w:fill="E8EEF5"/>
            <w:vAlign w:val="center"/>
            <w:tcMar>
              <w:top w:w="90" w:type="dxa"/>
              <w:start w:w="120" w:type="dxa"/>
              <w:bottom w:w="90" w:type="dxa"/>
              <w:end w:w="120" w:type="dxa"/>
            </w:tcMar>
          </w:tcPr>
          <w:p>
            <w:pPr>
              <w:spacing w:after="0"/>
            </w:pPr>
            <w:r>
              <w:rPr>
                <w:rFonts w:ascii="Calibri" w:hAnsi="Calibri"/>
                <w:b/>
                <w:i w:val="0"/>
                <w:color w:val="17221B"/>
                <w:sz w:val="17"/>
              </w:rPr>
              <w:t>Strength</w:t>
            </w:r>
          </w:p>
        </w:tc>
        <w:tc>
          <w:tcPr>
            <w:tcW w:type="dxa" w:w="4460"/>
            <w:shd w:fill="E8EEF5"/>
            <w:vAlign w:val="center"/>
            <w:tcMar>
              <w:top w:w="90" w:type="dxa"/>
              <w:start w:w="120" w:type="dxa"/>
              <w:bottom w:w="90" w:type="dxa"/>
              <w:end w:w="120" w:type="dxa"/>
            </w:tcMar>
          </w:tcPr>
          <w:p>
            <w:pPr>
              <w:spacing w:after="0"/>
            </w:pPr>
            <w:r>
              <w:rPr>
                <w:rFonts w:ascii="Calibri" w:hAnsi="Calibri"/>
                <w:b/>
                <w:i w:val="0"/>
                <w:color w:val="17221B"/>
                <w:sz w:val="17"/>
              </w:rPr>
              <w:t>Why it was not selected</w:t>
            </w:r>
          </w:p>
        </w:tc>
      </w:tr>
      <w:tr>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7"/>
              </w:rPr>
              <w:t>Supabase</w:t>
            </w:r>
          </w:p>
        </w:tc>
        <w:tc>
          <w:tcPr>
            <w:tcW w:type="dxa" w:w="3400"/>
            <w:vAlign w:val="center"/>
            <w:tcMar>
              <w:top w:w="90" w:type="dxa"/>
              <w:start w:w="120" w:type="dxa"/>
              <w:bottom w:w="90" w:type="dxa"/>
              <w:end w:w="120" w:type="dxa"/>
            </w:tcMar>
          </w:tcPr>
          <w:p>
            <w:pPr>
              <w:spacing w:after="0" w:line="269" w:lineRule="auto"/>
            </w:pPr>
            <w:r>
              <w:rPr>
                <w:rFonts w:ascii="Calibri" w:hAnsi="Calibri"/>
                <w:b w:val="0"/>
                <w:i w:val="0"/>
                <w:color w:val="20211D"/>
                <w:sz w:val="17"/>
              </w:rPr>
              <w:t>PostgreSQL, SQL analytics, RLS, Auth, migrations</w:t>
            </w:r>
          </w:p>
        </w:tc>
        <w:tc>
          <w:tcPr>
            <w:tcW w:type="dxa" w:w="4460"/>
            <w:vAlign w:val="center"/>
            <w:tcMar>
              <w:top w:w="90" w:type="dxa"/>
              <w:start w:w="120" w:type="dxa"/>
              <w:bottom w:w="90" w:type="dxa"/>
              <w:end w:w="120" w:type="dxa"/>
            </w:tcMar>
          </w:tcPr>
          <w:p>
            <w:pPr>
              <w:spacing w:after="0" w:line="269" w:lineRule="auto"/>
            </w:pPr>
            <w:r>
              <w:rPr>
                <w:rFonts w:ascii="Calibri" w:hAnsi="Calibri"/>
                <w:b w:val="0"/>
                <w:i w:val="0"/>
                <w:color w:val="20211D"/>
                <w:sz w:val="17"/>
              </w:rPr>
              <w:t>Selected — best fit for relational CRM data and security proof.</w:t>
            </w:r>
          </w:p>
        </w:tc>
      </w:tr>
      <w:tr>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7"/>
              </w:rPr>
              <w:t>Convex</w:t>
            </w:r>
          </w:p>
        </w:tc>
        <w:tc>
          <w:tcPr>
            <w:tcW w:type="dxa" w:w="3400"/>
            <w:vAlign w:val="center"/>
            <w:tcMar>
              <w:top w:w="90" w:type="dxa"/>
              <w:start w:w="120" w:type="dxa"/>
              <w:bottom w:w="90" w:type="dxa"/>
              <w:end w:w="120" w:type="dxa"/>
            </w:tcMar>
          </w:tcPr>
          <w:p>
            <w:pPr>
              <w:spacing w:after="0" w:line="269" w:lineRule="auto"/>
            </w:pPr>
            <w:r>
              <w:rPr>
                <w:rFonts w:ascii="Calibri" w:hAnsi="Calibri"/>
                <w:b w:val="0"/>
                <w:i w:val="0"/>
                <w:color w:val="20211D"/>
                <w:sz w:val="17"/>
              </w:rPr>
              <w:t>Excellent Realtime developer experience</w:t>
            </w:r>
          </w:p>
        </w:tc>
        <w:tc>
          <w:tcPr>
            <w:tcW w:type="dxa" w:w="4460"/>
            <w:vAlign w:val="center"/>
            <w:tcMar>
              <w:top w:w="90" w:type="dxa"/>
              <w:start w:w="120" w:type="dxa"/>
              <w:bottom w:w="90" w:type="dxa"/>
              <w:end w:w="120" w:type="dxa"/>
            </w:tcMar>
          </w:tcPr>
          <w:p>
            <w:pPr>
              <w:spacing w:after="0" w:line="269" w:lineRule="auto"/>
            </w:pPr>
            <w:r>
              <w:rPr>
                <w:rFonts w:ascii="Calibri" w:hAnsi="Calibri"/>
                <w:b w:val="0"/>
                <w:i w:val="0"/>
                <w:color w:val="20211D"/>
                <w:sz w:val="17"/>
              </w:rPr>
              <w:t>The assessment emphasized SQL, normalized relationships, and database-level RLS.</w:t>
            </w:r>
          </w:p>
        </w:tc>
      </w:tr>
      <w:tr>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7"/>
              </w:rPr>
              <w:t>Appwrite</w:t>
            </w:r>
          </w:p>
        </w:tc>
        <w:tc>
          <w:tcPr>
            <w:tcW w:type="dxa" w:w="3400"/>
            <w:vAlign w:val="center"/>
            <w:tcMar>
              <w:top w:w="90" w:type="dxa"/>
              <w:start w:w="120" w:type="dxa"/>
              <w:bottom w:w="90" w:type="dxa"/>
              <w:end w:w="120" w:type="dxa"/>
            </w:tcMar>
          </w:tcPr>
          <w:p>
            <w:pPr>
              <w:spacing w:after="0" w:line="269" w:lineRule="auto"/>
            </w:pPr>
            <w:r>
              <w:rPr>
                <w:rFonts w:ascii="Calibri" w:hAnsi="Calibri"/>
                <w:b w:val="0"/>
                <w:i w:val="0"/>
                <w:color w:val="20211D"/>
                <w:sz w:val="17"/>
              </w:rPr>
              <w:t>Integrated auth, database, and storage</w:t>
            </w:r>
          </w:p>
        </w:tc>
        <w:tc>
          <w:tcPr>
            <w:tcW w:type="dxa" w:w="4460"/>
            <w:vAlign w:val="center"/>
            <w:tcMar>
              <w:top w:w="90" w:type="dxa"/>
              <w:start w:w="120" w:type="dxa"/>
              <w:bottom w:w="90" w:type="dxa"/>
              <w:end w:w="120" w:type="dxa"/>
            </w:tcMar>
          </w:tcPr>
          <w:p>
            <w:pPr>
              <w:spacing w:after="0" w:line="269" w:lineRule="auto"/>
            </w:pPr>
            <w:r>
              <w:rPr>
                <w:rFonts w:ascii="Calibri" w:hAnsi="Calibri"/>
                <w:b w:val="0"/>
                <w:i w:val="0"/>
                <w:color w:val="20211D"/>
                <w:sz w:val="17"/>
              </w:rPr>
              <w:t>Relational analytics and SQL policy verification were more direct in Supabase.</w:t>
            </w:r>
          </w:p>
        </w:tc>
      </w:tr>
    </w:tbl>
    <w:p>
      <w:pPr>
        <w:spacing w:after="20"/>
      </w:pPr>
    </w:p>
    <w:p>
      <w:pPr>
        <w:pStyle w:val="Heading2"/>
        <w:keepNext/>
        <w:keepLines/>
        <w:widowControl/>
      </w:pPr>
      <w:r>
        <w:t>Authorization boundary</w:t>
      </w:r>
    </w:p>
    <w:p>
      <w:pPr>
        <w:keepLines/>
        <w:spacing w:before="100" w:after="200"/>
        <w:ind w:left="173" w:right="173"/>
        <w:shd w:fill="EEF5DF"/>
        <w:pBdr>
          <w:left w:val="single" w:sz="18" w:space="6" w:color="66852E"/>
        </w:pBdr>
      </w:pPr>
      <w:r>
        <w:rPr>
          <w:rFonts w:ascii="Calibri" w:hAnsi="Calibri"/>
          <w:b/>
          <w:i w:val="0"/>
          <w:color w:val="66852E"/>
          <w:sz w:val="18"/>
        </w:rPr>
        <w:t>KEY PRINCIPLE</w:t>
        <w:br/>
      </w:r>
      <w:r>
        <w:rPr>
          <w:rFonts w:ascii="Calibri" w:hAnsi="Calibri"/>
          <w:b w:val="0"/>
          <w:i w:val="0"/>
          <w:color w:val="20211D"/>
          <w:sz w:val="21"/>
        </w:rPr>
        <w:t>The publishable key is intentionally available to the browser. It identifies the Supabase project but does not grant access to another user's rows. PostgreSQL RLS, authenticated sessions, function grants, and ownership triggers form the authorization boundary. The service-role key is never shipped to the client.</w:t>
      </w:r>
    </w:p>
    <w:p>
      <w:pPr>
        <w:pStyle w:val="Heading1"/>
        <w:pageBreakBefore/>
        <w:keepNext/>
        <w:keepLines/>
        <w:widowControl/>
      </w:pPr>
      <w:r>
        <w:t>6. Technical architecture</w:t>
      </w:r>
    </w:p>
    <w:p>
      <w:pPr>
        <w:keepNext/>
        <w:jc w:val="center"/>
      </w:pPr>
      <w:r>
        <w:drawing>
          <wp:inline xmlns:a="http://schemas.openxmlformats.org/drawingml/2006/main" xmlns:pic="http://schemas.openxmlformats.org/drawingml/2006/picture">
            <wp:extent cx="5943600" cy="2179320"/>
            <wp:docPr id="3" name="PipelineOS architecture" title="PipelineOS architecture" descr="Flow from authenticated browser through Next.js, typed repositories, Supabase APIs, PostgreSQL Row Level Security, tables, views, and functions."/>
            <wp:cNvGraphicFramePr>
              <a:graphicFrameLocks noChangeAspect="1"/>
            </wp:cNvGraphicFramePr>
            <a:graphic>
              <a:graphicData uri="http://schemas.openxmlformats.org/drawingml/2006/picture">
                <pic:pic>
                  <pic:nvPicPr>
                    <pic:cNvPr id="0" name="pipelineos_architecture.png"/>
                    <pic:cNvPicPr/>
                  </pic:nvPicPr>
                  <pic:blipFill>
                    <a:blip r:embed="rId14"/>
                    <a:stretch>
                      <a:fillRect/>
                    </a:stretch>
                  </pic:blipFill>
                  <pic:spPr>
                    <a:xfrm>
                      <a:off x="0" y="0"/>
                      <a:ext cx="5943600" cy="2179320"/>
                    </a:xfrm>
                    <a:prstGeom prst="rect"/>
                  </pic:spPr>
                </pic:pic>
              </a:graphicData>
            </a:graphic>
          </wp:inline>
        </w:drawing>
      </w:r>
    </w:p>
    <w:p>
      <w:pPr>
        <w:pStyle w:val="Caption"/>
        <w:jc w:val="center"/>
      </w:pPr>
      <w:r>
        <w:t>Figure 2. Frontend → Supabase → PostgreSQL request and authorization flow.</w:t>
      </w:r>
    </w:p>
    <w:p>
      <w:pPr>
        <w:pStyle w:val="Heading2"/>
        <w:keepNext/>
        <w:keepLines/>
        <w:widowControl/>
      </w:pPr>
      <w:r>
        <w:t>Frontend composition</w:t>
      </w:r>
    </w:p>
    <w:p>
      <w:pPr>
        <w:pStyle w:val="ListBullet"/>
        <w:keepLines/>
        <w:widowControl/>
      </w:pPr>
      <w:r>
        <w:rPr>
          <w:rFonts w:ascii="Calibri" w:hAnsi="Calibri"/>
          <w:b w:val="0"/>
          <w:i w:val="0"/>
          <w:color w:val="20211D"/>
          <w:sz w:val="22"/>
        </w:rPr>
        <w:t>Next.js App Router Server Components own initial authenticated reads and page composition.</w:t>
      </w:r>
    </w:p>
    <w:p>
      <w:pPr>
        <w:pStyle w:val="ListBullet"/>
        <w:keepLines/>
        <w:widowControl/>
      </w:pPr>
      <w:r>
        <w:rPr>
          <w:rFonts w:ascii="Calibri" w:hAnsi="Calibri"/>
          <w:b w:val="0"/>
          <w:i w:val="0"/>
          <w:color w:val="20211D"/>
          <w:sz w:val="22"/>
        </w:rPr>
        <w:t>Client Components are limited to forms, optimistic collections, charts, filtering, sorting, command search, and other interactions.</w:t>
      </w:r>
    </w:p>
    <w:p>
      <w:pPr>
        <w:pStyle w:val="ListBullet"/>
        <w:keepLines/>
        <w:widowControl/>
      </w:pPr>
      <w:r>
        <w:rPr>
          <w:rFonts w:ascii="Calibri" w:hAnsi="Calibri"/>
          <w:b w:val="0"/>
          <w:i w:val="0"/>
          <w:color w:val="20211D"/>
          <w:sz w:val="22"/>
        </w:rPr>
        <w:t>A root application frame keeps the sidebar and search header persistent while route-level loading skeletons stream in the page body.</w:t>
      </w:r>
    </w:p>
    <w:p>
      <w:pPr>
        <w:pStyle w:val="ListBullet"/>
        <w:keepLines/>
        <w:widowControl/>
      </w:pPr>
      <w:r>
        <w:rPr>
          <w:rFonts w:ascii="Calibri" w:hAnsi="Calibri"/>
          <w:b w:val="0"/>
          <w:i w:val="0"/>
          <w:color w:val="20211D"/>
          <w:sz w:val="22"/>
        </w:rPr>
        <w:t>Reusable services, hooks, UI primitives, chart components, and dialogs keep behavior consistent across routes.</w:t>
      </w:r>
    </w:p>
    <w:p>
      <w:pPr>
        <w:pStyle w:val="Heading2"/>
        <w:keepNext/>
        <w:keepLines/>
        <w:widowControl/>
      </w:pPr>
      <w:r>
        <w:t>Data access path</w:t>
      </w:r>
    </w:p>
    <w:p>
      <w:pPr>
        <w:keepLines/>
        <w:widowControl/>
      </w:pPr>
      <w:r>
        <w:rPr>
          <w:rFonts w:ascii="Consolas" w:hAnsi="Consolas"/>
          <w:b w:val="0"/>
          <w:i w:val="0"/>
          <w:color w:val="20211D"/>
          <w:sz w:val="18"/>
        </w:rPr>
        <w:t>lib/data/service.ts</w:t>
      </w:r>
      <w:r>
        <w:rPr>
          <w:rFonts w:ascii="Calibri" w:hAnsi="Calibri"/>
          <w:b w:val="0"/>
          <w:i w:val="0"/>
          <w:color w:val="20211D"/>
          <w:sz w:val="22"/>
        </w:rPr>
        <w:t xml:space="preserve"> provides reusable repositories for every entity. Before any operation, the service verifies the authenticated Supabase user. Reads are bounded and relationship projections are explicit. Mutations include the authenticated owner ID, while RLS independently validates access in PostgreSQL.</w:t>
      </w:r>
    </w:p>
    <w:p>
      <w:pPr>
        <w:pStyle w:val="Heading2"/>
        <w:keepNext/>
        <w:keepLines/>
        <w:widowControl/>
      </w:pPr>
      <w:r>
        <w:t>Deployment targets</w:t>
      </w:r>
    </w:p>
    <w:p>
      <w:pPr>
        <w:keepLines/>
        <w:widowControl/>
      </w:pPr>
      <w:r>
        <w:rPr>
          <w:rFonts w:ascii="Calibri" w:hAnsi="Calibri"/>
          <w:b w:val="0"/>
          <w:i w:val="0"/>
          <w:color w:val="20211D"/>
          <w:sz w:val="22"/>
        </w:rPr>
        <w:t xml:space="preserve">Vercel uses the native </w:t>
      </w:r>
      <w:r>
        <w:rPr>
          <w:rFonts w:ascii="Consolas" w:hAnsi="Consolas"/>
          <w:b w:val="0"/>
          <w:i w:val="0"/>
          <w:color w:val="20211D"/>
          <w:sz w:val="18"/>
        </w:rPr>
        <w:t>next build</w:t>
      </w:r>
      <w:r>
        <w:rPr>
          <w:rFonts w:ascii="Calibri" w:hAnsi="Calibri"/>
          <w:b w:val="0"/>
          <w:i w:val="0"/>
          <w:color w:val="20211D"/>
          <w:sz w:val="22"/>
        </w:rPr>
        <w:t xml:space="preserve"> target and </w:t>
      </w:r>
      <w:r>
        <w:rPr>
          <w:rFonts w:ascii="Consolas" w:hAnsi="Consolas"/>
          <w:b w:val="0"/>
          <w:i w:val="0"/>
          <w:color w:val="20211D"/>
          <w:sz w:val="18"/>
        </w:rPr>
        <w:t>.next</w:t>
      </w:r>
      <w:r>
        <w:rPr>
          <w:rFonts w:ascii="Calibri" w:hAnsi="Calibri"/>
          <w:b w:val="0"/>
          <w:i w:val="0"/>
          <w:color w:val="20211D"/>
          <w:sz w:val="22"/>
        </w:rPr>
        <w:t xml:space="preserve"> output. The repository also retains </w:t>
      </w:r>
      <w:r>
        <w:rPr>
          <w:rFonts w:ascii="Consolas" w:hAnsi="Consolas"/>
          <w:b w:val="0"/>
          <w:i w:val="0"/>
          <w:color w:val="20211D"/>
          <w:sz w:val="18"/>
        </w:rPr>
        <w:t>build:sites</w:t>
      </w:r>
      <w:r>
        <w:rPr>
          <w:rFonts w:ascii="Calibri" w:hAnsi="Calibri"/>
          <w:b w:val="0"/>
          <w:i w:val="0"/>
          <w:color w:val="20211D"/>
          <w:sz w:val="22"/>
        </w:rPr>
        <w:t xml:space="preserve"> for the existing Vinext/Cloudflare-compatible workflow, but the production default is native Next.js.</w:t>
      </w:r>
    </w:p>
    <w:p>
      <w:pPr>
        <w:pStyle w:val="Heading1"/>
        <w:pageBreakBefore/>
        <w:keepNext/>
        <w:keepLines/>
        <w:widowControl/>
      </w:pPr>
      <w:r>
        <w:t>7. Data model and relationships</w:t>
      </w:r>
    </w:p>
    <w:p>
      <w:pPr>
        <w:keepNext/>
        <w:jc w:val="center"/>
      </w:pPr>
      <w:r>
        <w:drawing>
          <wp:inline xmlns:a="http://schemas.openxmlformats.org/drawingml/2006/main" xmlns:pic="http://schemas.openxmlformats.org/drawingml/2006/picture">
            <wp:extent cx="5943600" cy="3698240"/>
            <wp:docPr id="4" name="PipelineOS entity relationship diagram" title="PipelineOS entity relationship diagram" descr="Normalized entity relationship diagram for auth users, profiles, companies, contacts, deals, activities, tags, and deal_tags."/>
            <wp:cNvGraphicFramePr>
              <a:graphicFrameLocks noChangeAspect="1"/>
            </wp:cNvGraphicFramePr>
            <a:graphic>
              <a:graphicData uri="http://schemas.openxmlformats.org/drawingml/2006/picture">
                <pic:pic>
                  <pic:nvPicPr>
                    <pic:cNvPr id="0" name="pipelineos_erd.png"/>
                    <pic:cNvPicPr/>
                  </pic:nvPicPr>
                  <pic:blipFill>
                    <a:blip r:embed="rId15"/>
                    <a:stretch>
                      <a:fillRect/>
                    </a:stretch>
                  </pic:blipFill>
                  <pic:spPr>
                    <a:xfrm>
                      <a:off x="0" y="0"/>
                      <a:ext cx="5943600" cy="3698240"/>
                    </a:xfrm>
                    <a:prstGeom prst="rect"/>
                  </pic:spPr>
                </pic:pic>
              </a:graphicData>
            </a:graphic>
          </wp:inline>
        </w:drawing>
      </w:r>
    </w:p>
    <w:p>
      <w:pPr>
        <w:pStyle w:val="Caption"/>
        <w:jc w:val="center"/>
      </w:pPr>
      <w:r>
        <w:t>Figure 3. Entity relationship diagram. Every application entity is owner-scoped.</w:t>
      </w:r>
    </w:p>
    <w:p>
      <w:pPr>
        <w:pStyle w:val="Heading2"/>
        <w:keepNext/>
        <w:keepLines/>
        <w:widowControl/>
      </w:pPr>
      <w:r>
        <w:t>Normalization rules</w:t>
      </w:r>
    </w:p>
    <w:p>
      <w:pPr>
        <w:pStyle w:val="ListBullet"/>
        <w:keepLines/>
        <w:widowControl/>
      </w:pPr>
      <w:r>
        <w:rPr>
          <w:rFonts w:ascii="Calibri" w:hAnsi="Calibri"/>
          <w:b w:val="0"/>
          <w:i w:val="0"/>
          <w:color w:val="20211D"/>
          <w:sz w:val="22"/>
        </w:rPr>
        <w:t>Organizations, people, opportunities, activities, and classifications live in separate relations.</w:t>
      </w:r>
    </w:p>
    <w:p>
      <w:pPr>
        <w:pStyle w:val="ListBullet"/>
        <w:keepLines/>
        <w:widowControl/>
      </w:pPr>
      <w:r>
        <w:rPr>
          <w:rFonts w:ascii="Calibri" w:hAnsi="Calibri"/>
          <w:b w:val="0"/>
          <w:i w:val="0"/>
          <w:color w:val="20211D"/>
          <w:sz w:val="22"/>
        </w:rPr>
        <w:t>A deal belongs to one company and may reference one primary contact.</w:t>
      </w:r>
    </w:p>
    <w:p>
      <w:pPr>
        <w:pStyle w:val="ListBullet"/>
        <w:keepLines/>
        <w:widowControl/>
      </w:pPr>
      <w:r>
        <w:rPr>
          <w:rFonts w:ascii="Calibri" w:hAnsi="Calibri"/>
          <w:b w:val="0"/>
          <w:i w:val="0"/>
          <w:color w:val="20211D"/>
          <w:sz w:val="22"/>
        </w:rPr>
        <w:t>An activity belongs to a deal and may reference a contact.</w:t>
      </w:r>
    </w:p>
    <w:p>
      <w:pPr>
        <w:pStyle w:val="ListBullet"/>
        <w:keepLines/>
        <w:widowControl/>
      </w:pPr>
      <w:r>
        <w:rPr>
          <w:rFonts w:ascii="Calibri" w:hAnsi="Calibri"/>
          <w:b w:val="0"/>
          <w:i w:val="0"/>
          <w:color w:val="20211D"/>
          <w:sz w:val="22"/>
        </w:rPr>
        <w:t xml:space="preserve">Deals and tags use </w:t>
      </w:r>
      <w:r>
        <w:rPr>
          <w:rFonts w:ascii="Consolas" w:hAnsi="Consolas"/>
          <w:b w:val="0"/>
          <w:i w:val="0"/>
          <w:color w:val="20211D"/>
          <w:sz w:val="18"/>
        </w:rPr>
        <w:t>deal_tags</w:t>
      </w:r>
      <w:r>
        <w:rPr>
          <w:rFonts w:ascii="Calibri" w:hAnsi="Calibri"/>
          <w:b w:val="0"/>
          <w:i w:val="0"/>
          <w:color w:val="20211D"/>
          <w:sz w:val="22"/>
        </w:rPr>
        <w:t xml:space="preserve"> rather than repeated arrays.</w:t>
      </w:r>
    </w:p>
    <w:p>
      <w:pPr>
        <w:pStyle w:val="ListBullet"/>
        <w:keepLines/>
        <w:widowControl/>
      </w:pPr>
      <w:r>
        <w:rPr>
          <w:rFonts w:ascii="Calibri" w:hAnsi="Calibri"/>
          <w:b w:val="0"/>
          <w:i w:val="0"/>
          <w:color w:val="20211D"/>
          <w:sz w:val="22"/>
        </w:rPr>
        <w:t>Every application table has a UUID primary key, created_at, updated_at, and owner_id.</w:t>
      </w:r>
    </w:p>
    <w:p>
      <w:pPr>
        <w:pStyle w:val="Heading2"/>
        <w:keepNext/>
        <w:keepLines/>
        <w:widowControl/>
      </w:pPr>
      <w:r>
        <w:t>Enums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8"/>
              </w:rPr>
              <w:t>Type</w:t>
            </w:r>
          </w:p>
        </w:tc>
        <w:tc>
          <w:tcPr>
            <w:tcW w:type="dxa" w:w="7160"/>
            <w:shd w:fill="E8EEF5"/>
            <w:vAlign w:val="center"/>
            <w:tcMar>
              <w:top w:w="90" w:type="dxa"/>
              <w:start w:w="120" w:type="dxa"/>
              <w:bottom w:w="90" w:type="dxa"/>
              <w:end w:w="120" w:type="dxa"/>
            </w:tcMar>
          </w:tcPr>
          <w:p>
            <w:pPr>
              <w:spacing w:after="0"/>
            </w:pPr>
            <w:r>
              <w:rPr>
                <w:rFonts w:ascii="Calibri" w:hAnsi="Calibri"/>
                <w:b/>
                <w:i w:val="0"/>
                <w:color w:val="17221B"/>
                <w:sz w:val="18"/>
              </w:rPr>
              <w:t>Allowed values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8"/>
              </w:rPr>
              <w:t>deal_stage</w:t>
            </w:r>
          </w:p>
        </w:tc>
        <w:tc>
          <w:tcPr>
            <w:tcW w:type="dxa" w:w="7160"/>
            <w:vAlign w:val="center"/>
            <w:tcMar>
              <w:top w:w="90" w:type="dxa"/>
              <w:start w:w="120" w:type="dxa"/>
              <w:bottom w:w="90" w:type="dxa"/>
              <w:end w:w="120" w:type="dxa"/>
            </w:tcMar>
          </w:tcPr>
          <w:p>
            <w:pPr>
              <w:spacing w:after="0" w:line="269" w:lineRule="auto"/>
            </w:pPr>
            <w:r>
              <w:rPr>
                <w:rFonts w:ascii="Calibri" w:hAnsi="Calibri"/>
                <w:b w:val="0"/>
                <w:i w:val="0"/>
                <w:color w:val="20211D"/>
                <w:sz w:val="18"/>
              </w:rPr>
              <w:t>lead · qualified · proposal · negotiation · closed_won · closed_lost</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8"/>
              </w:rPr>
              <w:t>activity_type</w:t>
            </w:r>
          </w:p>
        </w:tc>
        <w:tc>
          <w:tcPr>
            <w:tcW w:type="dxa" w:w="7160"/>
            <w:vAlign w:val="center"/>
            <w:tcMar>
              <w:top w:w="90" w:type="dxa"/>
              <w:start w:w="120" w:type="dxa"/>
              <w:bottom w:w="90" w:type="dxa"/>
              <w:end w:w="120" w:type="dxa"/>
            </w:tcMar>
          </w:tcPr>
          <w:p>
            <w:pPr>
              <w:spacing w:after="0" w:line="269" w:lineRule="auto"/>
            </w:pPr>
            <w:r>
              <w:rPr>
                <w:rFonts w:ascii="Calibri" w:hAnsi="Calibri"/>
                <w:b w:val="0"/>
                <w:i w:val="0"/>
                <w:color w:val="20211D"/>
                <w:sz w:val="18"/>
              </w:rPr>
              <w:t>call · email · meeting · task · note</w:t>
            </w:r>
          </w:p>
        </w:tc>
      </w:tr>
    </w:tbl>
    <w:p>
      <w:pPr>
        <w:spacing w:after="20"/>
      </w:pPr>
    </w:p>
    <w:p>
      <w:pPr>
        <w:pStyle w:val="Heading1"/>
        <w:pageBreakBefore/>
        <w:keepNext/>
        <w:keepLines/>
        <w:widowControl/>
      </w:pPr>
      <w:r>
        <w:t>8. Full schema reference</w:t>
      </w:r>
    </w:p>
    <w:p>
      <w:pPr>
        <w:pStyle w:val="Heading2"/>
        <w:keepNext/>
        <w:keepLines/>
        <w:widowControl/>
      </w:pPr>
      <w:r>
        <w:t>profiles</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Field</w:t>
            </w:r>
          </w:p>
        </w:tc>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Type</w:t>
            </w:r>
          </w:p>
        </w:tc>
        <w:tc>
          <w:tcPr>
            <w:tcW w:type="dxa" w:w="4960"/>
            <w:shd w:fill="E8EEF5"/>
            <w:vAlign w:val="center"/>
            <w:tcMar>
              <w:top w:w="90" w:type="dxa"/>
              <w:start w:w="120" w:type="dxa"/>
              <w:bottom w:w="90" w:type="dxa"/>
              <w:end w:w="120" w:type="dxa"/>
            </w:tcMar>
          </w:tcPr>
          <w:p>
            <w:pPr>
              <w:spacing w:after="0"/>
            </w:pPr>
            <w:r>
              <w:rPr>
                <w:rFonts w:ascii="Calibri" w:hAnsi="Calibri"/>
                <w:b/>
                <w:i w:val="0"/>
                <w:color w:val="17221B"/>
                <w:sz w:val="16"/>
              </w:rPr>
              <w:t>Rules / relationship</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PK; generated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created_at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default now</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updated_at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trigger maintained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owner_id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unique FK → auth.users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full_name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default empty</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email</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avatar_url</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timezone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default UTC</w:t>
            </w:r>
          </w:p>
        </w:tc>
      </w:tr>
    </w:tbl>
    <w:p>
      <w:pPr>
        <w:spacing w:after="20"/>
      </w:pPr>
    </w:p>
    <w:p>
      <w:pPr>
        <w:pStyle w:val="Heading2"/>
        <w:keepNext/>
        <w:keepLines/>
        <w:widowControl/>
      </w:pPr>
      <w:r>
        <w:t>companies</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Field</w:t>
            </w:r>
          </w:p>
        </w:tc>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Type</w:t>
            </w:r>
          </w:p>
        </w:tc>
        <w:tc>
          <w:tcPr>
            <w:tcW w:type="dxa" w:w="4960"/>
            <w:shd w:fill="E8EEF5"/>
            <w:vAlign w:val="center"/>
            <w:tcMar>
              <w:top w:w="90" w:type="dxa"/>
              <w:start w:w="120" w:type="dxa"/>
              <w:bottom w:w="90" w:type="dxa"/>
              <w:end w:w="120" w:type="dxa"/>
            </w:tcMar>
          </w:tcPr>
          <w:p>
            <w:pPr>
              <w:spacing w:after="0"/>
            </w:pPr>
            <w:r>
              <w:rPr>
                <w:rFonts w:ascii="Calibri" w:hAnsi="Calibri"/>
                <w:b/>
                <w:i w:val="0"/>
                <w:color w:val="17221B"/>
                <w:sz w:val="16"/>
              </w:rPr>
              <w:t>Rules / relationship</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PK; generated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created_at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default now</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updated_at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trigger maintained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owner_id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FK → auth.users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name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1–160 chars; owner unique</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domain</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industry</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size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location</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annual_revenue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numeric(16,2)</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 non-negative</w:t>
            </w:r>
          </w:p>
        </w:tc>
      </w:tr>
    </w:tbl>
    <w:p>
      <w:pPr>
        <w:spacing w:after="20"/>
      </w:pPr>
    </w:p>
    <w:p>
      <w:pPr>
        <w:pStyle w:val="Heading2"/>
        <w:keepNext/>
        <w:keepLines/>
        <w:widowControl/>
      </w:pPr>
      <w:r>
        <w:t>contacts</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Field</w:t>
            </w:r>
          </w:p>
        </w:tc>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Type</w:t>
            </w:r>
          </w:p>
        </w:tc>
        <w:tc>
          <w:tcPr>
            <w:tcW w:type="dxa" w:w="4960"/>
            <w:shd w:fill="E8EEF5"/>
            <w:vAlign w:val="center"/>
            <w:tcMar>
              <w:top w:w="90" w:type="dxa"/>
              <w:start w:w="120" w:type="dxa"/>
              <w:bottom w:w="90" w:type="dxa"/>
              <w:end w:w="120" w:type="dxa"/>
            </w:tcMar>
          </w:tcPr>
          <w:p>
            <w:pPr>
              <w:spacing w:after="0"/>
            </w:pPr>
            <w:r>
              <w:rPr>
                <w:rFonts w:ascii="Calibri" w:hAnsi="Calibri"/>
                <w:b/>
                <w:i w:val="0"/>
                <w:color w:val="17221B"/>
                <w:sz w:val="16"/>
              </w:rPr>
              <w:t>Rules / relationship</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PK; generated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created_at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default now</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updated_at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trigger maintained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owner_id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FK → auth.users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company_id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FK → companies; cascade</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first_name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1–80 chars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last_name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1–80 chars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email</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owner unique</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phone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title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w:t>
            </w:r>
          </w:p>
        </w:tc>
      </w:tr>
    </w:tbl>
    <w:p>
      <w:pPr>
        <w:spacing w:after="20"/>
      </w:pPr>
    </w:p>
    <w:p>
      <w:pPr>
        <w:pStyle w:val="Heading2"/>
        <w:keepNext/>
        <w:keepLines/>
        <w:widowControl/>
      </w:pPr>
      <w:r>
        <w:t>deals</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Field</w:t>
            </w:r>
          </w:p>
        </w:tc>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Type</w:t>
            </w:r>
          </w:p>
        </w:tc>
        <w:tc>
          <w:tcPr>
            <w:tcW w:type="dxa" w:w="4960"/>
            <w:shd w:fill="E8EEF5"/>
            <w:vAlign w:val="center"/>
            <w:tcMar>
              <w:top w:w="90" w:type="dxa"/>
              <w:start w:w="120" w:type="dxa"/>
              <w:bottom w:w="90" w:type="dxa"/>
              <w:end w:w="120" w:type="dxa"/>
            </w:tcMar>
          </w:tcPr>
          <w:p>
            <w:pPr>
              <w:spacing w:after="0"/>
            </w:pPr>
            <w:r>
              <w:rPr>
                <w:rFonts w:ascii="Calibri" w:hAnsi="Calibri"/>
                <w:b/>
                <w:i w:val="0"/>
                <w:color w:val="17221B"/>
                <w:sz w:val="16"/>
              </w:rPr>
              <w:t>Rules / relationship</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PK; generated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created_at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default now</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updated_at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trigger maintained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owner_id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FK → auth.users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company_id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FK → companies; restrict delete</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contact_id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 FK → contacts; set null</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name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3–200 chars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value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numeric(16,2)</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non-negative</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stage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deal_stage</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default lead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probability</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smallint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0–100</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source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expected_close_date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date</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closed_at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lost_reason</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w:t>
            </w:r>
          </w:p>
        </w:tc>
      </w:tr>
    </w:tbl>
    <w:p>
      <w:pPr>
        <w:spacing w:after="20"/>
      </w:pPr>
    </w:p>
    <w:p>
      <w:pPr>
        <w:pStyle w:val="Heading2"/>
        <w:keepNext/>
        <w:keepLines/>
        <w:widowControl/>
      </w:pPr>
      <w:r>
        <w:t>activities</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Field</w:t>
            </w:r>
          </w:p>
        </w:tc>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Type</w:t>
            </w:r>
          </w:p>
        </w:tc>
        <w:tc>
          <w:tcPr>
            <w:tcW w:type="dxa" w:w="4960"/>
            <w:shd w:fill="E8EEF5"/>
            <w:vAlign w:val="center"/>
            <w:tcMar>
              <w:top w:w="90" w:type="dxa"/>
              <w:start w:w="120" w:type="dxa"/>
              <w:bottom w:w="90" w:type="dxa"/>
              <w:end w:w="120" w:type="dxa"/>
            </w:tcMar>
          </w:tcPr>
          <w:p>
            <w:pPr>
              <w:spacing w:after="0"/>
            </w:pPr>
            <w:r>
              <w:rPr>
                <w:rFonts w:ascii="Calibri" w:hAnsi="Calibri"/>
                <w:b/>
                <w:i w:val="0"/>
                <w:color w:val="17221B"/>
                <w:sz w:val="16"/>
              </w:rPr>
              <w:t>Rules / relationship</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PK; generated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created_at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default now</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updated_at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trigger maintained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owner_id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FK → auth.users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deal_id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FK → deals; cascade</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contact_id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 FK → contacts; set null</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type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activity_type</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title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1–200 chars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description</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due_at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completed_at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optional</w:t>
            </w:r>
          </w:p>
        </w:tc>
      </w:tr>
    </w:tbl>
    <w:p>
      <w:pPr>
        <w:spacing w:after="20"/>
      </w:pPr>
    </w:p>
    <w:p>
      <w:pPr>
        <w:pStyle w:val="Heading2"/>
        <w:keepNext/>
        <w:keepLines/>
        <w:widowControl/>
      </w:pPr>
      <w:r>
        <w:t>tags</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Field</w:t>
            </w:r>
          </w:p>
        </w:tc>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Type</w:t>
            </w:r>
          </w:p>
        </w:tc>
        <w:tc>
          <w:tcPr>
            <w:tcW w:type="dxa" w:w="4960"/>
            <w:shd w:fill="E8EEF5"/>
            <w:vAlign w:val="center"/>
            <w:tcMar>
              <w:top w:w="90" w:type="dxa"/>
              <w:start w:w="120" w:type="dxa"/>
              <w:bottom w:w="90" w:type="dxa"/>
              <w:end w:w="120" w:type="dxa"/>
            </w:tcMar>
          </w:tcPr>
          <w:p>
            <w:pPr>
              <w:spacing w:after="0"/>
            </w:pPr>
            <w:r>
              <w:rPr>
                <w:rFonts w:ascii="Calibri" w:hAnsi="Calibri"/>
                <w:b/>
                <w:i w:val="0"/>
                <w:color w:val="17221B"/>
                <w:sz w:val="16"/>
              </w:rPr>
              <w:t>Rules / relationship</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PK; generated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created_at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default now</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updated_at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trigger maintained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owner_id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FK → auth.users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name</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1–40 chars; owner unique</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color</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text</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six-digit hex</w:t>
            </w:r>
          </w:p>
        </w:tc>
      </w:tr>
    </w:tbl>
    <w:p>
      <w:pPr>
        <w:spacing w:after="20"/>
      </w:pPr>
    </w:p>
    <w:p>
      <w:pPr>
        <w:pStyle w:val="Heading2"/>
        <w:keepNext/>
        <w:keepLines/>
        <w:widowControl/>
      </w:pPr>
      <w:r>
        <w:t>deal_tags</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Field</w:t>
            </w:r>
          </w:p>
        </w:tc>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6"/>
              </w:rPr>
              <w:t>Type</w:t>
            </w:r>
          </w:p>
        </w:tc>
        <w:tc>
          <w:tcPr>
            <w:tcW w:type="dxa" w:w="4960"/>
            <w:shd w:fill="E8EEF5"/>
            <w:vAlign w:val="center"/>
            <w:tcMar>
              <w:top w:w="90" w:type="dxa"/>
              <w:start w:w="120" w:type="dxa"/>
              <w:bottom w:w="90" w:type="dxa"/>
              <w:end w:w="120" w:type="dxa"/>
            </w:tcMar>
          </w:tcPr>
          <w:p>
            <w:pPr>
              <w:spacing w:after="0"/>
            </w:pPr>
            <w:r>
              <w:rPr>
                <w:rFonts w:ascii="Calibri" w:hAnsi="Calibri"/>
                <w:b/>
                <w:i w:val="0"/>
                <w:color w:val="17221B"/>
                <w:sz w:val="16"/>
              </w:rPr>
              <w:t>Rules / relationship</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PK; generated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created_at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default now</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updated_at</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timestamptz</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trigger maintained</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owner_id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FK → auth.users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deal_id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FK → deals; cascade</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tag_id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uuid</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required FK → tags; cascade</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deal_id + tag_id</w:t>
            </w:r>
          </w:p>
        </w:tc>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6"/>
              </w:rPr>
              <w:t>unique pair</w:t>
            </w:r>
          </w:p>
        </w:tc>
        <w:tc>
          <w:tcPr>
            <w:tcW w:type="dxa" w:w="4960"/>
            <w:vAlign w:val="center"/>
            <w:tcMar>
              <w:top w:w="90" w:type="dxa"/>
              <w:start w:w="120" w:type="dxa"/>
              <w:bottom w:w="90" w:type="dxa"/>
              <w:end w:w="120" w:type="dxa"/>
            </w:tcMar>
          </w:tcPr>
          <w:p>
            <w:pPr>
              <w:spacing w:after="0" w:line="269" w:lineRule="auto"/>
            </w:pPr>
            <w:r>
              <w:rPr>
                <w:rFonts w:ascii="Calibri" w:hAnsi="Calibri"/>
                <w:b w:val="0"/>
                <w:i w:val="0"/>
                <w:color w:val="20211D"/>
                <w:sz w:val="16"/>
              </w:rPr>
              <w:t>prevents duplicate membership</w:t>
            </w:r>
          </w:p>
        </w:tc>
      </w:tr>
    </w:tbl>
    <w:p>
      <w:pPr>
        <w:spacing w:after="20"/>
      </w:pPr>
    </w:p>
    <w:p>
      <w:pPr>
        <w:pStyle w:val="Heading1"/>
        <w:pageBreakBefore/>
        <w:keepNext/>
        <w:keepLines/>
        <w:widowControl/>
      </w:pPr>
      <w:r>
        <w:t>9. Services, functions, and backend surface</w:t>
      </w:r>
    </w:p>
    <w:p>
      <w:pPr>
        <w:pStyle w:val="Heading2"/>
        <w:keepNext/>
        <w:keepLines/>
        <w:widowControl/>
      </w:pPr>
      <w:r>
        <w:t>Supabase services used</w:t>
      </w:r>
    </w:p>
    <w:tbl>
      <w:tblPr>
        <w:tblStyle w:val="TableGrid"/>
        <w:tblW w:type="dxa" w:w="9360"/>
        <w:jc w:val="left"/>
        <w:tblLayout w:type="fixed"/>
        <w:tblLook w:firstColumn="1" w:firstRow="1" w:lastColumn="0" w:lastRow="0" w:noHBand="0" w:noVBand="1" w:val="04A0"/>
        <w:tblInd w:w="120" w:type="dxa"/>
      </w:tblPr>
      <w:tblGrid>
        <w:gridCol w:w="1900"/>
        <w:gridCol w:w="900"/>
        <w:gridCol w:w="6560"/>
      </w:tblGrid>
      <w:tr>
        <w:trPr>
          <w:tblHeader w:val="true"/>
        </w:trPr>
        <w:tc>
          <w:tcPr>
            <w:tcW w:type="dxa" w:w="1900"/>
            <w:shd w:fill="E8EEF5"/>
            <w:vAlign w:val="center"/>
            <w:tcMar>
              <w:top w:w="90" w:type="dxa"/>
              <w:start w:w="120" w:type="dxa"/>
              <w:bottom w:w="90" w:type="dxa"/>
              <w:end w:w="120" w:type="dxa"/>
            </w:tcMar>
          </w:tcPr>
          <w:p>
            <w:pPr>
              <w:spacing w:after="0"/>
            </w:pPr>
            <w:r>
              <w:rPr>
                <w:rFonts w:ascii="Calibri" w:hAnsi="Calibri"/>
                <w:b/>
                <w:i w:val="0"/>
                <w:color w:val="17221B"/>
                <w:sz w:val="17"/>
              </w:rPr>
              <w:t>Service</w:t>
            </w:r>
          </w:p>
        </w:tc>
        <w:tc>
          <w:tcPr>
            <w:tcW w:type="dxa" w:w="900"/>
            <w:shd w:fill="E8EEF5"/>
            <w:vAlign w:val="center"/>
            <w:tcMar>
              <w:top w:w="90" w:type="dxa"/>
              <w:start w:w="120" w:type="dxa"/>
              <w:bottom w:w="90" w:type="dxa"/>
              <w:end w:w="120" w:type="dxa"/>
            </w:tcMar>
          </w:tcPr>
          <w:p>
            <w:pPr>
              <w:spacing w:after="0"/>
            </w:pPr>
            <w:r>
              <w:rPr>
                <w:rFonts w:ascii="Calibri" w:hAnsi="Calibri"/>
                <w:b/>
                <w:i w:val="0"/>
                <w:color w:val="17221B"/>
                <w:sz w:val="17"/>
              </w:rPr>
              <w:t>Used</w:t>
            </w:r>
          </w:p>
        </w:tc>
        <w:tc>
          <w:tcPr>
            <w:tcW w:type="dxa" w:w="6560"/>
            <w:shd w:fill="E8EEF5"/>
            <w:vAlign w:val="center"/>
            <w:tcMar>
              <w:top w:w="90" w:type="dxa"/>
              <w:start w:w="120" w:type="dxa"/>
              <w:bottom w:w="90" w:type="dxa"/>
              <w:end w:w="120" w:type="dxa"/>
            </w:tcMar>
          </w:tcPr>
          <w:p>
            <w:pPr>
              <w:spacing w:after="0"/>
            </w:pPr>
            <w:r>
              <w:rPr>
                <w:rFonts w:ascii="Calibri" w:hAnsi="Calibri"/>
                <w:b/>
                <w:i w:val="0"/>
                <w:color w:val="17221B"/>
                <w:sz w:val="17"/>
              </w:rPr>
              <w:t>Purpose</w:t>
            </w:r>
          </w:p>
        </w:tc>
      </w:tr>
      <w:tr>
        <w:tc>
          <w:tcPr>
            <w:tcW w:type="dxa" w:w="1900"/>
            <w:vAlign w:val="center"/>
            <w:tcMar>
              <w:top w:w="90" w:type="dxa"/>
              <w:start w:w="120" w:type="dxa"/>
              <w:bottom w:w="90" w:type="dxa"/>
              <w:end w:w="120" w:type="dxa"/>
            </w:tcMar>
          </w:tcPr>
          <w:p>
            <w:pPr>
              <w:spacing w:after="0" w:line="269" w:lineRule="auto"/>
            </w:pPr>
            <w:r>
              <w:rPr>
                <w:rFonts w:ascii="Calibri" w:hAnsi="Calibri"/>
                <w:b w:val="0"/>
                <w:i w:val="0"/>
                <w:color w:val="20211D"/>
                <w:sz w:val="17"/>
              </w:rPr>
              <w:t>PostgreSQL</w:t>
            </w:r>
          </w:p>
        </w:tc>
        <w:tc>
          <w:tcPr>
            <w:tcW w:type="dxa" w:w="900"/>
            <w:vAlign w:val="center"/>
            <w:tcMar>
              <w:top w:w="90" w:type="dxa"/>
              <w:start w:w="120" w:type="dxa"/>
              <w:bottom w:w="90" w:type="dxa"/>
              <w:end w:w="120" w:type="dxa"/>
            </w:tcMar>
          </w:tcPr>
          <w:p>
            <w:pPr>
              <w:spacing w:after="0" w:line="269" w:lineRule="auto"/>
            </w:pPr>
            <w:r>
              <w:rPr>
                <w:rFonts w:ascii="Calibri" w:hAnsi="Calibri"/>
                <w:b w:val="0"/>
                <w:i w:val="0"/>
                <w:color w:val="20211D"/>
                <w:sz w:val="17"/>
              </w:rPr>
              <w:t>Yes</w:t>
            </w:r>
          </w:p>
        </w:tc>
        <w:tc>
          <w:tcPr>
            <w:tcW w:type="dxa" w:w="6560"/>
            <w:vAlign w:val="center"/>
            <w:tcMar>
              <w:top w:w="90" w:type="dxa"/>
              <w:start w:w="120" w:type="dxa"/>
              <w:bottom w:w="90" w:type="dxa"/>
              <w:end w:w="120" w:type="dxa"/>
            </w:tcMar>
          </w:tcPr>
          <w:p>
            <w:pPr>
              <w:spacing w:after="0" w:line="269" w:lineRule="auto"/>
            </w:pPr>
            <w:r>
              <w:rPr>
                <w:rFonts w:ascii="Calibri" w:hAnsi="Calibri"/>
                <w:b w:val="0"/>
                <w:i w:val="0"/>
                <w:color w:val="20211D"/>
                <w:sz w:val="17"/>
              </w:rPr>
              <w:t>Normalized CRM data, constraints, indexes, triggers, views, and analytics functions.</w:t>
            </w:r>
          </w:p>
        </w:tc>
      </w:tr>
      <w:tr>
        <w:tc>
          <w:tcPr>
            <w:tcW w:type="dxa" w:w="1900"/>
            <w:vAlign w:val="center"/>
            <w:tcMar>
              <w:top w:w="90" w:type="dxa"/>
              <w:start w:w="120" w:type="dxa"/>
              <w:bottom w:w="90" w:type="dxa"/>
              <w:end w:w="120" w:type="dxa"/>
            </w:tcMar>
          </w:tcPr>
          <w:p>
            <w:pPr>
              <w:spacing w:after="0" w:line="269" w:lineRule="auto"/>
            </w:pPr>
            <w:r>
              <w:rPr>
                <w:rFonts w:ascii="Calibri" w:hAnsi="Calibri"/>
                <w:b w:val="0"/>
                <w:i w:val="0"/>
                <w:color w:val="20211D"/>
                <w:sz w:val="17"/>
              </w:rPr>
              <w:t>Authentication</w:t>
            </w:r>
          </w:p>
        </w:tc>
        <w:tc>
          <w:tcPr>
            <w:tcW w:type="dxa" w:w="900"/>
            <w:vAlign w:val="center"/>
            <w:tcMar>
              <w:top w:w="90" w:type="dxa"/>
              <w:start w:w="120" w:type="dxa"/>
              <w:bottom w:w="90" w:type="dxa"/>
              <w:end w:w="120" w:type="dxa"/>
            </w:tcMar>
          </w:tcPr>
          <w:p>
            <w:pPr>
              <w:spacing w:after="0" w:line="269" w:lineRule="auto"/>
            </w:pPr>
            <w:r>
              <w:rPr>
                <w:rFonts w:ascii="Calibri" w:hAnsi="Calibri"/>
                <w:b w:val="0"/>
                <w:i w:val="0"/>
                <w:color w:val="20211D"/>
                <w:sz w:val="17"/>
              </w:rPr>
              <w:t>Yes</w:t>
            </w:r>
          </w:p>
        </w:tc>
        <w:tc>
          <w:tcPr>
            <w:tcW w:type="dxa" w:w="6560"/>
            <w:vAlign w:val="center"/>
            <w:tcMar>
              <w:top w:w="90" w:type="dxa"/>
              <w:start w:w="120" w:type="dxa"/>
              <w:bottom w:w="90" w:type="dxa"/>
              <w:end w:w="120" w:type="dxa"/>
            </w:tcMar>
          </w:tcPr>
          <w:p>
            <w:pPr>
              <w:spacing w:after="0" w:line="269" w:lineRule="auto"/>
            </w:pPr>
            <w:r>
              <w:rPr>
                <w:rFonts w:ascii="Calibri" w:hAnsi="Calibri"/>
                <w:b w:val="0"/>
                <w:i w:val="0"/>
                <w:color w:val="20211D"/>
                <w:sz w:val="17"/>
              </w:rPr>
              <w:t>Email/password registration, confirmation, sessions, logout, and recovery.</w:t>
            </w:r>
          </w:p>
        </w:tc>
      </w:tr>
      <w:tr>
        <w:tc>
          <w:tcPr>
            <w:tcW w:type="dxa" w:w="1900"/>
            <w:vAlign w:val="center"/>
            <w:tcMar>
              <w:top w:w="90" w:type="dxa"/>
              <w:start w:w="120" w:type="dxa"/>
              <w:bottom w:w="90" w:type="dxa"/>
              <w:end w:w="120" w:type="dxa"/>
            </w:tcMar>
          </w:tcPr>
          <w:p>
            <w:pPr>
              <w:spacing w:after="0" w:line="269" w:lineRule="auto"/>
            </w:pPr>
            <w:r>
              <w:rPr>
                <w:rFonts w:ascii="Calibri" w:hAnsi="Calibri"/>
                <w:b w:val="0"/>
                <w:i w:val="0"/>
                <w:color w:val="20211D"/>
                <w:sz w:val="17"/>
              </w:rPr>
              <w:t>Row Level Security</w:t>
            </w:r>
          </w:p>
        </w:tc>
        <w:tc>
          <w:tcPr>
            <w:tcW w:type="dxa" w:w="900"/>
            <w:vAlign w:val="center"/>
            <w:tcMar>
              <w:top w:w="90" w:type="dxa"/>
              <w:start w:w="120" w:type="dxa"/>
              <w:bottom w:w="90" w:type="dxa"/>
              <w:end w:w="120" w:type="dxa"/>
            </w:tcMar>
          </w:tcPr>
          <w:p>
            <w:pPr>
              <w:spacing w:after="0" w:line="269" w:lineRule="auto"/>
            </w:pPr>
            <w:r>
              <w:rPr>
                <w:rFonts w:ascii="Calibri" w:hAnsi="Calibri"/>
                <w:b w:val="0"/>
                <w:i w:val="0"/>
                <w:color w:val="20211D"/>
                <w:sz w:val="17"/>
              </w:rPr>
              <w:t>Yes</w:t>
            </w:r>
          </w:p>
        </w:tc>
        <w:tc>
          <w:tcPr>
            <w:tcW w:type="dxa" w:w="6560"/>
            <w:vAlign w:val="center"/>
            <w:tcMar>
              <w:top w:w="90" w:type="dxa"/>
              <w:start w:w="120" w:type="dxa"/>
              <w:bottom w:w="90" w:type="dxa"/>
              <w:end w:w="120" w:type="dxa"/>
            </w:tcMar>
          </w:tcPr>
          <w:p>
            <w:pPr>
              <w:spacing w:after="0" w:line="269" w:lineRule="auto"/>
            </w:pPr>
            <w:r>
              <w:rPr>
                <w:rFonts w:ascii="Calibri" w:hAnsi="Calibri"/>
                <w:b w:val="0"/>
                <w:i w:val="0"/>
                <w:color w:val="20211D"/>
                <w:sz w:val="17"/>
              </w:rPr>
              <w:t>Owner isolation for all seven application tables.</w:t>
            </w:r>
          </w:p>
        </w:tc>
      </w:tr>
      <w:tr>
        <w:tc>
          <w:tcPr>
            <w:tcW w:type="dxa" w:w="1900"/>
            <w:vAlign w:val="center"/>
            <w:tcMar>
              <w:top w:w="90" w:type="dxa"/>
              <w:start w:w="120" w:type="dxa"/>
              <w:bottom w:w="90" w:type="dxa"/>
              <w:end w:w="120" w:type="dxa"/>
            </w:tcMar>
          </w:tcPr>
          <w:p>
            <w:pPr>
              <w:spacing w:after="0" w:line="269" w:lineRule="auto"/>
            </w:pPr>
            <w:r>
              <w:rPr>
                <w:rFonts w:ascii="Calibri" w:hAnsi="Calibri"/>
                <w:b w:val="0"/>
                <w:i w:val="0"/>
                <w:color w:val="20211D"/>
                <w:sz w:val="17"/>
              </w:rPr>
              <w:t>PostgREST</w:t>
            </w:r>
          </w:p>
        </w:tc>
        <w:tc>
          <w:tcPr>
            <w:tcW w:type="dxa" w:w="900"/>
            <w:vAlign w:val="center"/>
            <w:tcMar>
              <w:top w:w="90" w:type="dxa"/>
              <w:start w:w="120" w:type="dxa"/>
              <w:bottom w:w="90" w:type="dxa"/>
              <w:end w:w="120" w:type="dxa"/>
            </w:tcMar>
          </w:tcPr>
          <w:p>
            <w:pPr>
              <w:spacing w:after="0" w:line="269" w:lineRule="auto"/>
            </w:pPr>
            <w:r>
              <w:rPr>
                <w:rFonts w:ascii="Calibri" w:hAnsi="Calibri"/>
                <w:b w:val="0"/>
                <w:i w:val="0"/>
                <w:color w:val="20211D"/>
                <w:sz w:val="17"/>
              </w:rPr>
              <w:t>Yes</w:t>
            </w:r>
          </w:p>
        </w:tc>
        <w:tc>
          <w:tcPr>
            <w:tcW w:type="dxa" w:w="6560"/>
            <w:vAlign w:val="center"/>
            <w:tcMar>
              <w:top w:w="90" w:type="dxa"/>
              <w:start w:w="120" w:type="dxa"/>
              <w:bottom w:w="90" w:type="dxa"/>
              <w:end w:w="120" w:type="dxa"/>
            </w:tcMar>
          </w:tcPr>
          <w:p>
            <w:pPr>
              <w:spacing w:after="0" w:line="269" w:lineRule="auto"/>
            </w:pPr>
            <w:r>
              <w:rPr>
                <w:rFonts w:ascii="Calibri" w:hAnsi="Calibri"/>
                <w:b w:val="0"/>
                <w:i w:val="0"/>
                <w:color w:val="20211D"/>
                <w:sz w:val="17"/>
              </w:rPr>
              <w:t>Authenticated CRUD and relationship projections.</w:t>
            </w:r>
          </w:p>
        </w:tc>
      </w:tr>
      <w:tr>
        <w:tc>
          <w:tcPr>
            <w:tcW w:type="dxa" w:w="1900"/>
            <w:vAlign w:val="center"/>
            <w:tcMar>
              <w:top w:w="90" w:type="dxa"/>
              <w:start w:w="120" w:type="dxa"/>
              <w:bottom w:w="90" w:type="dxa"/>
              <w:end w:w="120" w:type="dxa"/>
            </w:tcMar>
          </w:tcPr>
          <w:p>
            <w:pPr>
              <w:spacing w:after="0" w:line="269" w:lineRule="auto"/>
            </w:pPr>
            <w:r>
              <w:rPr>
                <w:rFonts w:ascii="Calibri" w:hAnsi="Calibri"/>
                <w:b w:val="0"/>
                <w:i w:val="0"/>
                <w:color w:val="20211D"/>
                <w:sz w:val="17"/>
              </w:rPr>
              <w:t>RPC</w:t>
            </w:r>
          </w:p>
        </w:tc>
        <w:tc>
          <w:tcPr>
            <w:tcW w:type="dxa" w:w="900"/>
            <w:vAlign w:val="center"/>
            <w:tcMar>
              <w:top w:w="90" w:type="dxa"/>
              <w:start w:w="120" w:type="dxa"/>
              <w:bottom w:w="90" w:type="dxa"/>
              <w:end w:w="120" w:type="dxa"/>
            </w:tcMar>
          </w:tcPr>
          <w:p>
            <w:pPr>
              <w:spacing w:after="0" w:line="269" w:lineRule="auto"/>
            </w:pPr>
            <w:r>
              <w:rPr>
                <w:rFonts w:ascii="Calibri" w:hAnsi="Calibri"/>
                <w:b w:val="0"/>
                <w:i w:val="0"/>
                <w:color w:val="20211D"/>
                <w:sz w:val="17"/>
              </w:rPr>
              <w:t>Yes</w:t>
            </w:r>
          </w:p>
        </w:tc>
        <w:tc>
          <w:tcPr>
            <w:tcW w:type="dxa" w:w="6560"/>
            <w:vAlign w:val="center"/>
            <w:tcMar>
              <w:top w:w="90" w:type="dxa"/>
              <w:start w:w="120" w:type="dxa"/>
              <w:bottom w:w="90" w:type="dxa"/>
              <w:end w:w="120" w:type="dxa"/>
            </w:tcMar>
          </w:tcPr>
          <w:p>
            <w:pPr>
              <w:spacing w:after="0" w:line="269" w:lineRule="auto"/>
            </w:pPr>
            <w:r>
              <w:rPr>
                <w:rFonts w:ascii="Calibri" w:hAnsi="Calibri"/>
                <w:b w:val="0"/>
                <w:i w:val="0"/>
                <w:color w:val="20211D"/>
                <w:sz w:val="17"/>
              </w:rPr>
              <w:t>Chart-ready analytics and global search.</w:t>
            </w:r>
          </w:p>
        </w:tc>
      </w:tr>
      <w:tr>
        <w:tc>
          <w:tcPr>
            <w:tcW w:type="dxa" w:w="1900"/>
            <w:vAlign w:val="center"/>
            <w:tcMar>
              <w:top w:w="90" w:type="dxa"/>
              <w:start w:w="120" w:type="dxa"/>
              <w:bottom w:w="90" w:type="dxa"/>
              <w:end w:w="120" w:type="dxa"/>
            </w:tcMar>
          </w:tcPr>
          <w:p>
            <w:pPr>
              <w:spacing w:after="0" w:line="269" w:lineRule="auto"/>
            </w:pPr>
            <w:r>
              <w:rPr>
                <w:rFonts w:ascii="Calibri" w:hAnsi="Calibri"/>
                <w:b w:val="0"/>
                <w:i w:val="0"/>
                <w:color w:val="20211D"/>
                <w:sz w:val="17"/>
              </w:rPr>
              <w:t>Storage buckets</w:t>
            </w:r>
          </w:p>
        </w:tc>
        <w:tc>
          <w:tcPr>
            <w:tcW w:type="dxa" w:w="900"/>
            <w:vAlign w:val="center"/>
            <w:tcMar>
              <w:top w:w="90" w:type="dxa"/>
              <w:start w:w="120" w:type="dxa"/>
              <w:bottom w:w="90" w:type="dxa"/>
              <w:end w:w="120" w:type="dxa"/>
            </w:tcMar>
          </w:tcPr>
          <w:p>
            <w:pPr>
              <w:spacing w:after="0" w:line="269" w:lineRule="auto"/>
            </w:pPr>
            <w:r>
              <w:rPr>
                <w:rFonts w:ascii="Calibri" w:hAnsi="Calibri"/>
                <w:b w:val="0"/>
                <w:i w:val="0"/>
                <w:color w:val="20211D"/>
                <w:sz w:val="17"/>
              </w:rPr>
              <w:t>No</w:t>
            </w:r>
          </w:p>
        </w:tc>
        <w:tc>
          <w:tcPr>
            <w:tcW w:type="dxa" w:w="6560"/>
            <w:vAlign w:val="center"/>
            <w:tcMar>
              <w:top w:w="90" w:type="dxa"/>
              <w:start w:w="120" w:type="dxa"/>
              <w:bottom w:w="90" w:type="dxa"/>
              <w:end w:w="120" w:type="dxa"/>
            </w:tcMar>
          </w:tcPr>
          <w:p>
            <w:pPr>
              <w:spacing w:after="0" w:line="269" w:lineRule="auto"/>
            </w:pPr>
            <w:r>
              <w:rPr>
                <w:rFonts w:ascii="Calibri" w:hAnsi="Calibri"/>
                <w:b w:val="0"/>
                <w:i w:val="0"/>
                <w:color w:val="20211D"/>
                <w:sz w:val="17"/>
              </w:rPr>
              <w:t>No file workflow is required in the selected scope; zero buckets are provisioned.</w:t>
            </w:r>
          </w:p>
        </w:tc>
      </w:tr>
      <w:tr>
        <w:tc>
          <w:tcPr>
            <w:tcW w:type="dxa" w:w="1900"/>
            <w:vAlign w:val="center"/>
            <w:tcMar>
              <w:top w:w="90" w:type="dxa"/>
              <w:start w:w="120" w:type="dxa"/>
              <w:bottom w:w="90" w:type="dxa"/>
              <w:end w:w="120" w:type="dxa"/>
            </w:tcMar>
          </w:tcPr>
          <w:p>
            <w:pPr>
              <w:spacing w:after="0" w:line="269" w:lineRule="auto"/>
            </w:pPr>
            <w:r>
              <w:rPr>
                <w:rFonts w:ascii="Calibri" w:hAnsi="Calibri"/>
                <w:b w:val="0"/>
                <w:i w:val="0"/>
                <w:color w:val="20211D"/>
                <w:sz w:val="17"/>
              </w:rPr>
              <w:t>Edge Functions</w:t>
            </w:r>
          </w:p>
        </w:tc>
        <w:tc>
          <w:tcPr>
            <w:tcW w:type="dxa" w:w="900"/>
            <w:vAlign w:val="center"/>
            <w:tcMar>
              <w:top w:w="90" w:type="dxa"/>
              <w:start w:w="120" w:type="dxa"/>
              <w:bottom w:w="90" w:type="dxa"/>
              <w:end w:w="120" w:type="dxa"/>
            </w:tcMar>
          </w:tcPr>
          <w:p>
            <w:pPr>
              <w:spacing w:after="0" w:line="269" w:lineRule="auto"/>
            </w:pPr>
            <w:r>
              <w:rPr>
                <w:rFonts w:ascii="Calibri" w:hAnsi="Calibri"/>
                <w:b w:val="0"/>
                <w:i w:val="0"/>
                <w:color w:val="20211D"/>
                <w:sz w:val="17"/>
              </w:rPr>
              <w:t>No</w:t>
            </w:r>
          </w:p>
        </w:tc>
        <w:tc>
          <w:tcPr>
            <w:tcW w:type="dxa" w:w="6560"/>
            <w:vAlign w:val="center"/>
            <w:tcMar>
              <w:top w:w="90" w:type="dxa"/>
              <w:start w:w="120" w:type="dxa"/>
              <w:bottom w:w="90" w:type="dxa"/>
              <w:end w:w="120" w:type="dxa"/>
            </w:tcMar>
          </w:tcPr>
          <w:p>
            <w:pPr>
              <w:spacing w:after="0" w:line="269" w:lineRule="auto"/>
            </w:pPr>
            <w:r>
              <w:rPr>
                <w:rFonts w:ascii="Calibri" w:hAnsi="Calibri"/>
                <w:b w:val="0"/>
                <w:i w:val="0"/>
                <w:color w:val="20211D"/>
                <w:sz w:val="17"/>
              </w:rPr>
              <w:t>Business aggregation remains in PostgreSQL; zero Edge Functions are deployed.</w:t>
            </w:r>
          </w:p>
        </w:tc>
      </w:tr>
      <w:tr>
        <w:tc>
          <w:tcPr>
            <w:tcW w:type="dxa" w:w="1900"/>
            <w:vAlign w:val="center"/>
            <w:tcMar>
              <w:top w:w="90" w:type="dxa"/>
              <w:start w:w="120" w:type="dxa"/>
              <w:bottom w:w="90" w:type="dxa"/>
              <w:end w:w="120" w:type="dxa"/>
            </w:tcMar>
          </w:tcPr>
          <w:p>
            <w:pPr>
              <w:spacing w:after="0" w:line="269" w:lineRule="auto"/>
            </w:pPr>
            <w:r>
              <w:rPr>
                <w:rFonts w:ascii="Calibri" w:hAnsi="Calibri"/>
                <w:b w:val="0"/>
                <w:i w:val="0"/>
                <w:color w:val="20211D"/>
                <w:sz w:val="17"/>
              </w:rPr>
              <w:t>Realtime</w:t>
            </w:r>
          </w:p>
        </w:tc>
        <w:tc>
          <w:tcPr>
            <w:tcW w:type="dxa" w:w="900"/>
            <w:vAlign w:val="center"/>
            <w:tcMar>
              <w:top w:w="90" w:type="dxa"/>
              <w:start w:w="120" w:type="dxa"/>
              <w:bottom w:w="90" w:type="dxa"/>
              <w:end w:w="120" w:type="dxa"/>
            </w:tcMar>
          </w:tcPr>
          <w:p>
            <w:pPr>
              <w:spacing w:after="0" w:line="269" w:lineRule="auto"/>
            </w:pPr>
            <w:r>
              <w:rPr>
                <w:rFonts w:ascii="Calibri" w:hAnsi="Calibri"/>
                <w:b w:val="0"/>
                <w:i w:val="0"/>
                <w:color w:val="20211D"/>
                <w:sz w:val="17"/>
              </w:rPr>
              <w:t>No</w:t>
            </w:r>
          </w:p>
        </w:tc>
        <w:tc>
          <w:tcPr>
            <w:tcW w:type="dxa" w:w="6560"/>
            <w:vAlign w:val="center"/>
            <w:tcMar>
              <w:top w:w="90" w:type="dxa"/>
              <w:start w:w="120" w:type="dxa"/>
              <w:bottom w:w="90" w:type="dxa"/>
              <w:end w:w="120" w:type="dxa"/>
            </w:tcMar>
          </w:tcPr>
          <w:p>
            <w:pPr>
              <w:spacing w:after="0" w:line="269" w:lineRule="auto"/>
            </w:pPr>
            <w:r>
              <w:rPr>
                <w:rFonts w:ascii="Calibri" w:hAnsi="Calibri"/>
                <w:b w:val="0"/>
                <w:i w:val="0"/>
                <w:color w:val="20211D"/>
                <w:sz w:val="17"/>
              </w:rPr>
              <w:t>Optional advanced feature not selected; RLS and server analytics were prioritized.</w:t>
            </w:r>
          </w:p>
        </w:tc>
      </w:tr>
    </w:tbl>
    <w:p>
      <w:pPr>
        <w:spacing w:after="20"/>
      </w:pPr>
    </w:p>
    <w:p>
      <w:pPr>
        <w:pStyle w:val="Heading2"/>
        <w:keepNext/>
        <w:keepLines/>
        <w:widowControl/>
      </w:pPr>
      <w:r>
        <w:t>Views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8EEF5"/>
            <w:vAlign w:val="center"/>
            <w:tcMar>
              <w:top w:w="90" w:type="dxa"/>
              <w:start w:w="120" w:type="dxa"/>
              <w:bottom w:w="90" w:type="dxa"/>
              <w:end w:w="120" w:type="dxa"/>
            </w:tcMar>
          </w:tcPr>
          <w:p>
            <w:pPr>
              <w:spacing w:after="0"/>
            </w:pPr>
            <w:r>
              <w:rPr>
                <w:rFonts w:ascii="Calibri" w:hAnsi="Calibri"/>
                <w:b/>
                <w:i w:val="0"/>
                <w:color w:val="17221B"/>
                <w:sz w:val="18"/>
              </w:rPr>
              <w:t>View</w:t>
            </w:r>
          </w:p>
        </w:tc>
        <w:tc>
          <w:tcPr>
            <w:tcW w:type="dxa" w:w="6560"/>
            <w:shd w:fill="E8EEF5"/>
            <w:vAlign w:val="center"/>
            <w:tcMar>
              <w:top w:w="90" w:type="dxa"/>
              <w:start w:w="120" w:type="dxa"/>
              <w:bottom w:w="90" w:type="dxa"/>
              <w:end w:w="120" w:type="dxa"/>
            </w:tcMar>
          </w:tcPr>
          <w:p>
            <w:pPr>
              <w:spacing w:after="0"/>
            </w:pPr>
            <w:r>
              <w:rPr>
                <w:rFonts w:ascii="Calibri" w:hAnsi="Calibri"/>
                <w:b/>
                <w:i w:val="0"/>
                <w:color w:val="17221B"/>
                <w:sz w:val="18"/>
              </w:rPr>
              <w:t>Result</w:t>
            </w:r>
          </w:p>
        </w:tc>
      </w:tr>
      <w:tr>
        <w:tc>
          <w:tcPr>
            <w:tcW w:type="dxa" w:w="2800"/>
            <w:vAlign w:val="center"/>
            <w:tcMar>
              <w:top w:w="90" w:type="dxa"/>
              <w:start w:w="120" w:type="dxa"/>
              <w:bottom w:w="90" w:type="dxa"/>
              <w:end w:w="120" w:type="dxa"/>
            </w:tcMar>
          </w:tcPr>
          <w:p>
            <w:pPr>
              <w:spacing w:after="0" w:line="269" w:lineRule="auto"/>
            </w:pPr>
            <w:r>
              <w:rPr>
                <w:rFonts w:ascii="Calibri" w:hAnsi="Calibri"/>
                <w:b w:val="0"/>
                <w:i w:val="0"/>
                <w:color w:val="20211D"/>
                <w:sz w:val="18"/>
              </w:rPr>
              <w:t>monthly_revenue</w:t>
            </w:r>
          </w:p>
        </w:tc>
        <w:tc>
          <w:tcPr>
            <w:tcW w:type="dxa" w:w="6560"/>
            <w:vAlign w:val="center"/>
            <w:tcMar>
              <w:top w:w="90" w:type="dxa"/>
              <w:start w:w="120" w:type="dxa"/>
              <w:bottom w:w="90" w:type="dxa"/>
              <w:end w:w="120" w:type="dxa"/>
            </w:tcMar>
          </w:tcPr>
          <w:p>
            <w:pPr>
              <w:spacing w:after="0" w:line="269" w:lineRule="auto"/>
            </w:pPr>
            <w:r>
              <w:rPr>
                <w:rFonts w:ascii="Calibri" w:hAnsi="Calibri"/>
                <w:b w:val="0"/>
                <w:i w:val="0"/>
                <w:color w:val="20211D"/>
                <w:sz w:val="18"/>
              </w:rPr>
              <w:t>Closed-won revenue and won-deal count by owner and month.</w:t>
            </w:r>
          </w:p>
        </w:tc>
      </w:tr>
      <w:tr>
        <w:tc>
          <w:tcPr>
            <w:tcW w:type="dxa" w:w="2800"/>
            <w:vAlign w:val="center"/>
            <w:tcMar>
              <w:top w:w="90" w:type="dxa"/>
              <w:start w:w="120" w:type="dxa"/>
              <w:bottom w:w="90" w:type="dxa"/>
              <w:end w:w="120" w:type="dxa"/>
            </w:tcMar>
          </w:tcPr>
          <w:p>
            <w:pPr>
              <w:spacing w:after="0" w:line="269" w:lineRule="auto"/>
            </w:pPr>
            <w:r>
              <w:rPr>
                <w:rFonts w:ascii="Calibri" w:hAnsi="Calibri"/>
                <w:b w:val="0"/>
                <w:i w:val="0"/>
                <w:color w:val="20211D"/>
                <w:sz w:val="18"/>
              </w:rPr>
              <w:t>pipeline_by_stage</w:t>
            </w:r>
          </w:p>
        </w:tc>
        <w:tc>
          <w:tcPr>
            <w:tcW w:type="dxa" w:w="6560"/>
            <w:vAlign w:val="center"/>
            <w:tcMar>
              <w:top w:w="90" w:type="dxa"/>
              <w:start w:w="120" w:type="dxa"/>
              <w:bottom w:w="90" w:type="dxa"/>
              <w:end w:w="120" w:type="dxa"/>
            </w:tcMar>
          </w:tcPr>
          <w:p>
            <w:pPr>
              <w:spacing w:after="0" w:line="269" w:lineRule="auto"/>
            </w:pPr>
            <w:r>
              <w:rPr>
                <w:rFonts w:ascii="Calibri" w:hAnsi="Calibri"/>
                <w:b w:val="0"/>
                <w:i w:val="0"/>
                <w:color w:val="20211D"/>
                <w:sz w:val="18"/>
              </w:rPr>
              <w:t>Open deal count, total value, and weighted value by stage.</w:t>
            </w:r>
          </w:p>
        </w:tc>
      </w:tr>
      <w:tr>
        <w:tc>
          <w:tcPr>
            <w:tcW w:type="dxa" w:w="2800"/>
            <w:vAlign w:val="center"/>
            <w:tcMar>
              <w:top w:w="90" w:type="dxa"/>
              <w:start w:w="120" w:type="dxa"/>
              <w:bottom w:w="90" w:type="dxa"/>
              <w:end w:w="120" w:type="dxa"/>
            </w:tcMar>
          </w:tcPr>
          <w:p>
            <w:pPr>
              <w:spacing w:after="0" w:line="269" w:lineRule="auto"/>
            </w:pPr>
            <w:r>
              <w:rPr>
                <w:rFonts w:ascii="Calibri" w:hAnsi="Calibri"/>
                <w:b w:val="0"/>
                <w:i w:val="0"/>
                <w:color w:val="20211D"/>
                <w:sz w:val="18"/>
              </w:rPr>
              <w:t>deal_conversion</w:t>
            </w:r>
          </w:p>
        </w:tc>
        <w:tc>
          <w:tcPr>
            <w:tcW w:type="dxa" w:w="6560"/>
            <w:vAlign w:val="center"/>
            <w:tcMar>
              <w:top w:w="90" w:type="dxa"/>
              <w:start w:w="120" w:type="dxa"/>
              <w:bottom w:w="90" w:type="dxa"/>
              <w:end w:w="120" w:type="dxa"/>
            </w:tcMar>
          </w:tcPr>
          <w:p>
            <w:pPr>
              <w:spacing w:after="0" w:line="269" w:lineRule="auto"/>
            </w:pPr>
            <w:r>
              <w:rPr>
                <w:rFonts w:ascii="Calibri" w:hAnsi="Calibri"/>
                <w:b w:val="0"/>
                <w:i w:val="0"/>
                <w:color w:val="20211D"/>
                <w:sz w:val="18"/>
              </w:rPr>
              <w:t>Won/lost counts and win rate by owner.</w:t>
            </w:r>
          </w:p>
        </w:tc>
      </w:tr>
      <w:tr>
        <w:tc>
          <w:tcPr>
            <w:tcW w:type="dxa" w:w="2800"/>
            <w:vAlign w:val="center"/>
            <w:tcMar>
              <w:top w:w="90" w:type="dxa"/>
              <w:start w:w="120" w:type="dxa"/>
              <w:bottom w:w="90" w:type="dxa"/>
              <w:end w:w="120" w:type="dxa"/>
            </w:tcMar>
          </w:tcPr>
          <w:p>
            <w:pPr>
              <w:spacing w:after="0" w:line="269" w:lineRule="auto"/>
            </w:pPr>
            <w:r>
              <w:rPr>
                <w:rFonts w:ascii="Calibri" w:hAnsi="Calibri"/>
                <w:b w:val="0"/>
                <w:i w:val="0"/>
                <w:color w:val="20211D"/>
                <w:sz w:val="18"/>
              </w:rPr>
              <w:t>average_sales_cycle</w:t>
            </w:r>
          </w:p>
        </w:tc>
        <w:tc>
          <w:tcPr>
            <w:tcW w:type="dxa" w:w="6560"/>
            <w:vAlign w:val="center"/>
            <w:tcMar>
              <w:top w:w="90" w:type="dxa"/>
              <w:start w:w="120" w:type="dxa"/>
              <w:bottom w:w="90" w:type="dxa"/>
              <w:end w:w="120" w:type="dxa"/>
            </w:tcMar>
          </w:tcPr>
          <w:p>
            <w:pPr>
              <w:spacing w:after="0" w:line="269" w:lineRule="auto"/>
            </w:pPr>
            <w:r>
              <w:rPr>
                <w:rFonts w:ascii="Calibri" w:hAnsi="Calibri"/>
                <w:b w:val="0"/>
                <w:i w:val="0"/>
                <w:color w:val="20211D"/>
                <w:sz w:val="18"/>
              </w:rPr>
              <w:t>Average days from creation to closed won.</w:t>
            </w:r>
          </w:p>
        </w:tc>
      </w:tr>
    </w:tbl>
    <w:p>
      <w:pPr>
        <w:spacing w:after="20"/>
      </w:pPr>
    </w:p>
    <w:p>
      <w:pPr>
        <w:pStyle w:val="Heading2"/>
        <w:keepNext/>
        <w:keepLines/>
        <w:widowControl/>
      </w:pPr>
      <w:r>
        <w:t>Functions and triggers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vAlign w:val="center"/>
            <w:tcMar>
              <w:top w:w="90" w:type="dxa"/>
              <w:start w:w="120" w:type="dxa"/>
              <w:bottom w:w="90" w:type="dxa"/>
              <w:end w:w="120" w:type="dxa"/>
            </w:tcMar>
          </w:tcPr>
          <w:p>
            <w:pPr>
              <w:spacing w:after="0"/>
            </w:pPr>
            <w:r>
              <w:rPr>
                <w:rFonts w:ascii="Calibri" w:hAnsi="Calibri"/>
                <w:b/>
                <w:i w:val="0"/>
                <w:color w:val="17221B"/>
                <w:sz w:val="17"/>
              </w:rPr>
              <w:t>Object</w:t>
            </w:r>
          </w:p>
        </w:tc>
        <w:tc>
          <w:tcPr>
            <w:tcW w:type="dxa" w:w="6360"/>
            <w:shd w:fill="E8EEF5"/>
            <w:vAlign w:val="center"/>
            <w:tcMar>
              <w:top w:w="90" w:type="dxa"/>
              <w:start w:w="120" w:type="dxa"/>
              <w:bottom w:w="90" w:type="dxa"/>
              <w:end w:w="120" w:type="dxa"/>
            </w:tcMar>
          </w:tcPr>
          <w:p>
            <w:pPr>
              <w:spacing w:after="0"/>
            </w:pPr>
            <w:r>
              <w:rPr>
                <w:rFonts w:ascii="Calibri" w:hAnsi="Calibri"/>
                <w:b/>
                <w:i w:val="0"/>
                <w:color w:val="17221B"/>
                <w:sz w:val="17"/>
              </w:rPr>
              <w:t>Security / purpose</w:t>
            </w:r>
          </w:p>
        </w:tc>
      </w:tr>
      <w:tr>
        <w:tc>
          <w:tcPr>
            <w:tcW w:type="dxa" w:w="3000"/>
            <w:vAlign w:val="center"/>
            <w:tcMar>
              <w:top w:w="90" w:type="dxa"/>
              <w:start w:w="120" w:type="dxa"/>
              <w:bottom w:w="90" w:type="dxa"/>
              <w:end w:w="120" w:type="dxa"/>
            </w:tcMar>
          </w:tcPr>
          <w:p>
            <w:pPr>
              <w:spacing w:after="0" w:line="269" w:lineRule="auto"/>
            </w:pPr>
            <w:r>
              <w:rPr>
                <w:rFonts w:ascii="Calibri" w:hAnsi="Calibri"/>
                <w:b w:val="0"/>
                <w:i w:val="0"/>
                <w:color w:val="20211D"/>
                <w:sz w:val="17"/>
              </w:rPr>
              <w:t>get_dashboard_analytics()</w:t>
            </w:r>
          </w:p>
        </w:tc>
        <w:tc>
          <w:tcPr>
            <w:tcW w:type="dxa" w:w="6360"/>
            <w:vAlign w:val="center"/>
            <w:tcMar>
              <w:top w:w="90" w:type="dxa"/>
              <w:start w:w="120" w:type="dxa"/>
              <w:bottom w:w="90" w:type="dxa"/>
              <w:end w:w="120" w:type="dxa"/>
            </w:tcMar>
          </w:tcPr>
          <w:p>
            <w:pPr>
              <w:spacing w:after="0" w:line="269" w:lineRule="auto"/>
            </w:pPr>
            <w:r>
              <w:rPr>
                <w:rFonts w:ascii="Calibri" w:hAnsi="Calibri"/>
                <w:b w:val="0"/>
                <w:i w:val="0"/>
                <w:color w:val="20211D"/>
                <w:sz w:val="17"/>
              </w:rPr>
              <w:t>SECURITY INVOKER; authenticated only; returns the complete chart-ready JSON payload.</w:t>
            </w:r>
          </w:p>
        </w:tc>
      </w:tr>
      <w:tr>
        <w:tc>
          <w:tcPr>
            <w:tcW w:type="dxa" w:w="3000"/>
            <w:vAlign w:val="center"/>
            <w:tcMar>
              <w:top w:w="90" w:type="dxa"/>
              <w:start w:w="120" w:type="dxa"/>
              <w:bottom w:w="90" w:type="dxa"/>
              <w:end w:w="120" w:type="dxa"/>
            </w:tcMar>
          </w:tcPr>
          <w:p>
            <w:pPr>
              <w:spacing w:after="0" w:line="269" w:lineRule="auto"/>
            </w:pPr>
            <w:r>
              <w:rPr>
                <w:rFonts w:ascii="Calibri" w:hAnsi="Calibri"/>
                <w:b w:val="0"/>
                <w:i w:val="0"/>
                <w:color w:val="20211D"/>
                <w:sz w:val="17"/>
              </w:rPr>
              <w:t>search_workspace(text)</w:t>
            </w:r>
          </w:p>
        </w:tc>
        <w:tc>
          <w:tcPr>
            <w:tcW w:type="dxa" w:w="6360"/>
            <w:vAlign w:val="center"/>
            <w:tcMar>
              <w:top w:w="90" w:type="dxa"/>
              <w:start w:w="120" w:type="dxa"/>
              <w:bottom w:w="90" w:type="dxa"/>
              <w:end w:w="120" w:type="dxa"/>
            </w:tcMar>
          </w:tcPr>
          <w:p>
            <w:pPr>
              <w:spacing w:after="0" w:line="269" w:lineRule="auto"/>
            </w:pPr>
            <w:r>
              <w:rPr>
                <w:rFonts w:ascii="Calibri" w:hAnsi="Calibri"/>
                <w:b w:val="0"/>
                <w:i w:val="0"/>
                <w:color w:val="20211D"/>
                <w:sz w:val="17"/>
              </w:rPr>
              <w:t>SECURITY INVOKER; authenticated only; at most 12 owner-scoped company, contact, and deal results.</w:t>
            </w:r>
          </w:p>
        </w:tc>
      </w:tr>
      <w:tr>
        <w:tc>
          <w:tcPr>
            <w:tcW w:type="dxa" w:w="3000"/>
            <w:vAlign w:val="center"/>
            <w:tcMar>
              <w:top w:w="90" w:type="dxa"/>
              <w:start w:w="120" w:type="dxa"/>
              <w:bottom w:w="90" w:type="dxa"/>
              <w:end w:w="120" w:type="dxa"/>
            </w:tcMar>
          </w:tcPr>
          <w:p>
            <w:pPr>
              <w:spacing w:after="0" w:line="269" w:lineRule="auto"/>
            </w:pPr>
            <w:r>
              <w:rPr>
                <w:rFonts w:ascii="Calibri" w:hAnsi="Calibri"/>
                <w:b w:val="0"/>
                <w:i w:val="0"/>
                <w:color w:val="20211D"/>
                <w:sz w:val="17"/>
              </w:rPr>
              <w:t>set_updated_at()</w:t>
            </w:r>
          </w:p>
        </w:tc>
        <w:tc>
          <w:tcPr>
            <w:tcW w:type="dxa" w:w="6360"/>
            <w:vAlign w:val="center"/>
            <w:tcMar>
              <w:top w:w="90" w:type="dxa"/>
              <w:start w:w="120" w:type="dxa"/>
              <w:bottom w:w="90" w:type="dxa"/>
              <w:end w:w="120" w:type="dxa"/>
            </w:tcMar>
          </w:tcPr>
          <w:p>
            <w:pPr>
              <w:spacing w:after="0" w:line="269" w:lineRule="auto"/>
            </w:pPr>
            <w:r>
              <w:rPr>
                <w:rFonts w:ascii="Calibri" w:hAnsi="Calibri"/>
                <w:b w:val="0"/>
                <w:i w:val="0"/>
                <w:color w:val="20211D"/>
                <w:sz w:val="17"/>
              </w:rPr>
              <w:t>Trigger function that maintains updated_at on every application table.</w:t>
            </w:r>
          </w:p>
        </w:tc>
      </w:tr>
      <w:tr>
        <w:tc>
          <w:tcPr>
            <w:tcW w:type="dxa" w:w="3000"/>
            <w:vAlign w:val="center"/>
            <w:tcMar>
              <w:top w:w="90" w:type="dxa"/>
              <w:start w:w="120" w:type="dxa"/>
              <w:bottom w:w="90" w:type="dxa"/>
              <w:end w:w="120" w:type="dxa"/>
            </w:tcMar>
          </w:tcPr>
          <w:p>
            <w:pPr>
              <w:spacing w:after="0" w:line="269" w:lineRule="auto"/>
            </w:pPr>
            <w:r>
              <w:rPr>
                <w:rFonts w:ascii="Calibri" w:hAnsi="Calibri"/>
                <w:b w:val="0"/>
                <w:i w:val="0"/>
                <w:color w:val="20211D"/>
                <w:sz w:val="17"/>
              </w:rPr>
              <w:t>handle_new_user()</w:t>
            </w:r>
          </w:p>
        </w:tc>
        <w:tc>
          <w:tcPr>
            <w:tcW w:type="dxa" w:w="6360"/>
            <w:vAlign w:val="center"/>
            <w:tcMar>
              <w:top w:w="90" w:type="dxa"/>
              <w:start w:w="120" w:type="dxa"/>
              <w:bottom w:w="90" w:type="dxa"/>
              <w:end w:w="120" w:type="dxa"/>
            </w:tcMar>
          </w:tcPr>
          <w:p>
            <w:pPr>
              <w:spacing w:after="0" w:line="269" w:lineRule="auto"/>
            </w:pPr>
            <w:r>
              <w:rPr>
                <w:rFonts w:ascii="Calibri" w:hAnsi="Calibri"/>
                <w:b w:val="0"/>
                <w:i w:val="0"/>
                <w:color w:val="20211D"/>
                <w:sz w:val="17"/>
              </w:rPr>
              <w:t>SECURITY DEFINER auth trigger that creates one profile for a new auth user.</w:t>
            </w:r>
          </w:p>
        </w:tc>
      </w:tr>
      <w:tr>
        <w:tc>
          <w:tcPr>
            <w:tcW w:type="dxa" w:w="3000"/>
            <w:vAlign w:val="center"/>
            <w:tcMar>
              <w:top w:w="90" w:type="dxa"/>
              <w:start w:w="120" w:type="dxa"/>
              <w:bottom w:w="90" w:type="dxa"/>
              <w:end w:w="120" w:type="dxa"/>
            </w:tcMar>
          </w:tcPr>
          <w:p>
            <w:pPr>
              <w:spacing w:after="0" w:line="269" w:lineRule="auto"/>
            </w:pPr>
            <w:r>
              <w:rPr>
                <w:rFonts w:ascii="Calibri" w:hAnsi="Calibri"/>
                <w:b w:val="0"/>
                <w:i w:val="0"/>
                <w:color w:val="20211D"/>
                <w:sz w:val="17"/>
              </w:rPr>
              <w:t>validate_owned_relationships()</w:t>
            </w:r>
          </w:p>
        </w:tc>
        <w:tc>
          <w:tcPr>
            <w:tcW w:type="dxa" w:w="6360"/>
            <w:vAlign w:val="center"/>
            <w:tcMar>
              <w:top w:w="90" w:type="dxa"/>
              <w:start w:w="120" w:type="dxa"/>
              <w:bottom w:w="90" w:type="dxa"/>
              <w:end w:w="120" w:type="dxa"/>
            </w:tcMar>
          </w:tcPr>
          <w:p>
            <w:pPr>
              <w:spacing w:after="0" w:line="269" w:lineRule="auto"/>
            </w:pPr>
            <w:r>
              <w:rPr>
                <w:rFonts w:ascii="Calibri" w:hAnsi="Calibri"/>
                <w:b w:val="0"/>
                <w:i w:val="0"/>
                <w:color w:val="20211D"/>
                <w:sz w:val="17"/>
              </w:rPr>
              <w:t>Rejects cross-owner company, contact, deal, activity, or tag references.</w:t>
            </w:r>
          </w:p>
        </w:tc>
      </w:tr>
    </w:tbl>
    <w:p>
      <w:pPr>
        <w:spacing w:after="20"/>
      </w:pPr>
    </w:p>
    <w:p>
      <w:pPr>
        <w:pStyle w:val="Heading1"/>
        <w:keepNext/>
        <w:keepLines/>
        <w:widowControl/>
      </w:pPr>
      <w:r>
        <w:t>10. Authentication and Row Level Security</w:t>
      </w:r>
    </w:p>
    <w:p>
      <w:pPr>
        <w:pStyle w:val="Heading2"/>
        <w:keepNext/>
        <w:keepLines/>
        <w:widowControl/>
      </w:pPr>
      <w:r>
        <w:t>Authentication lifecycle</w:t>
      </w:r>
    </w:p>
    <w:p>
      <w:pPr>
        <w:numPr>
          <w:ilvl w:val="0"/>
          <w:numId w:val="12"/>
        </w:numPr>
        <w:keepLines/>
        <w:widowControl/>
      </w:pPr>
      <w:r>
        <w:rPr>
          <w:rFonts w:ascii="Calibri" w:hAnsi="Calibri"/>
          <w:b w:val="0"/>
          <w:i w:val="0"/>
          <w:color w:val="20211D"/>
          <w:sz w:val="22"/>
        </w:rPr>
        <w:t>Registration sends full_name as user metadata and creates a profile through the auth trigger.</w:t>
      </w:r>
    </w:p>
    <w:p>
      <w:pPr>
        <w:numPr>
          <w:ilvl w:val="0"/>
          <w:numId w:val="12"/>
        </w:numPr>
        <w:keepLines/>
        <w:widowControl/>
      </w:pPr>
      <w:r>
        <w:rPr>
          <w:rFonts w:ascii="Calibri" w:hAnsi="Calibri"/>
          <w:b w:val="0"/>
          <w:i w:val="0"/>
          <w:color w:val="20211D"/>
          <w:sz w:val="22"/>
        </w:rPr>
        <w:t>When email confirmation is required, the form becomes a dedicated inbox-confirmation state.</w:t>
      </w:r>
    </w:p>
    <w:p>
      <w:pPr>
        <w:numPr>
          <w:ilvl w:val="0"/>
          <w:numId w:val="12"/>
        </w:numPr>
        <w:keepLines/>
        <w:widowControl/>
      </w:pPr>
      <w:r>
        <w:rPr>
          <w:rFonts w:ascii="Calibri" w:hAnsi="Calibri"/>
          <w:b w:val="0"/>
          <w:i w:val="0"/>
          <w:color w:val="20211D"/>
          <w:sz w:val="22"/>
        </w:rPr>
        <w:t>The callback exchanges the one-time code for a session and validates the next route before redirecting.</w:t>
      </w:r>
    </w:p>
    <w:p>
      <w:pPr>
        <w:numPr>
          <w:ilvl w:val="0"/>
          <w:numId w:val="12"/>
        </w:numPr>
        <w:keepLines/>
        <w:widowControl/>
      </w:pPr>
      <w:r>
        <w:rPr>
          <w:rFonts w:ascii="Calibri" w:hAnsi="Calibri"/>
          <w:b w:val="0"/>
          <w:i w:val="0"/>
          <w:color w:val="20211D"/>
          <w:sz w:val="22"/>
        </w:rPr>
        <w:t>Protected Server Components validate the current user before any repository read.</w:t>
      </w:r>
    </w:p>
    <w:p>
      <w:pPr>
        <w:numPr>
          <w:ilvl w:val="0"/>
          <w:numId w:val="12"/>
        </w:numPr>
        <w:keepLines/>
        <w:widowControl/>
      </w:pPr>
      <w:r>
        <w:rPr>
          <w:rFonts w:ascii="Calibri" w:hAnsi="Calibri"/>
          <w:b w:val="0"/>
          <w:i w:val="0"/>
          <w:color w:val="20211D"/>
          <w:sz w:val="22"/>
        </w:rPr>
        <w:t>Forgot password opens an email-only step; the recovery link returns through the callback to the new-password page.</w:t>
      </w:r>
    </w:p>
    <w:p>
      <w:pPr>
        <w:numPr>
          <w:ilvl w:val="0"/>
          <w:numId w:val="12"/>
        </w:numPr>
        <w:keepLines/>
        <w:widowControl/>
      </w:pPr>
      <w:r>
        <w:rPr>
          <w:rFonts w:ascii="Calibri" w:hAnsi="Calibri"/>
          <w:b w:val="0"/>
          <w:i w:val="0"/>
          <w:color w:val="20211D"/>
          <w:sz w:val="22"/>
        </w:rPr>
        <w:t>Sign-out clears the Supabase session and returns the user to login.</w:t>
      </w:r>
    </w:p>
    <w:p>
      <w:pPr>
        <w:pStyle w:val="Heading2"/>
        <w:keepNext/>
        <w:keepLines/>
        <w:widowControl/>
      </w:pPr>
      <w:r>
        <w:t>Policy model</w:t>
      </w:r>
    </w:p>
    <w:p>
      <w:pPr>
        <w:keepLines/>
        <w:widowControl/>
      </w:pPr>
      <w:r>
        <w:rPr>
          <w:rFonts w:ascii="Calibri" w:hAnsi="Calibri"/>
          <w:b w:val="0"/>
          <w:i w:val="0"/>
          <w:color w:val="20211D"/>
          <w:sz w:val="22"/>
        </w:rPr>
        <w:t xml:space="preserve">RLS is enabled on profiles, companies, contacts, deals, activities, tags, and deal_tags. Each table has four explicit authenticated policies: select, insert, update, and delete. Policies compare </w:t>
      </w:r>
      <w:r>
        <w:rPr>
          <w:rFonts w:ascii="Consolas" w:hAnsi="Consolas"/>
          <w:b w:val="0"/>
          <w:i w:val="0"/>
          <w:color w:val="20211D"/>
          <w:sz w:val="18"/>
        </w:rPr>
        <w:t>(select auth.uid())</w:t>
      </w:r>
      <w:r>
        <w:rPr>
          <w:rFonts w:ascii="Calibri" w:hAnsi="Calibri"/>
          <w:b w:val="0"/>
          <w:i w:val="0"/>
          <w:color w:val="20211D"/>
          <w:sz w:val="22"/>
        </w:rPr>
        <w:t xml:space="preserve"> with </w:t>
      </w:r>
      <w:r>
        <w:rPr>
          <w:rFonts w:ascii="Consolas" w:hAnsi="Consolas"/>
          <w:b w:val="0"/>
          <w:i w:val="0"/>
          <w:color w:val="20211D"/>
          <w:sz w:val="18"/>
        </w:rPr>
        <w:t>owner_id</w:t>
      </w:r>
      <w:r>
        <w:rPr>
          <w:rFonts w:ascii="Calibri" w:hAnsi="Calibri"/>
          <w:b w:val="0"/>
          <w:i w:val="0"/>
          <w:color w:val="20211D"/>
          <w:sz w:val="22"/>
        </w:rPr>
        <w:t>; inserts and updates also enforce the same value through WITH CHECK.</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vAlign w:val="center"/>
            <w:tcMar>
              <w:top w:w="90" w:type="dxa"/>
              <w:start w:w="120" w:type="dxa"/>
              <w:bottom w:w="90" w:type="dxa"/>
              <w:end w:w="120" w:type="dxa"/>
            </w:tcMar>
          </w:tcPr>
          <w:p>
            <w:pPr>
              <w:spacing w:after="0"/>
            </w:pPr>
            <w:r>
              <w:rPr>
                <w:rFonts w:ascii="Calibri" w:hAnsi="Calibri"/>
                <w:b/>
                <w:i w:val="0"/>
                <w:color w:val="17221B"/>
                <w:sz w:val="18"/>
              </w:rPr>
              <w:t>Operation</w:t>
            </w:r>
          </w:p>
        </w:tc>
        <w:tc>
          <w:tcPr>
            <w:tcW w:type="dxa" w:w="7560"/>
            <w:shd w:fill="E8EEF5"/>
            <w:vAlign w:val="center"/>
            <w:tcMar>
              <w:top w:w="90" w:type="dxa"/>
              <w:start w:w="120" w:type="dxa"/>
              <w:bottom w:w="90" w:type="dxa"/>
              <w:end w:w="120" w:type="dxa"/>
            </w:tcMar>
          </w:tcPr>
          <w:p>
            <w:pPr>
              <w:spacing w:after="0"/>
            </w:pPr>
            <w:r>
              <w:rPr>
                <w:rFonts w:ascii="Calibri" w:hAnsi="Calibri"/>
                <w:b/>
                <w:i w:val="0"/>
                <w:color w:val="17221B"/>
                <w:sz w:val="18"/>
              </w:rPr>
              <w:t>Rule</w:t>
            </w:r>
          </w:p>
        </w:tc>
      </w:tr>
      <w:tr>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8"/>
              </w:rPr>
              <w:t>SELECT</w:t>
            </w:r>
          </w:p>
        </w:tc>
        <w:tc>
          <w:tcPr>
            <w:tcW w:type="dxa" w:w="7560"/>
            <w:vAlign w:val="center"/>
            <w:tcMar>
              <w:top w:w="90" w:type="dxa"/>
              <w:start w:w="120" w:type="dxa"/>
              <w:bottom w:w="90" w:type="dxa"/>
              <w:end w:w="120" w:type="dxa"/>
            </w:tcMar>
          </w:tcPr>
          <w:p>
            <w:pPr>
              <w:spacing w:after="0" w:line="269" w:lineRule="auto"/>
            </w:pPr>
            <w:r>
              <w:rPr>
                <w:rFonts w:ascii="Calibri" w:hAnsi="Calibri"/>
                <w:b w:val="0"/>
                <w:i w:val="0"/>
                <w:color w:val="20211D"/>
                <w:sz w:val="18"/>
              </w:rPr>
              <w:t>Authenticated users can read rows only when auth.uid() equals owner_id.</w:t>
            </w:r>
          </w:p>
        </w:tc>
      </w:tr>
      <w:tr>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8"/>
              </w:rPr>
              <w:t>INSERT</w:t>
            </w:r>
          </w:p>
        </w:tc>
        <w:tc>
          <w:tcPr>
            <w:tcW w:type="dxa" w:w="7560"/>
            <w:vAlign w:val="center"/>
            <w:tcMar>
              <w:top w:w="90" w:type="dxa"/>
              <w:start w:w="120" w:type="dxa"/>
              <w:bottom w:w="90" w:type="dxa"/>
              <w:end w:w="120" w:type="dxa"/>
            </w:tcMar>
          </w:tcPr>
          <w:p>
            <w:pPr>
              <w:spacing w:after="0" w:line="269" w:lineRule="auto"/>
            </w:pPr>
            <w:r>
              <w:rPr>
                <w:rFonts w:ascii="Calibri" w:hAnsi="Calibri"/>
                <w:b w:val="0"/>
                <w:i w:val="0"/>
                <w:color w:val="20211D"/>
                <w:sz w:val="18"/>
              </w:rPr>
              <w:t>The new row must carry the authenticated user's owner_id.</w:t>
            </w:r>
          </w:p>
        </w:tc>
      </w:tr>
      <w:tr>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8"/>
              </w:rPr>
              <w:t>UPDATE</w:t>
            </w:r>
          </w:p>
        </w:tc>
        <w:tc>
          <w:tcPr>
            <w:tcW w:type="dxa" w:w="7560"/>
            <w:vAlign w:val="center"/>
            <w:tcMar>
              <w:top w:w="90" w:type="dxa"/>
              <w:start w:w="120" w:type="dxa"/>
              <w:bottom w:w="90" w:type="dxa"/>
              <w:end w:w="120" w:type="dxa"/>
            </w:tcMar>
          </w:tcPr>
          <w:p>
            <w:pPr>
              <w:spacing w:after="0" w:line="269" w:lineRule="auto"/>
            </w:pPr>
            <w:r>
              <w:rPr>
                <w:rFonts w:ascii="Calibri" w:hAnsi="Calibri"/>
                <w:b w:val="0"/>
                <w:i w:val="0"/>
                <w:color w:val="20211D"/>
                <w:sz w:val="18"/>
              </w:rPr>
              <w:t>The existing and resulting row must both remain owned by the authenticated user.</w:t>
            </w:r>
          </w:p>
        </w:tc>
      </w:tr>
      <w:tr>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8"/>
              </w:rPr>
              <w:t>DELETE</w:t>
            </w:r>
          </w:p>
        </w:tc>
        <w:tc>
          <w:tcPr>
            <w:tcW w:type="dxa" w:w="7560"/>
            <w:vAlign w:val="center"/>
            <w:tcMar>
              <w:top w:w="90" w:type="dxa"/>
              <w:start w:w="120" w:type="dxa"/>
              <w:bottom w:w="90" w:type="dxa"/>
              <w:end w:w="120" w:type="dxa"/>
            </w:tcMar>
          </w:tcPr>
          <w:p>
            <w:pPr>
              <w:spacing w:after="0" w:line="269" w:lineRule="auto"/>
            </w:pPr>
            <w:r>
              <w:rPr>
                <w:rFonts w:ascii="Calibri" w:hAnsi="Calibri"/>
                <w:b w:val="0"/>
                <w:i w:val="0"/>
                <w:color w:val="20211D"/>
                <w:sz w:val="18"/>
              </w:rPr>
              <w:t>Only an owner-visible row can be deleted.</w:t>
            </w:r>
          </w:p>
        </w:tc>
      </w:tr>
    </w:tbl>
    <w:p>
      <w:pPr>
        <w:spacing w:after="20"/>
      </w:pPr>
    </w:p>
    <w:p>
      <w:pPr>
        <w:pStyle w:val="Heading2"/>
        <w:keepNext/>
        <w:keepLines/>
        <w:widowControl/>
      </w:pPr>
      <w:r>
        <w:t>Defense in depth</w:t>
      </w:r>
    </w:p>
    <w:p>
      <w:pPr>
        <w:pStyle w:val="ListBullet"/>
        <w:keepLines/>
        <w:widowControl/>
      </w:pPr>
      <w:r>
        <w:rPr>
          <w:rFonts w:ascii="Calibri" w:hAnsi="Calibri"/>
          <w:b w:val="0"/>
          <w:i w:val="0"/>
          <w:color w:val="20211D"/>
          <w:sz w:val="22"/>
        </w:rPr>
        <w:t>Relationship triggers reject foreign keys that point into another user's workspace.</w:t>
      </w:r>
    </w:p>
    <w:p>
      <w:pPr>
        <w:pStyle w:val="ListBullet"/>
        <w:keepLines/>
        <w:widowControl/>
      </w:pPr>
      <w:r>
        <w:rPr>
          <w:rFonts w:ascii="Calibri" w:hAnsi="Calibri"/>
          <w:b w:val="0"/>
          <w:i w:val="0"/>
          <w:color w:val="20211D"/>
          <w:sz w:val="22"/>
        </w:rPr>
        <w:t>Analytics views use security_invoker so their table reads retain RLS.</w:t>
      </w:r>
    </w:p>
    <w:p>
      <w:pPr>
        <w:pStyle w:val="ListBullet"/>
        <w:keepLines/>
        <w:widowControl/>
      </w:pPr>
      <w:r>
        <w:rPr>
          <w:rFonts w:ascii="Calibri" w:hAnsi="Calibri"/>
          <w:b w:val="0"/>
          <w:i w:val="0"/>
          <w:color w:val="20211D"/>
          <w:sz w:val="22"/>
        </w:rPr>
        <w:t>Analytics and search execution is revoked from PUBLIC and anon, then granted only to authenticated.</w:t>
      </w:r>
    </w:p>
    <w:p>
      <w:pPr>
        <w:pStyle w:val="ListBullet"/>
        <w:keepLines/>
        <w:widowControl/>
      </w:pPr>
      <w:r>
        <w:rPr>
          <w:rFonts w:ascii="Calibri" w:hAnsi="Calibri"/>
          <w:b w:val="0"/>
          <w:i w:val="0"/>
          <w:color w:val="20211D"/>
          <w:sz w:val="22"/>
        </w:rPr>
        <w:t>The service-role key is absent from the frontend and documentation.</w:t>
      </w:r>
    </w:p>
    <w:p>
      <w:pPr>
        <w:pStyle w:val="Heading1"/>
        <w:keepNext/>
        <w:keepLines/>
        <w:widowControl/>
      </w:pPr>
      <w:r>
        <w:t>11. Advanced feature verification</w:t>
      </w:r>
    </w:p>
    <w:p>
      <w:pPr>
        <w:keepLines/>
        <w:spacing w:before="100" w:after="200"/>
        <w:ind w:left="173" w:right="173"/>
        <w:shd w:fill="EEF5DF"/>
        <w:pBdr>
          <w:left w:val="single" w:sz="18" w:space="6" w:color="66852E"/>
        </w:pBdr>
      </w:pPr>
      <w:r>
        <w:rPr>
          <w:rFonts w:ascii="Calibri" w:hAnsi="Calibri"/>
          <w:b/>
          <w:i w:val="0"/>
          <w:color w:val="66852E"/>
          <w:sz w:val="18"/>
        </w:rPr>
        <w:t>SELECTED ADVANCED FEATURES</w:t>
        <w:br/>
      </w:r>
      <w:r>
        <w:rPr>
          <w:rFonts w:ascii="Calibri" w:hAnsi="Calibri"/>
          <w:b w:val="0"/>
          <w:i w:val="0"/>
          <w:color w:val="20211D"/>
          <w:sz w:val="21"/>
        </w:rPr>
        <w:t>PipelineOS implements authentication plus owner-isolated RLS and server-computed SQL analytics. This exceeds the requirement to choose one advanced option.</w:t>
      </w:r>
    </w:p>
    <w:p>
      <w:pPr>
        <w:pStyle w:val="Heading2"/>
        <w:keepNext/>
        <w:keepLines/>
        <w:widowControl/>
      </w:pPr>
      <w:r>
        <w:t>Two-account security test</w:t>
      </w:r>
    </w:p>
    <w:p>
      <w:pPr>
        <w:numPr>
          <w:ilvl w:val="0"/>
          <w:numId w:val="13"/>
        </w:numPr>
        <w:keepLines/>
        <w:widowControl/>
      </w:pPr>
      <w:r>
        <w:rPr>
          <w:rFonts w:ascii="Calibri" w:hAnsi="Calibri"/>
          <w:b w:val="0"/>
          <w:i w:val="0"/>
          <w:color w:val="20211D"/>
          <w:sz w:val="22"/>
        </w:rPr>
        <w:t>Sign in as Alex, create representative company, contact, deal, activity, and tag rows, and record only their UUIDs.</w:t>
      </w:r>
    </w:p>
    <w:p>
      <w:pPr>
        <w:numPr>
          <w:ilvl w:val="0"/>
          <w:numId w:val="13"/>
        </w:numPr>
        <w:keepLines/>
        <w:widowControl/>
      </w:pPr>
      <w:r>
        <w:rPr>
          <w:rFonts w:ascii="Calibri" w:hAnsi="Calibri"/>
          <w:b w:val="0"/>
          <w:i w:val="0"/>
          <w:color w:val="20211D"/>
          <w:sz w:val="22"/>
        </w:rPr>
        <w:t>Sign out and sign in as Sam. List every table and request Alex's recorded UUIDs directly.</w:t>
      </w:r>
    </w:p>
    <w:p>
      <w:pPr>
        <w:numPr>
          <w:ilvl w:val="0"/>
          <w:numId w:val="13"/>
        </w:numPr>
        <w:keepLines/>
        <w:widowControl/>
      </w:pPr>
      <w:r>
        <w:rPr>
          <w:rFonts w:ascii="Calibri" w:hAnsi="Calibri"/>
          <w:b w:val="0"/>
          <w:i w:val="0"/>
          <w:color w:val="20211D"/>
          <w:sz w:val="22"/>
        </w:rPr>
        <w:t>Attempt to update or delete Alex's UUIDs and attempt to create Sam-owned rows linked to Alex-owned foreign keys.</w:t>
      </w:r>
    </w:p>
    <w:p>
      <w:pPr>
        <w:numPr>
          <w:ilvl w:val="0"/>
          <w:numId w:val="13"/>
        </w:numPr>
        <w:keepLines/>
        <w:widowControl/>
      </w:pPr>
      <w:r>
        <w:rPr>
          <w:rFonts w:ascii="Calibri" w:hAnsi="Calibri"/>
          <w:b w:val="0"/>
          <w:i w:val="0"/>
          <w:color w:val="20211D"/>
          <w:sz w:val="22"/>
        </w:rPr>
        <w:t>Call the analytics and search RPCs from each account and repeat anonymous calls without a session.</w:t>
      </w:r>
    </w:p>
    <w:p>
      <w:pPr>
        <w:numPr>
          <w:ilvl w:val="0"/>
          <w:numId w:val="13"/>
        </w:numPr>
        <w:keepLines/>
        <w:widowControl/>
      </w:pPr>
      <w:r>
        <w:rPr>
          <w:rFonts w:ascii="Calibri" w:hAnsi="Calibri"/>
          <w:b w:val="0"/>
          <w:i w:val="0"/>
          <w:color w:val="20211D"/>
          <w:sz w:val="22"/>
        </w:rPr>
        <w:t>Return to Alex and verify the original rows remain unchanged.</w:t>
      </w:r>
    </w:p>
    <w:p>
      <w:pPr>
        <w:pStyle w:val="Heading2"/>
        <w:keepNext/>
        <w:keepLines/>
        <w:widowControl/>
      </w:pPr>
      <w:r>
        <w:t>Hosted evidence</w:t>
      </w:r>
    </w:p>
    <w:tbl>
      <w:tblPr>
        <w:tblStyle w:val="TableGrid"/>
        <w:tblW w:type="dxa" w:w="9360"/>
        <w:jc w:val="left"/>
        <w:tblLayout w:type="fixed"/>
        <w:tblLook w:firstColumn="1" w:firstRow="1" w:lastColumn="0" w:lastRow="0" w:noHBand="0" w:noVBand="1" w:val="04A0"/>
        <w:tblInd w:w="120" w:type="dxa"/>
      </w:tblPr>
      <w:tblGrid>
        <w:gridCol w:w="2700"/>
        <w:gridCol w:w="1500"/>
        <w:gridCol w:w="1500"/>
        <w:gridCol w:w="3660"/>
      </w:tblGrid>
      <w:tr>
        <w:trPr>
          <w:tblHeader w:val="true"/>
        </w:trPr>
        <w:tc>
          <w:tcPr>
            <w:tcW w:type="dxa" w:w="2700"/>
            <w:shd w:fill="D8FF72"/>
            <w:vAlign w:val="center"/>
            <w:tcMar>
              <w:top w:w="90" w:type="dxa"/>
              <w:start w:w="120" w:type="dxa"/>
              <w:bottom w:w="90" w:type="dxa"/>
              <w:end w:w="120" w:type="dxa"/>
            </w:tcMar>
          </w:tcPr>
          <w:p>
            <w:pPr>
              <w:spacing w:after="0"/>
            </w:pPr>
            <w:r>
              <w:rPr>
                <w:rFonts w:ascii="Calibri" w:hAnsi="Calibri"/>
                <w:b/>
                <w:i w:val="0"/>
                <w:color w:val="17221B"/>
                <w:sz w:val="16"/>
              </w:rPr>
              <w:t>Check</w:t>
            </w:r>
          </w:p>
        </w:tc>
        <w:tc>
          <w:tcPr>
            <w:tcW w:type="dxa" w:w="1500"/>
            <w:shd w:fill="D8FF72"/>
            <w:vAlign w:val="center"/>
            <w:tcMar>
              <w:top w:w="90" w:type="dxa"/>
              <w:start w:w="120" w:type="dxa"/>
              <w:bottom w:w="90" w:type="dxa"/>
              <w:end w:w="120" w:type="dxa"/>
            </w:tcMar>
          </w:tcPr>
          <w:p>
            <w:pPr>
              <w:spacing w:after="0"/>
            </w:pPr>
            <w:r>
              <w:rPr>
                <w:rFonts w:ascii="Calibri" w:hAnsi="Calibri"/>
                <w:b/>
                <w:i w:val="0"/>
                <w:color w:val="17221B"/>
                <w:sz w:val="16"/>
              </w:rPr>
              <w:t>Alex</w:t>
            </w:r>
          </w:p>
        </w:tc>
        <w:tc>
          <w:tcPr>
            <w:tcW w:type="dxa" w:w="1500"/>
            <w:shd w:fill="D8FF72"/>
            <w:vAlign w:val="center"/>
            <w:tcMar>
              <w:top w:w="90" w:type="dxa"/>
              <w:start w:w="120" w:type="dxa"/>
              <w:bottom w:w="90" w:type="dxa"/>
              <w:end w:w="120" w:type="dxa"/>
            </w:tcMar>
          </w:tcPr>
          <w:p>
            <w:pPr>
              <w:spacing w:after="0"/>
            </w:pPr>
            <w:r>
              <w:rPr>
                <w:rFonts w:ascii="Calibri" w:hAnsi="Calibri"/>
                <w:b/>
                <w:i w:val="0"/>
                <w:color w:val="17221B"/>
                <w:sz w:val="16"/>
              </w:rPr>
              <w:t>Sam</w:t>
            </w:r>
          </w:p>
        </w:tc>
        <w:tc>
          <w:tcPr>
            <w:tcW w:type="dxa" w:w="3660"/>
            <w:shd w:fill="D8FF72"/>
            <w:vAlign w:val="center"/>
            <w:tcMar>
              <w:top w:w="90" w:type="dxa"/>
              <w:start w:w="120" w:type="dxa"/>
              <w:bottom w:w="90" w:type="dxa"/>
              <w:end w:w="120" w:type="dxa"/>
            </w:tcMar>
          </w:tcPr>
          <w:p>
            <w:pPr>
              <w:spacing w:after="0"/>
            </w:pPr>
            <w:r>
              <w:rPr>
                <w:rFonts w:ascii="Calibri" w:hAnsi="Calibri"/>
                <w:b/>
                <w:i w:val="0"/>
                <w:color w:val="17221B"/>
                <w:sz w:val="16"/>
              </w:rPr>
              <w:t>Expected boundary</w:t>
            </w:r>
          </w:p>
        </w:tc>
      </w:tr>
      <w:tr>
        <w:tc>
          <w:tcPr>
            <w:tcW w:type="dxa" w:w="2700"/>
            <w:vAlign w:val="center"/>
            <w:tcMar>
              <w:top w:w="90" w:type="dxa"/>
              <w:start w:w="120" w:type="dxa"/>
              <w:bottom w:w="90" w:type="dxa"/>
              <w:end w:w="120" w:type="dxa"/>
            </w:tcMar>
          </w:tcPr>
          <w:p>
            <w:pPr>
              <w:spacing w:after="0" w:line="269" w:lineRule="auto"/>
            </w:pPr>
            <w:r>
              <w:rPr>
                <w:rFonts w:ascii="Calibri" w:hAnsi="Calibri"/>
                <w:b w:val="0"/>
                <w:i w:val="0"/>
                <w:color w:val="20211D"/>
                <w:sz w:val="16"/>
              </w:rPr>
              <w:t>Companies visible</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9</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4</w:t>
            </w:r>
          </w:p>
        </w:tc>
        <w:tc>
          <w:tcPr>
            <w:tcW w:type="dxa" w:w="3660"/>
            <w:vAlign w:val="center"/>
            <w:tcMar>
              <w:top w:w="90" w:type="dxa"/>
              <w:start w:w="120" w:type="dxa"/>
              <w:bottom w:w="90" w:type="dxa"/>
              <w:end w:w="120" w:type="dxa"/>
            </w:tcMar>
          </w:tcPr>
          <w:p>
            <w:pPr>
              <w:spacing w:after="0" w:line="269" w:lineRule="auto"/>
            </w:pPr>
            <w:r>
              <w:rPr>
                <w:rFonts w:ascii="Calibri" w:hAnsi="Calibri"/>
                <w:b w:val="0"/>
                <w:i w:val="0"/>
                <w:color w:val="20211D"/>
                <w:sz w:val="16"/>
              </w:rPr>
              <w:t>Each sees only own rows</w:t>
            </w:r>
          </w:p>
        </w:tc>
      </w:tr>
      <w:tr>
        <w:tc>
          <w:tcPr>
            <w:tcW w:type="dxa" w:w="2700"/>
            <w:vAlign w:val="center"/>
            <w:tcMar>
              <w:top w:w="90" w:type="dxa"/>
              <w:start w:w="120" w:type="dxa"/>
              <w:bottom w:w="90" w:type="dxa"/>
              <w:end w:w="120" w:type="dxa"/>
            </w:tcMar>
          </w:tcPr>
          <w:p>
            <w:pPr>
              <w:spacing w:after="0" w:line="269" w:lineRule="auto"/>
            </w:pPr>
            <w:r>
              <w:rPr>
                <w:rFonts w:ascii="Calibri" w:hAnsi="Calibri"/>
                <w:b w:val="0"/>
                <w:i w:val="0"/>
                <w:color w:val="20211D"/>
                <w:sz w:val="16"/>
              </w:rPr>
              <w:t>Contacts visible</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9</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3</w:t>
            </w:r>
          </w:p>
        </w:tc>
        <w:tc>
          <w:tcPr>
            <w:tcW w:type="dxa" w:w="3660"/>
            <w:vAlign w:val="center"/>
            <w:tcMar>
              <w:top w:w="90" w:type="dxa"/>
              <w:start w:w="120" w:type="dxa"/>
              <w:bottom w:w="90" w:type="dxa"/>
              <w:end w:w="120" w:type="dxa"/>
            </w:tcMar>
          </w:tcPr>
          <w:p>
            <w:pPr>
              <w:spacing w:after="0" w:line="269" w:lineRule="auto"/>
            </w:pPr>
            <w:r>
              <w:rPr>
                <w:rFonts w:ascii="Calibri" w:hAnsi="Calibri"/>
                <w:b w:val="0"/>
                <w:i w:val="0"/>
                <w:color w:val="20211D"/>
                <w:sz w:val="16"/>
              </w:rPr>
              <w:t>Each sees only own rows</w:t>
            </w:r>
          </w:p>
        </w:tc>
      </w:tr>
      <w:tr>
        <w:tc>
          <w:tcPr>
            <w:tcW w:type="dxa" w:w="2700"/>
            <w:vAlign w:val="center"/>
            <w:tcMar>
              <w:top w:w="90" w:type="dxa"/>
              <w:start w:w="120" w:type="dxa"/>
              <w:bottom w:w="90" w:type="dxa"/>
              <w:end w:w="120" w:type="dxa"/>
            </w:tcMar>
          </w:tcPr>
          <w:p>
            <w:pPr>
              <w:spacing w:after="0" w:line="269" w:lineRule="auto"/>
            </w:pPr>
            <w:r>
              <w:rPr>
                <w:rFonts w:ascii="Calibri" w:hAnsi="Calibri"/>
                <w:b w:val="0"/>
                <w:i w:val="0"/>
                <w:color w:val="20211D"/>
                <w:sz w:val="16"/>
              </w:rPr>
              <w:t>Deals visible</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13</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7</w:t>
            </w:r>
          </w:p>
        </w:tc>
        <w:tc>
          <w:tcPr>
            <w:tcW w:type="dxa" w:w="3660"/>
            <w:vAlign w:val="center"/>
            <w:tcMar>
              <w:top w:w="90" w:type="dxa"/>
              <w:start w:w="120" w:type="dxa"/>
              <w:bottom w:w="90" w:type="dxa"/>
              <w:end w:w="120" w:type="dxa"/>
            </w:tcMar>
          </w:tcPr>
          <w:p>
            <w:pPr>
              <w:spacing w:after="0" w:line="269" w:lineRule="auto"/>
            </w:pPr>
            <w:r>
              <w:rPr>
                <w:rFonts w:ascii="Calibri" w:hAnsi="Calibri"/>
                <w:b w:val="0"/>
                <w:i w:val="0"/>
                <w:color w:val="20211D"/>
                <w:sz w:val="16"/>
              </w:rPr>
              <w:t>Each sees only own rows</w:t>
            </w:r>
          </w:p>
        </w:tc>
      </w:tr>
      <w:tr>
        <w:tc>
          <w:tcPr>
            <w:tcW w:type="dxa" w:w="2700"/>
            <w:vAlign w:val="center"/>
            <w:tcMar>
              <w:top w:w="90" w:type="dxa"/>
              <w:start w:w="120" w:type="dxa"/>
              <w:bottom w:w="90" w:type="dxa"/>
              <w:end w:w="120" w:type="dxa"/>
            </w:tcMar>
          </w:tcPr>
          <w:p>
            <w:pPr>
              <w:spacing w:after="0" w:line="269" w:lineRule="auto"/>
            </w:pPr>
            <w:r>
              <w:rPr>
                <w:rFonts w:ascii="Calibri" w:hAnsi="Calibri"/>
                <w:b w:val="0"/>
                <w:i w:val="0"/>
                <w:color w:val="20211D"/>
                <w:sz w:val="16"/>
              </w:rPr>
              <w:t>Activities visible</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13</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8</w:t>
            </w:r>
          </w:p>
        </w:tc>
        <w:tc>
          <w:tcPr>
            <w:tcW w:type="dxa" w:w="3660"/>
            <w:vAlign w:val="center"/>
            <w:tcMar>
              <w:top w:w="90" w:type="dxa"/>
              <w:start w:w="120" w:type="dxa"/>
              <w:bottom w:w="90" w:type="dxa"/>
              <w:end w:w="120" w:type="dxa"/>
            </w:tcMar>
          </w:tcPr>
          <w:p>
            <w:pPr>
              <w:spacing w:after="0" w:line="269" w:lineRule="auto"/>
            </w:pPr>
            <w:r>
              <w:rPr>
                <w:rFonts w:ascii="Calibri" w:hAnsi="Calibri"/>
                <w:b w:val="0"/>
                <w:i w:val="0"/>
                <w:color w:val="20211D"/>
                <w:sz w:val="16"/>
              </w:rPr>
              <w:t>Each sees only own rows</w:t>
            </w:r>
          </w:p>
        </w:tc>
      </w:tr>
      <w:tr>
        <w:tc>
          <w:tcPr>
            <w:tcW w:type="dxa" w:w="2700"/>
            <w:vAlign w:val="center"/>
            <w:tcMar>
              <w:top w:w="90" w:type="dxa"/>
              <w:start w:w="120" w:type="dxa"/>
              <w:bottom w:w="90" w:type="dxa"/>
              <w:end w:w="120" w:type="dxa"/>
            </w:tcMar>
          </w:tcPr>
          <w:p>
            <w:pPr>
              <w:spacing w:after="0" w:line="269" w:lineRule="auto"/>
            </w:pPr>
            <w:r>
              <w:rPr>
                <w:rFonts w:ascii="Calibri" w:hAnsi="Calibri"/>
                <w:b w:val="0"/>
                <w:i w:val="0"/>
                <w:color w:val="20211D"/>
                <w:sz w:val="16"/>
              </w:rPr>
              <w:t>Tags visible</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3</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2</w:t>
            </w:r>
          </w:p>
        </w:tc>
        <w:tc>
          <w:tcPr>
            <w:tcW w:type="dxa" w:w="3660"/>
            <w:vAlign w:val="center"/>
            <w:tcMar>
              <w:top w:w="90" w:type="dxa"/>
              <w:start w:w="120" w:type="dxa"/>
              <w:bottom w:w="90" w:type="dxa"/>
              <w:end w:w="120" w:type="dxa"/>
            </w:tcMar>
          </w:tcPr>
          <w:p>
            <w:pPr>
              <w:spacing w:after="0" w:line="269" w:lineRule="auto"/>
            </w:pPr>
            <w:r>
              <w:rPr>
                <w:rFonts w:ascii="Calibri" w:hAnsi="Calibri"/>
                <w:b w:val="0"/>
                <w:i w:val="0"/>
                <w:color w:val="20211D"/>
                <w:sz w:val="16"/>
              </w:rPr>
              <w:t>Each sees only own rows</w:t>
            </w:r>
          </w:p>
        </w:tc>
      </w:tr>
      <w:tr>
        <w:tc>
          <w:tcPr>
            <w:tcW w:type="dxa" w:w="2700"/>
            <w:vAlign w:val="center"/>
            <w:tcMar>
              <w:top w:w="90" w:type="dxa"/>
              <w:start w:w="120" w:type="dxa"/>
              <w:bottom w:w="90" w:type="dxa"/>
              <w:end w:w="120" w:type="dxa"/>
            </w:tcMar>
          </w:tcPr>
          <w:p>
            <w:pPr>
              <w:spacing w:after="0" w:line="269" w:lineRule="auto"/>
            </w:pPr>
            <w:r>
              <w:rPr>
                <w:rFonts w:ascii="Calibri" w:hAnsi="Calibri"/>
                <w:b w:val="0"/>
                <w:i w:val="0"/>
                <w:color w:val="20211D"/>
                <w:sz w:val="16"/>
              </w:rPr>
              <w:t>Other user's companies</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0</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0</w:t>
            </w:r>
          </w:p>
        </w:tc>
        <w:tc>
          <w:tcPr>
            <w:tcW w:type="dxa" w:w="3660"/>
            <w:vAlign w:val="center"/>
            <w:tcMar>
              <w:top w:w="90" w:type="dxa"/>
              <w:start w:w="120" w:type="dxa"/>
              <w:bottom w:w="90" w:type="dxa"/>
              <w:end w:w="120" w:type="dxa"/>
            </w:tcMar>
          </w:tcPr>
          <w:p>
            <w:pPr>
              <w:spacing w:after="0" w:line="269" w:lineRule="auto"/>
            </w:pPr>
            <w:r>
              <w:rPr>
                <w:rFonts w:ascii="Calibri" w:hAnsi="Calibri"/>
                <w:b w:val="0"/>
                <w:i w:val="0"/>
                <w:color w:val="20211D"/>
                <w:sz w:val="16"/>
              </w:rPr>
              <w:t>Direct owner queries return zero</w:t>
            </w:r>
          </w:p>
        </w:tc>
      </w:tr>
      <w:tr>
        <w:tc>
          <w:tcPr>
            <w:tcW w:type="dxa" w:w="2700"/>
            <w:vAlign w:val="center"/>
            <w:tcMar>
              <w:top w:w="90" w:type="dxa"/>
              <w:start w:w="120" w:type="dxa"/>
              <w:bottom w:w="90" w:type="dxa"/>
              <w:end w:w="120" w:type="dxa"/>
            </w:tcMar>
          </w:tcPr>
          <w:p>
            <w:pPr>
              <w:spacing w:after="0" w:line="269" w:lineRule="auto"/>
            </w:pPr>
            <w:r>
              <w:rPr>
                <w:rFonts w:ascii="Calibri" w:hAnsi="Calibri"/>
                <w:b w:val="0"/>
                <w:i w:val="0"/>
                <w:color w:val="20211D"/>
                <w:sz w:val="16"/>
              </w:rPr>
              <w:t>Analytics RPC</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Account-specific</w:t>
            </w:r>
          </w:p>
        </w:tc>
        <w:tc>
          <w:tcPr>
            <w:tcW w:type="dxa" w:w="1500"/>
            <w:vAlign w:val="center"/>
            <w:tcMar>
              <w:top w:w="90" w:type="dxa"/>
              <w:start w:w="120" w:type="dxa"/>
              <w:bottom w:w="90" w:type="dxa"/>
              <w:end w:w="120" w:type="dxa"/>
            </w:tcMar>
          </w:tcPr>
          <w:p>
            <w:pPr>
              <w:spacing w:after="0" w:line="269" w:lineRule="auto"/>
            </w:pPr>
            <w:r>
              <w:rPr>
                <w:rFonts w:ascii="Calibri" w:hAnsi="Calibri"/>
                <w:b w:val="0"/>
                <w:i w:val="0"/>
                <w:color w:val="20211D"/>
                <w:sz w:val="16"/>
              </w:rPr>
              <w:t>Account-specific</w:t>
            </w:r>
          </w:p>
        </w:tc>
        <w:tc>
          <w:tcPr>
            <w:tcW w:type="dxa" w:w="3660"/>
            <w:vAlign w:val="center"/>
            <w:tcMar>
              <w:top w:w="90" w:type="dxa"/>
              <w:start w:w="120" w:type="dxa"/>
              <w:bottom w:w="90" w:type="dxa"/>
              <w:end w:w="120" w:type="dxa"/>
            </w:tcMar>
          </w:tcPr>
          <w:p>
            <w:pPr>
              <w:spacing w:after="0" w:line="269" w:lineRule="auto"/>
            </w:pPr>
            <w:r>
              <w:rPr>
                <w:rFonts w:ascii="Calibri" w:hAnsi="Calibri"/>
                <w:b w:val="0"/>
                <w:i w:val="0"/>
                <w:color w:val="20211D"/>
                <w:sz w:val="16"/>
              </w:rPr>
              <w:t>RLS-scoped aggregates</w:t>
            </w:r>
          </w:p>
        </w:tc>
      </w:tr>
    </w:tbl>
    <w:p>
      <w:pPr>
        <w:spacing w:after="20"/>
      </w:pPr>
    </w:p>
    <w:p>
      <w:pPr>
        <w:keepLines/>
        <w:widowControl/>
      </w:pPr>
      <w:r>
        <w:rPr>
          <w:rFonts w:ascii="Calibri" w:hAnsi="Calibri"/>
          <w:b w:val="0"/>
          <w:i w:val="0"/>
          <w:color w:val="20211D"/>
          <w:sz w:val="22"/>
        </w:rPr>
        <w:t>Additional evidence: anonymous inserts return PostgreSQL error 42501; anonymous analytics and search calls return HTTP 401; cross-owner activity and deal-tag writes are rejected. Reversible hosted CRUD checks passed for companies, contacts, deals, activities, tags, and deal_tags, and all temporary rows were removed.</w:t>
      </w:r>
    </w:p>
    <w:p>
      <w:pPr>
        <w:pStyle w:val="Heading1"/>
        <w:pageBreakBefore/>
        <w:keepNext/>
        <w:keepLines/>
        <w:widowControl/>
      </w:pPr>
      <w:r>
        <w:t>12. Server-computed analytics</w:t>
      </w:r>
    </w:p>
    <w:p>
      <w:pPr>
        <w:keepLines/>
        <w:widowControl/>
      </w:pPr>
      <w:r>
        <w:rPr>
          <w:rFonts w:ascii="Calibri" w:hAnsi="Calibri"/>
          <w:b w:val="0"/>
          <w:i w:val="0"/>
          <w:color w:val="20211D"/>
          <w:sz w:val="22"/>
        </w:rPr>
        <w:t xml:space="preserve">The frontend does not download the entire pipeline and recompute business metrics in React. PostgreSQL filters the authenticated owner's rows, aggregates the results near the data, and returns one JSON payload through </w:t>
      </w:r>
      <w:r>
        <w:rPr>
          <w:rFonts w:ascii="Consolas" w:hAnsi="Consolas"/>
          <w:b w:val="0"/>
          <w:i w:val="0"/>
          <w:color w:val="20211D"/>
          <w:sz w:val="18"/>
        </w:rPr>
        <w:t>get_dashboard_analytics()</w:t>
      </w:r>
      <w:r>
        <w:rPr>
          <w:rFonts w:ascii="Calibri" w:hAnsi="Calibri"/>
          <w:b w:val="0"/>
          <w:i w:val="0"/>
          <w:color w:val="20211D"/>
          <w:sz w:val="22"/>
        </w:rPr>
        <w:t>.</w:t>
      </w:r>
    </w:p>
    <w:tbl>
      <w:tblPr>
        <w:tblStyle w:val="TableGrid"/>
        <w:tblW w:type="dxa" w:w="9360"/>
        <w:jc w:val="left"/>
        <w:tblLayout w:type="fixed"/>
        <w:tblLook w:firstColumn="1" w:firstRow="1" w:lastColumn="0" w:lastRow="0" w:noHBand="0" w:noVBand="1" w:val="04A0"/>
        <w:tblInd w:w="120" w:type="dxa"/>
      </w:tblPr>
      <w:tblGrid>
        <w:gridCol w:w="2200"/>
        <w:gridCol w:w="4800"/>
        <w:gridCol w:w="2360"/>
      </w:tblGrid>
      <w:tr>
        <w:trPr>
          <w:tblHeader w:val="true"/>
        </w:trPr>
        <w:tc>
          <w:tcPr>
            <w:tcW w:type="dxa" w:w="2200"/>
            <w:shd w:fill="E8EEF5"/>
            <w:vAlign w:val="center"/>
            <w:tcMar>
              <w:top w:w="90" w:type="dxa"/>
              <w:start w:w="120" w:type="dxa"/>
              <w:bottom w:w="90" w:type="dxa"/>
              <w:end w:w="120" w:type="dxa"/>
            </w:tcMar>
          </w:tcPr>
          <w:p>
            <w:pPr>
              <w:spacing w:after="0"/>
            </w:pPr>
            <w:r>
              <w:rPr>
                <w:rFonts w:ascii="Calibri" w:hAnsi="Calibri"/>
                <w:b/>
                <w:i w:val="0"/>
                <w:color w:val="17221B"/>
                <w:sz w:val="17"/>
              </w:rPr>
              <w:t>Payload section</w:t>
            </w:r>
          </w:p>
        </w:tc>
        <w:tc>
          <w:tcPr>
            <w:tcW w:type="dxa" w:w="4800"/>
            <w:shd w:fill="E8EEF5"/>
            <w:vAlign w:val="center"/>
            <w:tcMar>
              <w:top w:w="90" w:type="dxa"/>
              <w:start w:w="120" w:type="dxa"/>
              <w:bottom w:w="90" w:type="dxa"/>
              <w:end w:w="120" w:type="dxa"/>
            </w:tcMar>
          </w:tcPr>
          <w:p>
            <w:pPr>
              <w:spacing w:after="0"/>
            </w:pPr>
            <w:r>
              <w:rPr>
                <w:rFonts w:ascii="Calibri" w:hAnsi="Calibri"/>
                <w:b/>
                <w:i w:val="0"/>
                <w:color w:val="17221B"/>
                <w:sz w:val="17"/>
              </w:rPr>
              <w:t>Business meaning</w:t>
            </w:r>
          </w:p>
        </w:tc>
        <w:tc>
          <w:tcPr>
            <w:tcW w:type="dxa" w:w="2360"/>
            <w:shd w:fill="E8EEF5"/>
            <w:vAlign w:val="center"/>
            <w:tcMar>
              <w:top w:w="90" w:type="dxa"/>
              <w:start w:w="120" w:type="dxa"/>
              <w:bottom w:w="90" w:type="dxa"/>
              <w:end w:w="120" w:type="dxa"/>
            </w:tcMar>
          </w:tcPr>
          <w:p>
            <w:pPr>
              <w:spacing w:after="0"/>
            </w:pPr>
            <w:r>
              <w:rPr>
                <w:rFonts w:ascii="Calibri" w:hAnsi="Calibri"/>
                <w:b/>
                <w:i w:val="0"/>
                <w:color w:val="17221B"/>
                <w:sz w:val="17"/>
              </w:rPr>
              <w:t>Used by</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metrics</w:t>
            </w:r>
          </w:p>
        </w:tc>
        <w:tc>
          <w:tcPr>
            <w:tcW w:type="dxa" w:w="4800"/>
            <w:vAlign w:val="center"/>
            <w:tcMar>
              <w:top w:w="90" w:type="dxa"/>
              <w:start w:w="120" w:type="dxa"/>
              <w:bottom w:w="90" w:type="dxa"/>
              <w:end w:w="120" w:type="dxa"/>
            </w:tcMar>
          </w:tcPr>
          <w:p>
            <w:pPr>
              <w:spacing w:after="0" w:line="269" w:lineRule="auto"/>
            </w:pPr>
            <w:r>
              <w:rPr>
                <w:rFonts w:ascii="Calibri" w:hAnsi="Calibri"/>
                <w:b w:val="0"/>
                <w:i w:val="0"/>
                <w:color w:val="20211D"/>
                <w:sz w:val="17"/>
              </w:rPr>
              <w:t>Pipeline value, won revenue, win rate, average size, open deals, overdue activities</w:t>
            </w:r>
          </w:p>
        </w:tc>
        <w:tc>
          <w:tcPr>
            <w:tcW w:type="dxa" w:w="2360"/>
            <w:vAlign w:val="center"/>
            <w:tcMar>
              <w:top w:w="90" w:type="dxa"/>
              <w:start w:w="120" w:type="dxa"/>
              <w:bottom w:w="90" w:type="dxa"/>
              <w:end w:w="120" w:type="dxa"/>
            </w:tcMar>
          </w:tcPr>
          <w:p>
            <w:pPr>
              <w:spacing w:after="0" w:line="269" w:lineRule="auto"/>
            </w:pPr>
            <w:r>
              <w:rPr>
                <w:rFonts w:ascii="Calibri" w:hAnsi="Calibri"/>
                <w:b w:val="0"/>
                <w:i w:val="0"/>
                <w:color w:val="20211D"/>
                <w:sz w:val="17"/>
              </w:rPr>
              <w:t>Headline cards and pipeline brief</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monthlyRevenue</w:t>
            </w:r>
          </w:p>
        </w:tc>
        <w:tc>
          <w:tcPr>
            <w:tcW w:type="dxa" w:w="4800"/>
            <w:vAlign w:val="center"/>
            <w:tcMar>
              <w:top w:w="90" w:type="dxa"/>
              <w:start w:w="120" w:type="dxa"/>
              <w:bottom w:w="90" w:type="dxa"/>
              <w:end w:w="120" w:type="dxa"/>
            </w:tcMar>
          </w:tcPr>
          <w:p>
            <w:pPr>
              <w:spacing w:after="0" w:line="269" w:lineRule="auto"/>
            </w:pPr>
            <w:r>
              <w:rPr>
                <w:rFonts w:ascii="Calibri" w:hAnsi="Calibri"/>
                <w:b w:val="0"/>
                <w:i w:val="0"/>
                <w:color w:val="20211D"/>
                <w:sz w:val="17"/>
              </w:rPr>
              <w:t>Six-month closed-won revenue series</w:t>
            </w:r>
          </w:p>
        </w:tc>
        <w:tc>
          <w:tcPr>
            <w:tcW w:type="dxa" w:w="2360"/>
            <w:vAlign w:val="center"/>
            <w:tcMar>
              <w:top w:w="90" w:type="dxa"/>
              <w:start w:w="120" w:type="dxa"/>
              <w:bottom w:w="90" w:type="dxa"/>
              <w:end w:w="120" w:type="dxa"/>
            </w:tcMar>
          </w:tcPr>
          <w:p>
            <w:pPr>
              <w:spacing w:after="0" w:line="269" w:lineRule="auto"/>
            </w:pPr>
            <w:r>
              <w:rPr>
                <w:rFonts w:ascii="Calibri" w:hAnsi="Calibri"/>
                <w:b w:val="0"/>
                <w:i w:val="0"/>
                <w:color w:val="20211D"/>
                <w:sz w:val="17"/>
              </w:rPr>
              <w:t>Revenue performance chart</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pipelineByStage</w:t>
            </w:r>
          </w:p>
        </w:tc>
        <w:tc>
          <w:tcPr>
            <w:tcW w:type="dxa" w:w="4800"/>
            <w:vAlign w:val="center"/>
            <w:tcMar>
              <w:top w:w="90" w:type="dxa"/>
              <w:start w:w="120" w:type="dxa"/>
              <w:bottom w:w="90" w:type="dxa"/>
              <w:end w:w="120" w:type="dxa"/>
            </w:tcMar>
          </w:tcPr>
          <w:p>
            <w:pPr>
              <w:spacing w:after="0" w:line="269" w:lineRule="auto"/>
            </w:pPr>
            <w:r>
              <w:rPr>
                <w:rFonts w:ascii="Calibri" w:hAnsi="Calibri"/>
                <w:b w:val="0"/>
                <w:i w:val="0"/>
                <w:color w:val="20211D"/>
                <w:sz w:val="17"/>
              </w:rPr>
              <w:t>Open-stage count, value, and weighted value</w:t>
            </w:r>
          </w:p>
        </w:tc>
        <w:tc>
          <w:tcPr>
            <w:tcW w:type="dxa" w:w="2360"/>
            <w:vAlign w:val="center"/>
            <w:tcMar>
              <w:top w:w="90" w:type="dxa"/>
              <w:start w:w="120" w:type="dxa"/>
              <w:bottom w:w="90" w:type="dxa"/>
              <w:end w:w="120" w:type="dxa"/>
            </w:tcMar>
          </w:tcPr>
          <w:p>
            <w:pPr>
              <w:spacing w:after="0" w:line="269" w:lineRule="auto"/>
            </w:pPr>
            <w:r>
              <w:rPr>
                <w:rFonts w:ascii="Calibri" w:hAnsi="Calibri"/>
                <w:b w:val="0"/>
                <w:i w:val="0"/>
                <w:color w:val="20211D"/>
                <w:sz w:val="17"/>
              </w:rPr>
              <w:t>Pipeline coverage chart</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conversionFunnel</w:t>
            </w:r>
          </w:p>
        </w:tc>
        <w:tc>
          <w:tcPr>
            <w:tcW w:type="dxa" w:w="4800"/>
            <w:vAlign w:val="center"/>
            <w:tcMar>
              <w:top w:w="90" w:type="dxa"/>
              <w:start w:w="120" w:type="dxa"/>
              <w:bottom w:w="90" w:type="dxa"/>
              <w:end w:w="120" w:type="dxa"/>
            </w:tcMar>
          </w:tcPr>
          <w:p>
            <w:pPr>
              <w:spacing w:after="0" w:line="269" w:lineRule="auto"/>
            </w:pPr>
            <w:r>
              <w:rPr>
                <w:rFonts w:ascii="Calibri" w:hAnsi="Calibri"/>
                <w:b w:val="0"/>
                <w:i w:val="0"/>
                <w:color w:val="20211D"/>
                <w:sz w:val="17"/>
              </w:rPr>
              <w:t>Deal volume and value from lead through closed won</w:t>
            </w:r>
          </w:p>
        </w:tc>
        <w:tc>
          <w:tcPr>
            <w:tcW w:type="dxa" w:w="2360"/>
            <w:vAlign w:val="center"/>
            <w:tcMar>
              <w:top w:w="90" w:type="dxa"/>
              <w:start w:w="120" w:type="dxa"/>
              <w:bottom w:w="90" w:type="dxa"/>
              <w:end w:w="120" w:type="dxa"/>
            </w:tcMar>
          </w:tcPr>
          <w:p>
            <w:pPr>
              <w:spacing w:after="0" w:line="269" w:lineRule="auto"/>
            </w:pPr>
            <w:r>
              <w:rPr>
                <w:rFonts w:ascii="Calibri" w:hAnsi="Calibri"/>
                <w:b w:val="0"/>
                <w:i w:val="0"/>
                <w:color w:val="20211D"/>
                <w:sz w:val="17"/>
              </w:rPr>
              <w:t>Dashboard funnel</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dealsBySource</w:t>
            </w:r>
          </w:p>
        </w:tc>
        <w:tc>
          <w:tcPr>
            <w:tcW w:type="dxa" w:w="4800"/>
            <w:vAlign w:val="center"/>
            <w:tcMar>
              <w:top w:w="90" w:type="dxa"/>
              <w:start w:w="120" w:type="dxa"/>
              <w:bottom w:w="90" w:type="dxa"/>
              <w:end w:w="120" w:type="dxa"/>
            </w:tcMar>
          </w:tcPr>
          <w:p>
            <w:pPr>
              <w:spacing w:after="0" w:line="269" w:lineRule="auto"/>
            </w:pPr>
            <w:r>
              <w:rPr>
                <w:rFonts w:ascii="Calibri" w:hAnsi="Calibri"/>
                <w:b w:val="0"/>
                <w:i w:val="0"/>
                <w:color w:val="20211D"/>
                <w:sz w:val="17"/>
              </w:rPr>
              <w:t>Deal count and value by acquisition source</w:t>
            </w:r>
          </w:p>
        </w:tc>
        <w:tc>
          <w:tcPr>
            <w:tcW w:type="dxa" w:w="2360"/>
            <w:vAlign w:val="center"/>
            <w:tcMar>
              <w:top w:w="90" w:type="dxa"/>
              <w:start w:w="120" w:type="dxa"/>
              <w:bottom w:w="90" w:type="dxa"/>
              <w:end w:w="120" w:type="dxa"/>
            </w:tcMar>
          </w:tcPr>
          <w:p>
            <w:pPr>
              <w:spacing w:after="0" w:line="269" w:lineRule="auto"/>
            </w:pPr>
            <w:r>
              <w:rPr>
                <w:rFonts w:ascii="Calibri" w:hAnsi="Calibri"/>
                <w:b w:val="0"/>
                <w:i w:val="0"/>
                <w:color w:val="20211D"/>
                <w:sz w:val="17"/>
              </w:rPr>
              <w:t>Channel/source charts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activitiesCompleted</w:t>
            </w:r>
          </w:p>
        </w:tc>
        <w:tc>
          <w:tcPr>
            <w:tcW w:type="dxa" w:w="4800"/>
            <w:vAlign w:val="center"/>
            <w:tcMar>
              <w:top w:w="90" w:type="dxa"/>
              <w:start w:w="120" w:type="dxa"/>
              <w:bottom w:w="90" w:type="dxa"/>
              <w:end w:w="120" w:type="dxa"/>
            </w:tcMar>
          </w:tcPr>
          <w:p>
            <w:pPr>
              <w:spacing w:after="0" w:line="269" w:lineRule="auto"/>
            </w:pPr>
            <w:r>
              <w:rPr>
                <w:rFonts w:ascii="Calibri" w:hAnsi="Calibri"/>
                <w:b w:val="0"/>
                <w:i w:val="0"/>
                <w:color w:val="20211D"/>
                <w:sz w:val="17"/>
              </w:rPr>
              <w:t>Zero-filled seven-day completion series</w:t>
            </w:r>
          </w:p>
        </w:tc>
        <w:tc>
          <w:tcPr>
            <w:tcW w:type="dxa" w:w="2360"/>
            <w:vAlign w:val="center"/>
            <w:tcMar>
              <w:top w:w="90" w:type="dxa"/>
              <w:start w:w="120" w:type="dxa"/>
              <w:bottom w:w="90" w:type="dxa"/>
              <w:end w:w="120" w:type="dxa"/>
            </w:tcMar>
          </w:tcPr>
          <w:p>
            <w:pPr>
              <w:spacing w:after="0" w:line="269" w:lineRule="auto"/>
            </w:pPr>
            <w:r>
              <w:rPr>
                <w:rFonts w:ascii="Calibri" w:hAnsi="Calibri"/>
                <w:b w:val="0"/>
                <w:i w:val="0"/>
                <w:color w:val="20211D"/>
                <w:sz w:val="17"/>
              </w:rPr>
              <w:t>Execution velocity</w:t>
            </w:r>
          </w:p>
        </w:tc>
      </w:tr>
    </w:tbl>
    <w:p>
      <w:pPr>
        <w:spacing w:after="20"/>
      </w:pPr>
    </w:p>
    <w:p>
      <w:pPr>
        <w:pStyle w:val="Heading2"/>
        <w:keepNext/>
        <w:keepLines/>
        <w:widowControl/>
      </w:pPr>
      <w:r>
        <w:t>Why the backend owns analytics</w:t>
      </w:r>
    </w:p>
    <w:p>
      <w:pPr>
        <w:pStyle w:val="ListBullet"/>
        <w:keepLines/>
        <w:widowControl/>
      </w:pPr>
      <w:r>
        <w:rPr>
          <w:rFonts w:ascii="Calibri" w:hAnsi="Calibri"/>
          <w:b w:val="0"/>
          <w:i w:val="0"/>
          <w:color w:val="20211D"/>
          <w:sz w:val="22"/>
        </w:rPr>
        <w:t>Lower browser payloads and one round trip for the dashboard.</w:t>
      </w:r>
    </w:p>
    <w:p>
      <w:pPr>
        <w:pStyle w:val="ListBullet"/>
        <w:keepLines/>
        <w:widowControl/>
      </w:pPr>
      <w:r>
        <w:rPr>
          <w:rFonts w:ascii="Calibri" w:hAnsi="Calibri"/>
          <w:b w:val="0"/>
          <w:i w:val="0"/>
          <w:color w:val="20211D"/>
          <w:sz w:val="22"/>
        </w:rPr>
        <w:t>One definition of revenue, conversion, and pipeline value across every client.</w:t>
      </w:r>
    </w:p>
    <w:p>
      <w:pPr>
        <w:pStyle w:val="ListBullet"/>
        <w:keepLines/>
        <w:widowControl/>
      </w:pPr>
      <w:r>
        <w:rPr>
          <w:rFonts w:ascii="Calibri" w:hAnsi="Calibri"/>
          <w:b w:val="0"/>
          <w:i w:val="0"/>
          <w:color w:val="20211D"/>
          <w:sz w:val="22"/>
        </w:rPr>
        <w:t>RLS remains active inside security-invoker views and functions.</w:t>
      </w:r>
    </w:p>
    <w:p>
      <w:pPr>
        <w:pStyle w:val="ListBullet"/>
        <w:keepLines/>
        <w:widowControl/>
      </w:pPr>
      <w:r>
        <w:rPr>
          <w:rFonts w:ascii="Calibri" w:hAnsi="Calibri"/>
          <w:b w:val="0"/>
          <w:i w:val="0"/>
          <w:color w:val="20211D"/>
          <w:sz w:val="22"/>
        </w:rPr>
        <w:t>Indexes can serve common owner, stage, close-date, and due-date access paths.</w:t>
      </w:r>
    </w:p>
    <w:p>
      <w:pPr>
        <w:pStyle w:val="Heading1"/>
        <w:pageBreakBefore/>
        <w:keepNext/>
        <w:keepLines/>
        <w:widowControl/>
      </w:pPr>
      <w:r>
        <w:t>13. Setup from zero</w:t>
      </w:r>
    </w:p>
    <w:p>
      <w:pPr>
        <w:pStyle w:val="Heading2"/>
        <w:keepNext/>
        <w:keepLines/>
        <w:widowControl/>
      </w:pPr>
      <w:r>
        <w:t>Prerequisites</w:t>
      </w:r>
    </w:p>
    <w:p>
      <w:pPr>
        <w:pStyle w:val="ListBullet"/>
        <w:keepLines/>
        <w:widowControl/>
      </w:pPr>
      <w:r>
        <w:rPr>
          <w:rFonts w:ascii="Calibri" w:hAnsi="Calibri"/>
          <w:b w:val="0"/>
          <w:i w:val="0"/>
          <w:color w:val="20211D"/>
          <w:sz w:val="22"/>
        </w:rPr>
        <w:t>Node.js 22.13 or newer</w:t>
      </w:r>
    </w:p>
    <w:p>
      <w:pPr>
        <w:pStyle w:val="ListBullet"/>
        <w:keepLines/>
        <w:widowControl/>
      </w:pPr>
      <w:r>
        <w:rPr>
          <w:rFonts w:ascii="Calibri" w:hAnsi="Calibri"/>
          <w:b w:val="0"/>
          <w:i w:val="0"/>
          <w:color w:val="20211D"/>
          <w:sz w:val="22"/>
        </w:rPr>
        <w:t>npm</w:t>
      </w:r>
    </w:p>
    <w:p>
      <w:pPr>
        <w:pStyle w:val="ListBullet"/>
        <w:keepLines/>
        <w:widowControl/>
      </w:pPr>
      <w:r>
        <w:rPr>
          <w:rFonts w:ascii="Calibri" w:hAnsi="Calibri"/>
          <w:b w:val="0"/>
          <w:i w:val="0"/>
          <w:color w:val="20211D"/>
          <w:sz w:val="22"/>
        </w:rPr>
        <w:t>Supabase CLI</w:t>
      </w:r>
    </w:p>
    <w:p>
      <w:pPr>
        <w:pStyle w:val="ListBullet"/>
        <w:keepLines/>
        <w:widowControl/>
      </w:pPr>
      <w:r>
        <w:rPr>
          <w:rFonts w:ascii="Calibri" w:hAnsi="Calibri"/>
          <w:b w:val="0"/>
          <w:i w:val="0"/>
          <w:color w:val="20211D"/>
          <w:sz w:val="22"/>
        </w:rPr>
        <w:t>Docker for local Supabase</w:t>
      </w:r>
    </w:p>
    <w:p>
      <w:pPr>
        <w:pStyle w:val="ListBullet"/>
        <w:keepLines/>
        <w:widowControl/>
      </w:pPr>
      <w:r>
        <w:rPr>
          <w:rFonts w:ascii="Calibri" w:hAnsi="Calibri"/>
          <w:b w:val="0"/>
          <w:i w:val="0"/>
          <w:color w:val="20211D"/>
          <w:sz w:val="22"/>
        </w:rPr>
        <w:t>Git</w:t>
      </w:r>
    </w:p>
    <w:p>
      <w:pPr>
        <w:pStyle w:val="Heading2"/>
        <w:keepNext/>
        <w:keepLines/>
        <w:widowControl/>
      </w:pPr>
      <w:r>
        <w:t>Clone and install</w:t>
      </w:r>
    </w:p>
    <w:p>
      <w:pPr>
        <w:pStyle w:val="CodeBlock"/>
        <w:keepLines/>
        <w:shd w:fill="F4F5F0"/>
      </w:pPr>
      <w:r>
        <w:rPr>
          <w:rFonts w:ascii="Consolas" w:hAnsi="Consolas"/>
          <w:b w:val="0"/>
          <w:i w:val="0"/>
          <w:color w:val="20211D"/>
          <w:sz w:val="17"/>
        </w:rPr>
        <w:t>git clone https://github.com/maluraditya/alba-assessments.git</w:t>
        <w:br/>
        <w:t>cd alba-assessments/02-dashboard</w:t>
        <w:br/>
        <w:t>npm install</w:t>
      </w:r>
    </w:p>
    <w:p>
      <w:pPr>
        <w:pStyle w:val="Heading2"/>
        <w:keepNext/>
        <w:keepLines/>
        <w:widowControl/>
      </w:pPr>
      <w:r>
        <w:t>Provision Supabase locally</w:t>
      </w:r>
    </w:p>
    <w:p>
      <w:pPr>
        <w:pStyle w:val="CodeBlock"/>
        <w:keepLines/>
        <w:shd w:fill="F4F5F0"/>
      </w:pPr>
      <w:r>
        <w:rPr>
          <w:rFonts w:ascii="Consolas" w:hAnsi="Consolas"/>
          <w:b w:val="0"/>
          <w:i w:val="0"/>
          <w:color w:val="20211D"/>
          <w:sz w:val="17"/>
        </w:rPr>
        <w:t>supabase start</w:t>
        <w:br/>
        <w:t>supabase db reset</w:t>
      </w:r>
    </w:p>
    <w:p>
      <w:pPr>
        <w:keepLines/>
        <w:widowControl/>
      </w:pPr>
      <w:r>
        <w:rPr>
          <w:rFonts w:ascii="Consolas" w:hAnsi="Consolas"/>
          <w:b w:val="0"/>
          <w:i w:val="0"/>
          <w:color w:val="20211D"/>
          <w:sz w:val="18"/>
        </w:rPr>
        <w:t>supabase db reset</w:t>
      </w:r>
      <w:r>
        <w:rPr>
          <w:rFonts w:ascii="Calibri" w:hAnsi="Calibri"/>
          <w:b w:val="0"/>
          <w:i w:val="0"/>
          <w:color w:val="20211D"/>
          <w:sz w:val="22"/>
        </w:rPr>
        <w:t xml:space="preserve"> applies every migration in </w:t>
      </w:r>
      <w:r>
        <w:rPr>
          <w:rFonts w:ascii="Consolas" w:hAnsi="Consolas"/>
          <w:b w:val="0"/>
          <w:i w:val="0"/>
          <w:color w:val="20211D"/>
          <w:sz w:val="18"/>
        </w:rPr>
        <w:t>supabase/migrations/</w:t>
      </w:r>
      <w:r>
        <w:rPr>
          <w:rFonts w:ascii="Calibri" w:hAnsi="Calibri"/>
          <w:b w:val="0"/>
          <w:i w:val="0"/>
          <w:color w:val="20211D"/>
          <w:sz w:val="22"/>
        </w:rPr>
        <w:t xml:space="preserve"> in timestamp order and then executes </w:t>
      </w:r>
      <w:r>
        <w:rPr>
          <w:rFonts w:ascii="Consolas" w:hAnsi="Consolas"/>
          <w:b w:val="0"/>
          <w:i w:val="0"/>
          <w:color w:val="20211D"/>
          <w:sz w:val="18"/>
        </w:rPr>
        <w:t>supabase/seed.sql</w:t>
      </w:r>
      <w:r>
        <w:rPr>
          <w:rFonts w:ascii="Calibri" w:hAnsi="Calibri"/>
          <w:b w:val="0"/>
          <w:i w:val="0"/>
          <w:color w:val="20211D"/>
          <w:sz w:val="22"/>
        </w:rPr>
        <w:t xml:space="preserve"> because the repository's </w:t>
      </w:r>
      <w:r>
        <w:rPr>
          <w:rFonts w:ascii="Consolas" w:hAnsi="Consolas"/>
          <w:b w:val="0"/>
          <w:i w:val="0"/>
          <w:color w:val="20211D"/>
          <w:sz w:val="18"/>
        </w:rPr>
        <w:t>supabase/config.toml</w:t>
      </w:r>
      <w:r>
        <w:rPr>
          <w:rFonts w:ascii="Calibri" w:hAnsi="Calibri"/>
          <w:b w:val="0"/>
          <w:i w:val="0"/>
          <w:color w:val="20211D"/>
          <w:sz w:val="22"/>
        </w:rPr>
        <w:t xml:space="preserve"> enables database seeding.</w:t>
      </w:r>
    </w:p>
    <w:p>
      <w:pPr>
        <w:pStyle w:val="Heading2"/>
        <w:keepNext/>
        <w:keepLines/>
        <w:widowControl/>
      </w:pPr>
      <w:r>
        <w:t>Configure the application</w:t>
      </w:r>
    </w:p>
    <w:p>
      <w:pPr>
        <w:pStyle w:val="CodeBlock"/>
        <w:keepLines/>
        <w:shd w:fill="F4F5F0"/>
      </w:pPr>
      <w:r>
        <w:rPr>
          <w:rFonts w:ascii="Consolas" w:hAnsi="Consolas"/>
          <w:b w:val="0"/>
          <w:i w:val="0"/>
          <w:color w:val="20211D"/>
          <w:sz w:val="17"/>
        </w:rPr>
        <w:t>cp .env.example .env.local</w:t>
        <w:br/>
        <w:br/>
        <w:t>NEXT_PUBLIC_SUPABASE_URL=http://127.0.0.1:54321</w:t>
        <w:br/>
        <w:t>NEXT_PUBLIC_SUPABASE_PUBLISHABLE_KEY=&lt;local publishable key from supabase status&gt;</w:t>
      </w:r>
    </w:p>
    <w:p>
      <w:pPr>
        <w:keepLines/>
        <w:spacing w:before="100" w:after="200"/>
        <w:ind w:left="173" w:right="173"/>
        <w:shd w:fill="FFF5D6"/>
        <w:pBdr>
          <w:left w:val="single" w:sz="18" w:space="6" w:color="7A5A00"/>
        </w:pBdr>
      </w:pPr>
      <w:r>
        <w:rPr>
          <w:rFonts w:ascii="Calibri" w:hAnsi="Calibri"/>
          <w:b/>
          <w:i w:val="0"/>
          <w:color w:val="7A5A00"/>
          <w:sz w:val="18"/>
        </w:rPr>
        <w:t>DO NOT USE THE DASHBOARD URL</w:t>
        <w:br/>
      </w:r>
      <w:r>
        <w:rPr>
          <w:rFonts w:ascii="Calibri" w:hAnsi="Calibri"/>
          <w:b w:val="0"/>
          <w:i w:val="0"/>
          <w:color w:val="20211D"/>
          <w:sz w:val="21"/>
        </w:rPr>
        <w:t>NEXT_PUBLIC_SUPABASE_URL must be the Supabase API endpoint, such as https://project-ref.supabase.co for hosted projects. Never add a service-role key to a NEXT_PUBLIC variable.</w:t>
      </w:r>
    </w:p>
    <w:p>
      <w:pPr>
        <w:pStyle w:val="Heading2"/>
        <w:keepNext/>
        <w:keepLines/>
        <w:widowControl/>
      </w:pPr>
      <w:r>
        <w:t>Run and verify</w:t>
      </w:r>
    </w:p>
    <w:p>
      <w:pPr>
        <w:pStyle w:val="CodeBlock"/>
        <w:keepLines/>
        <w:shd w:fill="F4F5F0"/>
      </w:pPr>
      <w:r>
        <w:rPr>
          <w:rFonts w:ascii="Consolas" w:hAnsi="Consolas"/>
          <w:b w:val="0"/>
          <w:i w:val="0"/>
          <w:color w:val="20211D"/>
          <w:sz w:val="17"/>
        </w:rPr>
        <w:t>npm run dev</w:t>
        <w:br/>
        <w:br/>
        <w:t># Complete release gate</w:t>
        <w:br/>
        <w:t>npm run check</w:t>
      </w:r>
    </w:p>
    <w:p>
      <w:pPr>
        <w:keepLines/>
        <w:widowControl/>
      </w:pPr>
      <w:r>
        <w:rPr>
          <w:rFonts w:ascii="Calibri" w:hAnsi="Calibri"/>
          <w:b w:val="0"/>
          <w:i w:val="0"/>
          <w:color w:val="20211D"/>
          <w:sz w:val="22"/>
        </w:rPr>
        <w:t>Open http://localhost:3000/login and use either demo account. The release gate runs strict TypeScript, ESLint, the Sites-compatible build, repository contract tests, and the native Next.js production build.</w:t>
      </w:r>
    </w:p>
    <w:p>
      <w:pPr>
        <w:pStyle w:val="Heading1"/>
        <w:pageBreakBefore/>
        <w:keepNext/>
        <w:keepLines/>
        <w:widowControl/>
      </w:pPr>
      <w:r>
        <w:t>14. Seed data and reviewer access</w:t>
      </w:r>
    </w:p>
    <w:p>
      <w:pPr>
        <w:pStyle w:val="Heading2"/>
        <w:keepNext/>
        <w:keepLines/>
        <w:widowControl/>
      </w:pPr>
      <w:r>
        <w:t>Local seed</w:t>
      </w:r>
    </w:p>
    <w:p>
      <w:pPr>
        <w:keepLines/>
        <w:widowControl/>
      </w:pPr>
      <w:r>
        <w:rPr>
          <w:rFonts w:ascii="Consolas" w:hAnsi="Consolas"/>
          <w:b w:val="0"/>
          <w:i w:val="0"/>
          <w:color w:val="20211D"/>
          <w:sz w:val="18"/>
        </w:rPr>
        <w:t>supabase/seed.sql</w:t>
      </w:r>
      <w:r>
        <w:rPr>
          <w:rFonts w:ascii="Calibri" w:hAnsi="Calibri"/>
          <w:b w:val="0"/>
          <w:i w:val="0"/>
          <w:color w:val="20211D"/>
          <w:sz w:val="22"/>
        </w:rPr>
        <w:t xml:space="preserve"> provides deterministic local or disposable test data. A clean local project can therefore be provisioned and populated with the two reviewer workspaces through one </w:t>
      </w:r>
      <w:r>
        <w:rPr>
          <w:rFonts w:ascii="Consolas" w:hAnsi="Consolas"/>
          <w:b w:val="0"/>
          <w:i w:val="0"/>
          <w:color w:val="20211D"/>
          <w:sz w:val="18"/>
        </w:rPr>
        <w:t>supabase db reset</w:t>
      </w:r>
      <w:r>
        <w:rPr>
          <w:rFonts w:ascii="Calibri" w:hAnsi="Calibri"/>
          <w:b w:val="0"/>
          <w:i w:val="0"/>
          <w:color w:val="20211D"/>
          <w:sz w:val="22"/>
        </w:rPr>
        <w:t xml:space="preserve"> command.</w:t>
      </w:r>
    </w:p>
    <w:p>
      <w:pPr>
        <w:pStyle w:val="Heading2"/>
        <w:keepNext/>
        <w:keepLines/>
        <w:widowControl/>
      </w:pPr>
      <w:r>
        <w:t>Hosted seed</w:t>
      </w:r>
    </w:p>
    <w:p>
      <w:pPr>
        <w:keepLines/>
        <w:widowControl/>
      </w:pPr>
      <w:r>
        <w:rPr>
          <w:rFonts w:ascii="Calibri" w:hAnsi="Calibri"/>
          <w:b w:val="0"/>
          <w:i w:val="0"/>
          <w:color w:val="20211D"/>
          <w:sz w:val="22"/>
        </w:rPr>
        <w:t xml:space="preserve">Supabase's hosted GitHub integration applies migrations but does not automatically execute </w:t>
      </w:r>
      <w:r>
        <w:rPr>
          <w:rFonts w:ascii="Consolas" w:hAnsi="Consolas"/>
          <w:b w:val="0"/>
          <w:i w:val="0"/>
          <w:color w:val="20211D"/>
          <w:sz w:val="18"/>
        </w:rPr>
        <w:t>supabase/seed.sql</w:t>
      </w:r>
      <w:r>
        <w:rPr>
          <w:rFonts w:ascii="Calibri" w:hAnsi="Calibri"/>
          <w:b w:val="0"/>
          <w:i w:val="0"/>
          <w:color w:val="20211D"/>
          <w:sz w:val="22"/>
        </w:rPr>
        <w:t>. To keep the assessment environment reproducible, hosted demo users and their different datasets are also represented through versioned assessment seed migrations.</w:t>
      </w:r>
    </w:p>
    <w:p>
      <w:pPr>
        <w:pStyle w:val="Heading2"/>
        <w:keepNext/>
        <w:keepLines/>
        <w:widowControl/>
      </w:pPr>
      <w:r>
        <w:t>What each account demonstrates</w:t>
      </w:r>
    </w:p>
    <w:tbl>
      <w:tblPr>
        <w:tblStyle w:val="TableGrid"/>
        <w:tblW w:type="dxa" w:w="9360"/>
        <w:jc w:val="left"/>
        <w:tblLayout w:type="fixed"/>
        <w:tblLook w:firstColumn="1" w:firstRow="1" w:lastColumn="0" w:lastRow="0" w:noHBand="0" w:noVBand="1" w:val="04A0"/>
        <w:tblInd w:w="120" w:type="dxa"/>
      </w:tblPr>
      <w:tblGrid>
        <w:gridCol w:w="1800"/>
        <w:gridCol w:w="4000"/>
        <w:gridCol w:w="3560"/>
      </w:tblGrid>
      <w:tr>
        <w:trPr>
          <w:tblHeader w:val="true"/>
        </w:trPr>
        <w:tc>
          <w:tcPr>
            <w:tcW w:type="dxa" w:w="1800"/>
            <w:shd w:fill="E8EEF5"/>
            <w:vAlign w:val="center"/>
            <w:tcMar>
              <w:top w:w="90" w:type="dxa"/>
              <w:start w:w="120" w:type="dxa"/>
              <w:bottom w:w="90" w:type="dxa"/>
              <w:end w:w="120" w:type="dxa"/>
            </w:tcMar>
          </w:tcPr>
          <w:p>
            <w:pPr>
              <w:spacing w:after="0"/>
            </w:pPr>
            <w:r>
              <w:rPr>
                <w:rFonts w:ascii="Calibri" w:hAnsi="Calibri"/>
                <w:b/>
                <w:i w:val="0"/>
                <w:color w:val="17221B"/>
                <w:sz w:val="17"/>
              </w:rPr>
              <w:t>Account</w:t>
            </w:r>
          </w:p>
        </w:tc>
        <w:tc>
          <w:tcPr>
            <w:tcW w:type="dxa" w:w="4000"/>
            <w:shd w:fill="E8EEF5"/>
            <w:vAlign w:val="center"/>
            <w:tcMar>
              <w:top w:w="90" w:type="dxa"/>
              <w:start w:w="120" w:type="dxa"/>
              <w:bottom w:w="90" w:type="dxa"/>
              <w:end w:w="120" w:type="dxa"/>
            </w:tcMar>
          </w:tcPr>
          <w:p>
            <w:pPr>
              <w:spacing w:after="0"/>
            </w:pPr>
            <w:r>
              <w:rPr>
                <w:rFonts w:ascii="Calibri" w:hAnsi="Calibri"/>
                <w:b/>
                <w:i w:val="0"/>
                <w:color w:val="17221B"/>
                <w:sz w:val="17"/>
              </w:rPr>
              <w:t>Data profile</w:t>
            </w:r>
          </w:p>
        </w:tc>
        <w:tc>
          <w:tcPr>
            <w:tcW w:type="dxa" w:w="3560"/>
            <w:shd w:fill="E8EEF5"/>
            <w:vAlign w:val="center"/>
            <w:tcMar>
              <w:top w:w="90" w:type="dxa"/>
              <w:start w:w="120" w:type="dxa"/>
              <w:bottom w:w="90" w:type="dxa"/>
              <w:end w:w="120" w:type="dxa"/>
            </w:tcMar>
          </w:tcPr>
          <w:p>
            <w:pPr>
              <w:spacing w:after="0"/>
            </w:pPr>
            <w:r>
              <w:rPr>
                <w:rFonts w:ascii="Calibri" w:hAnsi="Calibri"/>
                <w:b/>
                <w:i w:val="0"/>
                <w:color w:val="17221B"/>
                <w:sz w:val="17"/>
              </w:rPr>
              <w:t>Useful review path</w:t>
            </w:r>
          </w:p>
        </w:tc>
      </w:tr>
      <w:tr>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7"/>
              </w:rPr>
              <w:t>Alex Morgan</w:t>
            </w:r>
          </w:p>
        </w:tc>
        <w:tc>
          <w:tcPr>
            <w:tcW w:type="dxa" w:w="4000"/>
            <w:vAlign w:val="center"/>
            <w:tcMar>
              <w:top w:w="90" w:type="dxa"/>
              <w:start w:w="120" w:type="dxa"/>
              <w:bottom w:w="90" w:type="dxa"/>
              <w:end w:w="120" w:type="dxa"/>
            </w:tcMar>
          </w:tcPr>
          <w:p>
            <w:pPr>
              <w:spacing w:after="0" w:line="269" w:lineRule="auto"/>
            </w:pPr>
            <w:r>
              <w:rPr>
                <w:rFonts w:ascii="Calibri" w:hAnsi="Calibri"/>
                <w:b w:val="0"/>
                <w:i w:val="0"/>
                <w:color w:val="20211D"/>
                <w:sz w:val="17"/>
              </w:rPr>
              <w:t>Larger enterprise, multi-channel pipeline with more companies, deals, activities, and tags</w:t>
            </w:r>
          </w:p>
        </w:tc>
        <w:tc>
          <w:tcPr>
            <w:tcW w:type="dxa" w:w="3560"/>
            <w:vAlign w:val="center"/>
            <w:tcMar>
              <w:top w:w="90" w:type="dxa"/>
              <w:start w:w="120" w:type="dxa"/>
              <w:bottom w:w="90" w:type="dxa"/>
              <w:end w:w="120" w:type="dxa"/>
            </w:tcMar>
          </w:tcPr>
          <w:p>
            <w:pPr>
              <w:spacing w:after="0" w:line="269" w:lineRule="auto"/>
            </w:pPr>
            <w:r>
              <w:rPr>
                <w:rFonts w:ascii="Calibri" w:hAnsi="Calibri"/>
                <w:b w:val="0"/>
                <w:i w:val="0"/>
                <w:color w:val="20211D"/>
                <w:sz w:val="17"/>
              </w:rPr>
              <w:t>Dashboard funnel, priority queue, channel mix, analytics depth</w:t>
            </w:r>
          </w:p>
        </w:tc>
      </w:tr>
      <w:tr>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7"/>
              </w:rPr>
              <w:t>Sam Rivera</w:t>
            </w:r>
          </w:p>
        </w:tc>
        <w:tc>
          <w:tcPr>
            <w:tcW w:type="dxa" w:w="4000"/>
            <w:vAlign w:val="center"/>
            <w:tcMar>
              <w:top w:w="90" w:type="dxa"/>
              <w:start w:w="120" w:type="dxa"/>
              <w:bottom w:w="90" w:type="dxa"/>
              <w:end w:w="120" w:type="dxa"/>
            </w:tcMar>
          </w:tcPr>
          <w:p>
            <w:pPr>
              <w:spacing w:after="0" w:line="269" w:lineRule="auto"/>
            </w:pPr>
            <w:r>
              <w:rPr>
                <w:rFonts w:ascii="Calibri" w:hAnsi="Calibri"/>
                <w:b w:val="0"/>
                <w:i w:val="0"/>
                <w:color w:val="20211D"/>
                <w:sz w:val="17"/>
              </w:rPr>
              <w:t>Smaller mid-market pipeline with different values, sources, stages, and revenue history</w:t>
            </w:r>
          </w:p>
        </w:tc>
        <w:tc>
          <w:tcPr>
            <w:tcW w:type="dxa" w:w="3560"/>
            <w:vAlign w:val="center"/>
            <w:tcMar>
              <w:top w:w="90" w:type="dxa"/>
              <w:start w:w="120" w:type="dxa"/>
              <w:bottom w:w="90" w:type="dxa"/>
              <w:end w:w="120" w:type="dxa"/>
            </w:tcMar>
          </w:tcPr>
          <w:p>
            <w:pPr>
              <w:spacing w:after="0" w:line="269" w:lineRule="auto"/>
            </w:pPr>
            <w:r>
              <w:rPr>
                <w:rFonts w:ascii="Calibri" w:hAnsi="Calibri"/>
                <w:b w:val="0"/>
                <w:i w:val="0"/>
                <w:color w:val="20211D"/>
                <w:sz w:val="17"/>
              </w:rPr>
              <w:t>Compare every dashboard metric and prove account isolation</w:t>
            </w:r>
          </w:p>
        </w:tc>
      </w:tr>
    </w:tbl>
    <w:p>
      <w:pPr>
        <w:spacing w:after="20"/>
      </w:pPr>
    </w:p>
    <w:p>
      <w:pPr>
        <w:keepLines/>
        <w:spacing w:before="100" w:after="200"/>
        <w:ind w:left="173" w:right="173"/>
        <w:shd w:fill="EEF5DF"/>
        <w:pBdr>
          <w:left w:val="single" w:sz="18" w:space="6" w:color="66852E"/>
        </w:pBdr>
      </w:pPr>
      <w:r>
        <w:rPr>
          <w:rFonts w:ascii="Calibri" w:hAnsi="Calibri"/>
          <w:b/>
          <w:i w:val="0"/>
          <w:color w:val="66852E"/>
          <w:sz w:val="18"/>
        </w:rPr>
        <w:t>ASSESSMENT FIXTURES</w:t>
        <w:br/>
      </w:r>
      <w:r>
        <w:rPr>
          <w:rFonts w:ascii="Calibri" w:hAnsi="Calibri"/>
          <w:b w:val="0"/>
          <w:i w:val="0"/>
          <w:color w:val="20211D"/>
          <w:sz w:val="21"/>
        </w:rPr>
        <w:t>These accounts and rows are synthetic. Remove the assessment users and seed migrations before using the repository for real customer data.</w:t>
      </w:r>
    </w:p>
    <w:p>
      <w:pPr>
        <w:pStyle w:val="Heading1"/>
        <w:pageBreakBefore/>
        <w:keepNext/>
        <w:keepLines/>
        <w:widowControl/>
      </w:pPr>
      <w:r>
        <w:t>15. Production deployment</w:t>
      </w:r>
    </w:p>
    <w:p>
      <w:pPr>
        <w:pStyle w:val="Heading2"/>
        <w:keepNext/>
        <w:keepLines/>
        <w:widowControl/>
      </w:pPr>
      <w:r>
        <w:t>Supabase GitHub integration</w:t>
      </w:r>
    </w:p>
    <w:p>
      <w:pPr>
        <w:numPr>
          <w:ilvl w:val="0"/>
          <w:numId w:val="14"/>
        </w:numPr>
        <w:keepLines/>
        <w:widowControl/>
      </w:pPr>
      <w:r>
        <w:rPr>
          <w:rFonts w:ascii="Calibri" w:hAnsi="Calibri"/>
          <w:b w:val="0"/>
          <w:i w:val="0"/>
          <w:color w:val="20211D"/>
          <w:sz w:val="22"/>
        </w:rPr>
        <w:t xml:space="preserve">Connect the </w:t>
      </w:r>
      <w:r>
        <w:rPr>
          <w:rFonts w:ascii="Consolas" w:hAnsi="Consolas"/>
          <w:b w:val="0"/>
          <w:i w:val="0"/>
          <w:color w:val="20211D"/>
          <w:sz w:val="18"/>
        </w:rPr>
        <w:t>maluraditya/alba-assessments</w:t>
      </w:r>
      <w:r>
        <w:rPr>
          <w:rFonts w:ascii="Calibri" w:hAnsi="Calibri"/>
          <w:b w:val="0"/>
          <w:i w:val="0"/>
          <w:color w:val="20211D"/>
          <w:sz w:val="22"/>
        </w:rPr>
        <w:t xml:space="preserve"> repository.</w:t>
      </w:r>
    </w:p>
    <w:p>
      <w:pPr>
        <w:numPr>
          <w:ilvl w:val="0"/>
          <w:numId w:val="14"/>
        </w:numPr>
        <w:keepLines/>
        <w:widowControl/>
      </w:pPr>
      <w:r>
        <w:rPr>
          <w:rFonts w:ascii="Calibri" w:hAnsi="Calibri"/>
          <w:b w:val="0"/>
          <w:i w:val="0"/>
          <w:color w:val="20211D"/>
          <w:sz w:val="22"/>
        </w:rPr>
        <w:t xml:space="preserve">Set Working directory to </w:t>
      </w:r>
      <w:r>
        <w:rPr>
          <w:rFonts w:ascii="Consolas" w:hAnsi="Consolas"/>
          <w:b w:val="0"/>
          <w:i w:val="0"/>
          <w:color w:val="20211D"/>
          <w:sz w:val="18"/>
        </w:rPr>
        <w:t>02-dashboard</w:t>
      </w:r>
      <w:r>
        <w:rPr>
          <w:rFonts w:ascii="Calibri" w:hAnsi="Calibri"/>
          <w:b w:val="0"/>
          <w:i w:val="0"/>
          <w:color w:val="20211D"/>
          <w:sz w:val="22"/>
        </w:rPr>
        <w:t xml:space="preserve"> because that directory contains </w:t>
      </w:r>
      <w:r>
        <w:rPr>
          <w:rFonts w:ascii="Consolas" w:hAnsi="Consolas"/>
          <w:b w:val="0"/>
          <w:i w:val="0"/>
          <w:color w:val="20211D"/>
          <w:sz w:val="18"/>
        </w:rPr>
        <w:t>supabase/</w:t>
      </w:r>
      <w:r>
        <w:rPr>
          <w:rFonts w:ascii="Calibri" w:hAnsi="Calibri"/>
          <w:b w:val="0"/>
          <w:i w:val="0"/>
          <w:color w:val="20211D"/>
          <w:sz w:val="22"/>
        </w:rPr>
        <w:t>.</w:t>
      </w:r>
    </w:p>
    <w:p>
      <w:pPr>
        <w:numPr>
          <w:ilvl w:val="0"/>
          <w:numId w:val="14"/>
        </w:numPr>
        <w:keepLines/>
        <w:widowControl/>
      </w:pPr>
      <w:r>
        <w:rPr>
          <w:rFonts w:ascii="Calibri" w:hAnsi="Calibri"/>
          <w:b w:val="0"/>
          <w:i w:val="0"/>
          <w:color w:val="20211D"/>
          <w:sz w:val="22"/>
        </w:rPr>
        <w:t xml:space="preserve">Enable production migration deployment from the </w:t>
      </w:r>
      <w:r>
        <w:rPr>
          <w:rFonts w:ascii="Consolas" w:hAnsi="Consolas"/>
          <w:b w:val="0"/>
          <w:i w:val="0"/>
          <w:color w:val="20211D"/>
          <w:sz w:val="18"/>
        </w:rPr>
        <w:t>main</w:t>
      </w:r>
      <w:r>
        <w:rPr>
          <w:rFonts w:ascii="Calibri" w:hAnsi="Calibri"/>
          <w:b w:val="0"/>
          <w:i w:val="0"/>
          <w:color w:val="20211D"/>
          <w:sz w:val="22"/>
        </w:rPr>
        <w:t xml:space="preserve"> branch.</w:t>
      </w:r>
    </w:p>
    <w:p>
      <w:pPr>
        <w:numPr>
          <w:ilvl w:val="0"/>
          <w:numId w:val="14"/>
        </w:numPr>
        <w:keepLines/>
        <w:widowControl/>
      </w:pPr>
      <w:r>
        <w:rPr>
          <w:rFonts w:ascii="Calibri" w:hAnsi="Calibri"/>
          <w:b w:val="0"/>
          <w:i w:val="0"/>
          <w:color w:val="20211D"/>
          <w:sz w:val="22"/>
        </w:rPr>
        <w:t>Confirm all seven tables appear in the public schema with RLS enabled.</w:t>
      </w:r>
    </w:p>
    <w:p>
      <w:pPr>
        <w:pStyle w:val="Heading2"/>
        <w:keepNext/>
        <w:keepLines/>
        <w:widowControl/>
      </w:pPr>
      <w:r>
        <w:t>Vercel</w:t>
      </w:r>
    </w:p>
    <w:p>
      <w:pPr>
        <w:numPr>
          <w:ilvl w:val="0"/>
          <w:numId w:val="15"/>
        </w:numPr>
        <w:keepLines/>
        <w:widowControl/>
      </w:pPr>
      <w:r>
        <w:rPr>
          <w:rFonts w:ascii="Calibri" w:hAnsi="Calibri"/>
          <w:b w:val="0"/>
          <w:i w:val="0"/>
          <w:color w:val="20211D"/>
          <w:sz w:val="22"/>
        </w:rPr>
        <w:t xml:space="preserve">Import the GitHub repository and select </w:t>
      </w:r>
      <w:r>
        <w:rPr>
          <w:rFonts w:ascii="Consolas" w:hAnsi="Consolas"/>
          <w:b w:val="0"/>
          <w:i w:val="0"/>
          <w:color w:val="20211D"/>
          <w:sz w:val="18"/>
        </w:rPr>
        <w:t>02-dashboard</w:t>
      </w:r>
      <w:r>
        <w:rPr>
          <w:rFonts w:ascii="Calibri" w:hAnsi="Calibri"/>
          <w:b w:val="0"/>
          <w:i w:val="0"/>
          <w:color w:val="20211D"/>
          <w:sz w:val="22"/>
        </w:rPr>
        <w:t xml:space="preserve"> as the Root Directory.</w:t>
      </w:r>
    </w:p>
    <w:p>
      <w:pPr>
        <w:numPr>
          <w:ilvl w:val="0"/>
          <w:numId w:val="15"/>
        </w:numPr>
        <w:keepLines/>
        <w:widowControl/>
      </w:pPr>
      <w:r>
        <w:rPr>
          <w:rFonts w:ascii="Calibri" w:hAnsi="Calibri"/>
          <w:b w:val="0"/>
          <w:i w:val="0"/>
          <w:color w:val="20211D"/>
          <w:sz w:val="22"/>
        </w:rPr>
        <w:t xml:space="preserve">Keep Framework Preset as Next.js. </w:t>
      </w:r>
      <w:r>
        <w:rPr>
          <w:rFonts w:ascii="Consolas" w:hAnsi="Consolas"/>
          <w:b w:val="0"/>
          <w:i w:val="0"/>
          <w:color w:val="20211D"/>
          <w:sz w:val="18"/>
        </w:rPr>
        <w:t>vercel.json</w:t>
      </w:r>
      <w:r>
        <w:rPr>
          <w:rFonts w:ascii="Calibri" w:hAnsi="Calibri"/>
          <w:b w:val="0"/>
          <w:i w:val="0"/>
          <w:color w:val="20211D"/>
          <w:sz w:val="22"/>
        </w:rPr>
        <w:t xml:space="preserve"> runs </w:t>
      </w:r>
      <w:r>
        <w:rPr>
          <w:rFonts w:ascii="Consolas" w:hAnsi="Consolas"/>
          <w:b w:val="0"/>
          <w:i w:val="0"/>
          <w:color w:val="20211D"/>
          <w:sz w:val="18"/>
        </w:rPr>
        <w:t>npm run build</w:t>
      </w:r>
      <w:r>
        <w:rPr>
          <w:rFonts w:ascii="Calibri" w:hAnsi="Calibri"/>
          <w:b w:val="0"/>
          <w:i w:val="0"/>
          <w:color w:val="20211D"/>
          <w:sz w:val="22"/>
        </w:rPr>
        <w:t xml:space="preserve"> and expects </w:t>
      </w:r>
      <w:r>
        <w:rPr>
          <w:rFonts w:ascii="Consolas" w:hAnsi="Consolas"/>
          <w:b w:val="0"/>
          <w:i w:val="0"/>
          <w:color w:val="20211D"/>
          <w:sz w:val="18"/>
        </w:rPr>
        <w:t>.next</w:t>
      </w:r>
      <w:r>
        <w:rPr>
          <w:rFonts w:ascii="Calibri" w:hAnsi="Calibri"/>
          <w:b w:val="0"/>
          <w:i w:val="0"/>
          <w:color w:val="20211D"/>
          <w:sz w:val="22"/>
        </w:rPr>
        <w:t>.</w:t>
      </w:r>
    </w:p>
    <w:p>
      <w:pPr>
        <w:numPr>
          <w:ilvl w:val="0"/>
          <w:numId w:val="15"/>
        </w:numPr>
        <w:keepLines/>
        <w:widowControl/>
      </w:pPr>
      <w:r>
        <w:rPr>
          <w:rFonts w:ascii="Calibri" w:hAnsi="Calibri"/>
          <w:b w:val="0"/>
          <w:i w:val="0"/>
          <w:color w:val="20211D"/>
          <w:sz w:val="22"/>
        </w:rPr>
        <w:t>Set NEXT_PUBLIC_SUPABASE_URL to the hosted API URL and NEXT_PUBLIC_SUPABASE_PUBLISHABLE_KEY to the browser-safe publishable key for Production and Preview.</w:t>
      </w:r>
    </w:p>
    <w:p>
      <w:pPr>
        <w:numPr>
          <w:ilvl w:val="0"/>
          <w:numId w:val="15"/>
        </w:numPr>
        <w:keepLines/>
        <w:widowControl/>
      </w:pPr>
      <w:r>
        <w:rPr>
          <w:rFonts w:ascii="Calibri" w:hAnsi="Calibri"/>
          <w:b w:val="0"/>
          <w:i w:val="0"/>
          <w:color w:val="20211D"/>
          <w:sz w:val="22"/>
        </w:rPr>
        <w:t>Deploy, then repeat registration, login, CRUD, analytics, search, and two-account checks on the production URL.</w:t>
      </w:r>
    </w:p>
    <w:p>
      <w:pPr>
        <w:pStyle w:val="Heading2"/>
        <w:keepNext/>
        <w:keepLines/>
        <w:widowControl/>
      </w:pPr>
      <w:r>
        <w:t>Authentication URLs</w:t>
      </w:r>
    </w:p>
    <w:p>
      <w:pPr>
        <w:pStyle w:val="CodeBlock"/>
        <w:keepLines/>
        <w:shd w:fill="F4F5F0"/>
      </w:pPr>
      <w:r>
        <w:rPr>
          <w:rFonts w:ascii="Consolas" w:hAnsi="Consolas"/>
          <w:b w:val="0"/>
          <w:i w:val="0"/>
          <w:color w:val="20211D"/>
          <w:sz w:val="17"/>
        </w:rPr>
        <w:t>Site URL: https://your-domain.example</w:t>
        <w:br/>
        <w:t>Redirect URLs:</w:t>
        <w:br/>
        <w:t xml:space="preserve">  https://your-domain.example/auth/callback</w:t>
        <w:br/>
        <w:t xml:space="preserve">  https://your-domain.example/auth/reset</w:t>
      </w:r>
    </w:p>
    <w:p>
      <w:pPr>
        <w:keepLines/>
        <w:widowControl/>
      </w:pPr>
      <w:r>
        <w:rPr>
          <w:rFonts w:ascii="Calibri" w:hAnsi="Calibri"/>
          <w:b w:val="0"/>
          <w:i w:val="0"/>
          <w:color w:val="20211D"/>
          <w:sz w:val="22"/>
        </w:rPr>
        <w:t>Environment changes to NEXT_PUBLIC variables require a redeploy because their values are embedded in the browser bundle during compilation.</w:t>
      </w:r>
    </w:p>
    <w:p>
      <w:pPr>
        <w:pStyle w:val="Heading1"/>
        <w:pageBreakBefore/>
        <w:keepNext/>
        <w:keepLines/>
        <w:widowControl/>
      </w:pPr>
      <w:r>
        <w:t>16. Quality, performance, and accessibility</w:t>
      </w:r>
    </w:p>
    <w:p>
      <w:pPr>
        <w:pStyle w:val="Heading2"/>
        <w:keepNext/>
        <w:keepLines/>
        <w:widowControl/>
      </w:pPr>
      <w:r>
        <w:t>Automated quality gate</w:t>
      </w:r>
    </w:p>
    <w:p>
      <w:pPr>
        <w:pStyle w:val="ListBullet"/>
        <w:keepLines/>
        <w:widowControl/>
      </w:pPr>
      <w:r>
        <w:rPr>
          <w:rFonts w:ascii="Calibri" w:hAnsi="Calibri"/>
          <w:b w:val="0"/>
          <w:i w:val="0"/>
          <w:color w:val="20211D"/>
          <w:sz w:val="22"/>
        </w:rPr>
        <w:t>Strict TypeScript (</w:t>
      </w:r>
      <w:r>
        <w:rPr>
          <w:rFonts w:ascii="Consolas" w:hAnsi="Consolas"/>
          <w:b w:val="0"/>
          <w:i w:val="0"/>
          <w:color w:val="20211D"/>
          <w:sz w:val="18"/>
        </w:rPr>
        <w:t>tsc --noEmit</w:t>
      </w:r>
      <w:r>
        <w:rPr>
          <w:rFonts w:ascii="Calibri" w:hAnsi="Calibri"/>
          <w:b w:val="0"/>
          <w:i w:val="0"/>
          <w:color w:val="20211D"/>
          <w:sz w:val="22"/>
        </w:rPr>
        <w:t>)</w:t>
      </w:r>
    </w:p>
    <w:p>
      <w:pPr>
        <w:pStyle w:val="ListBullet"/>
        <w:keepLines/>
        <w:widowControl/>
      </w:pPr>
      <w:r>
        <w:rPr>
          <w:rFonts w:ascii="Calibri" w:hAnsi="Calibri"/>
          <w:b w:val="0"/>
          <w:i w:val="0"/>
          <w:color w:val="20211D"/>
          <w:sz w:val="22"/>
        </w:rPr>
        <w:t>Next.js ESLint and React rules</w:t>
      </w:r>
    </w:p>
    <w:p>
      <w:pPr>
        <w:pStyle w:val="ListBullet"/>
        <w:keepLines/>
        <w:widowControl/>
      </w:pPr>
      <w:r>
        <w:rPr>
          <w:rFonts w:ascii="Calibri" w:hAnsi="Calibri"/>
          <w:b w:val="0"/>
          <w:i w:val="0"/>
          <w:color w:val="20211D"/>
          <w:sz w:val="22"/>
        </w:rPr>
        <w:t>Native Vercel production build</w:t>
      </w:r>
    </w:p>
    <w:p>
      <w:pPr>
        <w:pStyle w:val="ListBullet"/>
        <w:keepLines/>
        <w:widowControl/>
      </w:pPr>
      <w:r>
        <w:rPr>
          <w:rFonts w:ascii="Calibri" w:hAnsi="Calibri"/>
          <w:b w:val="0"/>
          <w:i w:val="0"/>
          <w:color w:val="20211D"/>
          <w:sz w:val="22"/>
        </w:rPr>
        <w:t>Vinext/Sites-compatible build</w:t>
      </w:r>
    </w:p>
    <w:p>
      <w:pPr>
        <w:pStyle w:val="ListBullet"/>
        <w:keepLines/>
        <w:widowControl/>
      </w:pPr>
      <w:r>
        <w:rPr>
          <w:rFonts w:ascii="Calibri" w:hAnsi="Calibri"/>
          <w:b w:val="0"/>
          <w:i w:val="0"/>
          <w:color w:val="20211D"/>
          <w:sz w:val="22"/>
        </w:rPr>
        <w:t>Ten repository contract tests covering routes, authentication, persistent loading shell, RLS, SQL analytics, global search, and deployment configuration</w:t>
      </w:r>
    </w:p>
    <w:p>
      <w:pPr>
        <w:pStyle w:val="Heading2"/>
        <w:keepNext/>
        <w:keepLines/>
        <w:widowControl/>
      </w:pPr>
      <w:r>
        <w:t>Lighthouse</w:t>
      </w:r>
    </w:p>
    <w:p>
      <w:pPr>
        <w:keepLines/>
        <w:widowControl/>
      </w:pPr>
      <w:r>
        <w:rPr>
          <w:rFonts w:ascii="Calibri" w:hAnsi="Calibri"/>
          <w:b w:val="0"/>
          <w:i w:val="0"/>
          <w:color w:val="20211D"/>
          <w:sz w:val="22"/>
        </w:rPr>
        <w:t xml:space="preserve">Lighthouse 12.8.2 was run three times against </w:t>
      </w:r>
      <w:r>
        <w:rPr>
          <w:rFonts w:ascii="Consolas" w:hAnsi="Consolas"/>
          <w:b w:val="0"/>
          <w:i w:val="0"/>
          <w:color w:val="20211D"/>
          <w:sz w:val="18"/>
        </w:rPr>
        <w:t>/login</w:t>
      </w:r>
      <w:r>
        <w:rPr>
          <w:rFonts w:ascii="Calibri" w:hAnsi="Calibri"/>
          <w:b w:val="0"/>
          <w:i w:val="0"/>
          <w:color w:val="20211D"/>
          <w:sz w:val="22"/>
        </w:rPr>
        <w:t xml:space="preserve"> from the native Next.js production build using its default mobile profile. Median scores are reported to reduce single-run variance. Scores are out of 100; 90 or above is Lighthouse's highest, green rating band.</w:t>
      </w:r>
    </w:p>
    <w:tbl>
      <w:tblPr>
        <w:tblStyle w:val="TableGrid"/>
        <w:tblW w:type="dxa" w:w="9360"/>
        <w:jc w:val="left"/>
        <w:tblLayout w:type="fixed"/>
        <w:tblLook w:firstColumn="1" w:firstRow="1" w:lastColumn="0" w:lastRow="0" w:noHBand="0" w:noVBand="1" w:val="04A0"/>
        <w:tblInd w:w="120" w:type="dxa"/>
      </w:tblPr>
      <w:tblGrid>
        <w:gridCol w:w="5000"/>
        <w:gridCol w:w="4360"/>
      </w:tblGrid>
      <w:tr>
        <w:trPr>
          <w:tblHeader w:val="true"/>
        </w:trPr>
        <w:tc>
          <w:tcPr>
            <w:tcW w:type="dxa" w:w="5000"/>
            <w:shd w:fill="D8FF72"/>
            <w:vAlign w:val="center"/>
            <w:tcMar>
              <w:top w:w="90" w:type="dxa"/>
              <w:start w:w="120" w:type="dxa"/>
              <w:bottom w:w="90" w:type="dxa"/>
              <w:end w:w="120" w:type="dxa"/>
            </w:tcMar>
          </w:tcPr>
          <w:p>
            <w:pPr>
              <w:spacing w:after="0"/>
            </w:pPr>
            <w:r>
              <w:rPr>
                <w:rFonts w:ascii="Calibri" w:hAnsi="Calibri"/>
                <w:b/>
                <w:i w:val="0"/>
                <w:color w:val="17221B"/>
                <w:sz w:val="20"/>
              </w:rPr>
              <w:t>Category</w:t>
            </w:r>
          </w:p>
        </w:tc>
        <w:tc>
          <w:tcPr>
            <w:tcW w:type="dxa" w:w="4360"/>
            <w:shd w:fill="D8FF72"/>
            <w:vAlign w:val="center"/>
            <w:tcMar>
              <w:top w:w="90" w:type="dxa"/>
              <w:start w:w="120" w:type="dxa"/>
              <w:bottom w:w="90" w:type="dxa"/>
              <w:end w:w="120" w:type="dxa"/>
            </w:tcMar>
          </w:tcPr>
          <w:p>
            <w:pPr>
              <w:spacing w:after="0"/>
            </w:pPr>
            <w:r>
              <w:rPr>
                <w:rFonts w:ascii="Calibri" w:hAnsi="Calibri"/>
                <w:b/>
                <w:i w:val="0"/>
                <w:color w:val="17221B"/>
                <w:sz w:val="20"/>
              </w:rPr>
              <w:t>Median score</w:t>
            </w:r>
          </w:p>
        </w:tc>
      </w:tr>
      <w:tr>
        <w:tc>
          <w:tcPr>
            <w:tcW w:type="dxa" w:w="5000"/>
            <w:vAlign w:val="center"/>
            <w:tcMar>
              <w:top w:w="90" w:type="dxa"/>
              <w:start w:w="120" w:type="dxa"/>
              <w:bottom w:w="90" w:type="dxa"/>
              <w:end w:w="120" w:type="dxa"/>
            </w:tcMar>
          </w:tcPr>
          <w:p>
            <w:pPr>
              <w:spacing w:after="0" w:line="269" w:lineRule="auto"/>
            </w:pPr>
            <w:r>
              <w:rPr>
                <w:rFonts w:ascii="Calibri" w:hAnsi="Calibri"/>
                <w:b w:val="0"/>
                <w:i w:val="0"/>
                <w:color w:val="20211D"/>
                <w:sz w:val="20"/>
              </w:rPr>
              <w:t>Performance</w:t>
            </w:r>
          </w:p>
        </w:tc>
        <w:tc>
          <w:tcPr>
            <w:tcW w:type="dxa" w:w="4360"/>
            <w:vAlign w:val="center"/>
            <w:tcMar>
              <w:top w:w="90" w:type="dxa"/>
              <w:start w:w="120" w:type="dxa"/>
              <w:bottom w:w="90" w:type="dxa"/>
              <w:end w:w="120" w:type="dxa"/>
            </w:tcMar>
          </w:tcPr>
          <w:p>
            <w:pPr>
              <w:spacing w:after="0" w:line="269" w:lineRule="auto"/>
            </w:pPr>
            <w:r>
              <w:rPr>
                <w:rFonts w:ascii="Calibri" w:hAnsi="Calibri"/>
                <w:b w:val="0"/>
                <w:i w:val="0"/>
                <w:color w:val="20211D"/>
                <w:sz w:val="20"/>
              </w:rPr>
              <w:t>95</w:t>
            </w:r>
          </w:p>
        </w:tc>
      </w:tr>
      <w:tr>
        <w:tc>
          <w:tcPr>
            <w:tcW w:type="dxa" w:w="5000"/>
            <w:vAlign w:val="center"/>
            <w:tcMar>
              <w:top w:w="90" w:type="dxa"/>
              <w:start w:w="120" w:type="dxa"/>
              <w:bottom w:w="90" w:type="dxa"/>
              <w:end w:w="120" w:type="dxa"/>
            </w:tcMar>
          </w:tcPr>
          <w:p>
            <w:pPr>
              <w:spacing w:after="0" w:line="269" w:lineRule="auto"/>
            </w:pPr>
            <w:r>
              <w:rPr>
                <w:rFonts w:ascii="Calibri" w:hAnsi="Calibri"/>
                <w:b w:val="0"/>
                <w:i w:val="0"/>
                <w:color w:val="20211D"/>
                <w:sz w:val="20"/>
              </w:rPr>
              <w:t>Accessibility</w:t>
            </w:r>
          </w:p>
        </w:tc>
        <w:tc>
          <w:tcPr>
            <w:tcW w:type="dxa" w:w="4360"/>
            <w:vAlign w:val="center"/>
            <w:tcMar>
              <w:top w:w="90" w:type="dxa"/>
              <w:start w:w="120" w:type="dxa"/>
              <w:bottom w:w="90" w:type="dxa"/>
              <w:end w:w="120" w:type="dxa"/>
            </w:tcMar>
          </w:tcPr>
          <w:p>
            <w:pPr>
              <w:spacing w:after="0" w:line="269" w:lineRule="auto"/>
            </w:pPr>
            <w:r>
              <w:rPr>
                <w:rFonts w:ascii="Calibri" w:hAnsi="Calibri"/>
                <w:b w:val="0"/>
                <w:i w:val="0"/>
                <w:color w:val="20211D"/>
                <w:sz w:val="20"/>
              </w:rPr>
              <w:t>100</w:t>
            </w:r>
          </w:p>
        </w:tc>
      </w:tr>
      <w:tr>
        <w:tc>
          <w:tcPr>
            <w:tcW w:type="dxa" w:w="5000"/>
            <w:vAlign w:val="center"/>
            <w:tcMar>
              <w:top w:w="90" w:type="dxa"/>
              <w:start w:w="120" w:type="dxa"/>
              <w:bottom w:w="90" w:type="dxa"/>
              <w:end w:w="120" w:type="dxa"/>
            </w:tcMar>
          </w:tcPr>
          <w:p>
            <w:pPr>
              <w:spacing w:after="0" w:line="269" w:lineRule="auto"/>
            </w:pPr>
            <w:r>
              <w:rPr>
                <w:rFonts w:ascii="Calibri" w:hAnsi="Calibri"/>
                <w:b w:val="0"/>
                <w:i w:val="0"/>
                <w:color w:val="20211D"/>
                <w:sz w:val="20"/>
              </w:rPr>
              <w:t>Best Practices</w:t>
            </w:r>
          </w:p>
        </w:tc>
        <w:tc>
          <w:tcPr>
            <w:tcW w:type="dxa" w:w="4360"/>
            <w:vAlign w:val="center"/>
            <w:tcMar>
              <w:top w:w="90" w:type="dxa"/>
              <w:start w:w="120" w:type="dxa"/>
              <w:bottom w:w="90" w:type="dxa"/>
              <w:end w:w="120" w:type="dxa"/>
            </w:tcMar>
          </w:tcPr>
          <w:p>
            <w:pPr>
              <w:spacing w:after="0" w:line="269" w:lineRule="auto"/>
            </w:pPr>
            <w:r>
              <w:rPr>
                <w:rFonts w:ascii="Calibri" w:hAnsi="Calibri"/>
                <w:b w:val="0"/>
                <w:i w:val="0"/>
                <w:color w:val="20211D"/>
                <w:sz w:val="20"/>
              </w:rPr>
              <w:t>96</w:t>
            </w:r>
          </w:p>
        </w:tc>
      </w:tr>
      <w:tr>
        <w:tc>
          <w:tcPr>
            <w:tcW w:type="dxa" w:w="5000"/>
            <w:vAlign w:val="center"/>
            <w:tcMar>
              <w:top w:w="90" w:type="dxa"/>
              <w:start w:w="120" w:type="dxa"/>
              <w:bottom w:w="90" w:type="dxa"/>
              <w:end w:w="120" w:type="dxa"/>
            </w:tcMar>
          </w:tcPr>
          <w:p>
            <w:pPr>
              <w:spacing w:after="0" w:line="269" w:lineRule="auto"/>
            </w:pPr>
            <w:r>
              <w:rPr>
                <w:rFonts w:ascii="Calibri" w:hAnsi="Calibri"/>
                <w:b w:val="0"/>
                <w:i w:val="0"/>
                <w:color w:val="20211D"/>
                <w:sz w:val="20"/>
              </w:rPr>
              <w:t>SEO</w:t>
            </w:r>
          </w:p>
        </w:tc>
        <w:tc>
          <w:tcPr>
            <w:tcW w:type="dxa" w:w="4360"/>
            <w:vAlign w:val="center"/>
            <w:tcMar>
              <w:top w:w="90" w:type="dxa"/>
              <w:start w:w="120" w:type="dxa"/>
              <w:bottom w:w="90" w:type="dxa"/>
              <w:end w:w="120" w:type="dxa"/>
            </w:tcMar>
          </w:tcPr>
          <w:p>
            <w:pPr>
              <w:spacing w:after="0" w:line="269" w:lineRule="auto"/>
            </w:pPr>
            <w:r>
              <w:rPr>
                <w:rFonts w:ascii="Calibri" w:hAnsi="Calibri"/>
                <w:b w:val="0"/>
                <w:i w:val="0"/>
                <w:color w:val="20211D"/>
                <w:sz w:val="20"/>
              </w:rPr>
              <w:t>100</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5000"/>
        <w:gridCol w:w="4360"/>
      </w:tblGrid>
      <w:tr>
        <w:trPr>
          <w:tblHeader w:val="true"/>
        </w:trPr>
        <w:tc>
          <w:tcPr>
            <w:tcW w:type="dxa" w:w="5000"/>
            <w:shd w:fill="E8EEF5"/>
            <w:vAlign w:val="center"/>
            <w:tcMar>
              <w:top w:w="90" w:type="dxa"/>
              <w:start w:w="120" w:type="dxa"/>
              <w:bottom w:w="90" w:type="dxa"/>
              <w:end w:w="120" w:type="dxa"/>
            </w:tcMar>
          </w:tcPr>
          <w:p>
            <w:pPr>
              <w:spacing w:after="0"/>
            </w:pPr>
            <w:r>
              <w:rPr>
                <w:rFonts w:ascii="Calibri" w:hAnsi="Calibri"/>
                <w:b/>
                <w:i w:val="0"/>
                <w:color w:val="17221B"/>
                <w:sz w:val="19"/>
              </w:rPr>
              <w:t>Lab metric</w:t>
            </w:r>
          </w:p>
        </w:tc>
        <w:tc>
          <w:tcPr>
            <w:tcW w:type="dxa" w:w="4360"/>
            <w:shd w:fill="E8EEF5"/>
            <w:vAlign w:val="center"/>
            <w:tcMar>
              <w:top w:w="90" w:type="dxa"/>
              <w:start w:w="120" w:type="dxa"/>
              <w:bottom w:w="90" w:type="dxa"/>
              <w:end w:w="120" w:type="dxa"/>
            </w:tcMar>
          </w:tcPr>
          <w:p>
            <w:pPr>
              <w:spacing w:after="0"/>
            </w:pPr>
            <w:r>
              <w:rPr>
                <w:rFonts w:ascii="Calibri" w:hAnsi="Calibri"/>
                <w:b/>
                <w:i w:val="0"/>
                <w:color w:val="17221B"/>
                <w:sz w:val="19"/>
              </w:rPr>
              <w:t>Median</w:t>
            </w:r>
          </w:p>
        </w:tc>
      </w:tr>
      <w:tr>
        <w:tc>
          <w:tcPr>
            <w:tcW w:type="dxa" w:w="5000"/>
            <w:vAlign w:val="center"/>
            <w:tcMar>
              <w:top w:w="90" w:type="dxa"/>
              <w:start w:w="120" w:type="dxa"/>
              <w:bottom w:w="90" w:type="dxa"/>
              <w:end w:w="120" w:type="dxa"/>
            </w:tcMar>
          </w:tcPr>
          <w:p>
            <w:pPr>
              <w:spacing w:after="0" w:line="269" w:lineRule="auto"/>
            </w:pPr>
            <w:r>
              <w:rPr>
                <w:rFonts w:ascii="Calibri" w:hAnsi="Calibri"/>
                <w:b w:val="0"/>
                <w:i w:val="0"/>
                <w:color w:val="20211D"/>
                <w:sz w:val="19"/>
              </w:rPr>
              <w:t>First Contentful Paint</w:t>
            </w:r>
          </w:p>
        </w:tc>
        <w:tc>
          <w:tcPr>
            <w:tcW w:type="dxa" w:w="4360"/>
            <w:vAlign w:val="center"/>
            <w:tcMar>
              <w:top w:w="90" w:type="dxa"/>
              <w:start w:w="120" w:type="dxa"/>
              <w:bottom w:w="90" w:type="dxa"/>
              <w:end w:w="120" w:type="dxa"/>
            </w:tcMar>
          </w:tcPr>
          <w:p>
            <w:pPr>
              <w:spacing w:after="0" w:line="269" w:lineRule="auto"/>
            </w:pPr>
            <w:r>
              <w:rPr>
                <w:rFonts w:ascii="Calibri" w:hAnsi="Calibri"/>
                <w:b w:val="0"/>
                <w:i w:val="0"/>
                <w:color w:val="20211D"/>
                <w:sz w:val="19"/>
              </w:rPr>
              <w:t>0.8 s</w:t>
            </w:r>
          </w:p>
        </w:tc>
      </w:tr>
      <w:tr>
        <w:tc>
          <w:tcPr>
            <w:tcW w:type="dxa" w:w="5000"/>
            <w:vAlign w:val="center"/>
            <w:tcMar>
              <w:top w:w="90" w:type="dxa"/>
              <w:start w:w="120" w:type="dxa"/>
              <w:bottom w:w="90" w:type="dxa"/>
              <w:end w:w="120" w:type="dxa"/>
            </w:tcMar>
          </w:tcPr>
          <w:p>
            <w:pPr>
              <w:spacing w:after="0" w:line="269" w:lineRule="auto"/>
            </w:pPr>
            <w:r>
              <w:rPr>
                <w:rFonts w:ascii="Calibri" w:hAnsi="Calibri"/>
                <w:b w:val="0"/>
                <w:i w:val="0"/>
                <w:color w:val="20211D"/>
                <w:sz w:val="19"/>
              </w:rPr>
              <w:t>Largest Contentful Paint</w:t>
            </w:r>
          </w:p>
        </w:tc>
        <w:tc>
          <w:tcPr>
            <w:tcW w:type="dxa" w:w="4360"/>
            <w:vAlign w:val="center"/>
            <w:tcMar>
              <w:top w:w="90" w:type="dxa"/>
              <w:start w:w="120" w:type="dxa"/>
              <w:bottom w:w="90" w:type="dxa"/>
              <w:end w:w="120" w:type="dxa"/>
            </w:tcMar>
          </w:tcPr>
          <w:p>
            <w:pPr>
              <w:spacing w:after="0" w:line="269" w:lineRule="auto"/>
            </w:pPr>
            <w:r>
              <w:rPr>
                <w:rFonts w:ascii="Calibri" w:hAnsi="Calibri"/>
                <w:b w:val="0"/>
                <w:i w:val="0"/>
                <w:color w:val="20211D"/>
                <w:sz w:val="19"/>
              </w:rPr>
              <w:t>2.9 s</w:t>
            </w:r>
          </w:p>
        </w:tc>
      </w:tr>
      <w:tr>
        <w:tc>
          <w:tcPr>
            <w:tcW w:type="dxa" w:w="5000"/>
            <w:vAlign w:val="center"/>
            <w:tcMar>
              <w:top w:w="90" w:type="dxa"/>
              <w:start w:w="120" w:type="dxa"/>
              <w:bottom w:w="90" w:type="dxa"/>
              <w:end w:w="120" w:type="dxa"/>
            </w:tcMar>
          </w:tcPr>
          <w:p>
            <w:pPr>
              <w:spacing w:after="0" w:line="269" w:lineRule="auto"/>
            </w:pPr>
            <w:r>
              <w:rPr>
                <w:rFonts w:ascii="Calibri" w:hAnsi="Calibri"/>
                <w:b w:val="0"/>
                <w:i w:val="0"/>
                <w:color w:val="20211D"/>
                <w:sz w:val="19"/>
              </w:rPr>
              <w:t>Total Blocking Time</w:t>
            </w:r>
          </w:p>
        </w:tc>
        <w:tc>
          <w:tcPr>
            <w:tcW w:type="dxa" w:w="4360"/>
            <w:vAlign w:val="center"/>
            <w:tcMar>
              <w:top w:w="90" w:type="dxa"/>
              <w:start w:w="120" w:type="dxa"/>
              <w:bottom w:w="90" w:type="dxa"/>
              <w:end w:w="120" w:type="dxa"/>
            </w:tcMar>
          </w:tcPr>
          <w:p>
            <w:pPr>
              <w:spacing w:after="0" w:line="269" w:lineRule="auto"/>
            </w:pPr>
            <w:r>
              <w:rPr>
                <w:rFonts w:ascii="Calibri" w:hAnsi="Calibri"/>
                <w:b w:val="0"/>
                <w:i w:val="0"/>
                <w:color w:val="20211D"/>
                <w:sz w:val="19"/>
              </w:rPr>
              <w:t>130 ms</w:t>
            </w:r>
          </w:p>
        </w:tc>
      </w:tr>
      <w:tr>
        <w:tc>
          <w:tcPr>
            <w:tcW w:type="dxa" w:w="5000"/>
            <w:vAlign w:val="center"/>
            <w:tcMar>
              <w:top w:w="90" w:type="dxa"/>
              <w:start w:w="120" w:type="dxa"/>
              <w:bottom w:w="90" w:type="dxa"/>
              <w:end w:w="120" w:type="dxa"/>
            </w:tcMar>
          </w:tcPr>
          <w:p>
            <w:pPr>
              <w:spacing w:after="0" w:line="269" w:lineRule="auto"/>
            </w:pPr>
            <w:r>
              <w:rPr>
                <w:rFonts w:ascii="Calibri" w:hAnsi="Calibri"/>
                <w:b w:val="0"/>
                <w:i w:val="0"/>
                <w:color w:val="20211D"/>
                <w:sz w:val="19"/>
              </w:rPr>
              <w:t>Cumulative Layout Shift</w:t>
            </w:r>
          </w:p>
        </w:tc>
        <w:tc>
          <w:tcPr>
            <w:tcW w:type="dxa" w:w="4360"/>
            <w:vAlign w:val="center"/>
            <w:tcMar>
              <w:top w:w="90" w:type="dxa"/>
              <w:start w:w="120" w:type="dxa"/>
              <w:bottom w:w="90" w:type="dxa"/>
              <w:end w:w="120" w:type="dxa"/>
            </w:tcMar>
          </w:tcPr>
          <w:p>
            <w:pPr>
              <w:spacing w:after="0" w:line="269" w:lineRule="auto"/>
            </w:pPr>
            <w:r>
              <w:rPr>
                <w:rFonts w:ascii="Calibri" w:hAnsi="Calibri"/>
                <w:b w:val="0"/>
                <w:i w:val="0"/>
                <w:color w:val="20211D"/>
                <w:sz w:val="19"/>
              </w:rPr>
              <w:t>0</w:t>
            </w:r>
          </w:p>
        </w:tc>
      </w:tr>
      <w:tr>
        <w:tc>
          <w:tcPr>
            <w:tcW w:type="dxa" w:w="5000"/>
            <w:vAlign w:val="center"/>
            <w:tcMar>
              <w:top w:w="90" w:type="dxa"/>
              <w:start w:w="120" w:type="dxa"/>
              <w:bottom w:w="90" w:type="dxa"/>
              <w:end w:w="120" w:type="dxa"/>
            </w:tcMar>
          </w:tcPr>
          <w:p>
            <w:pPr>
              <w:spacing w:after="0" w:line="269" w:lineRule="auto"/>
            </w:pPr>
            <w:r>
              <w:rPr>
                <w:rFonts w:ascii="Calibri" w:hAnsi="Calibri"/>
                <w:b w:val="0"/>
                <w:i w:val="0"/>
                <w:color w:val="20211D"/>
                <w:sz w:val="19"/>
              </w:rPr>
              <w:t>Speed Index</w:t>
            </w:r>
          </w:p>
        </w:tc>
        <w:tc>
          <w:tcPr>
            <w:tcW w:type="dxa" w:w="4360"/>
            <w:vAlign w:val="center"/>
            <w:tcMar>
              <w:top w:w="90" w:type="dxa"/>
              <w:start w:w="120" w:type="dxa"/>
              <w:bottom w:w="90" w:type="dxa"/>
              <w:end w:w="120" w:type="dxa"/>
            </w:tcMar>
          </w:tcPr>
          <w:p>
            <w:pPr>
              <w:spacing w:after="0" w:line="269" w:lineRule="auto"/>
            </w:pPr>
            <w:r>
              <w:rPr>
                <w:rFonts w:ascii="Calibri" w:hAnsi="Calibri"/>
                <w:b w:val="0"/>
                <w:i w:val="0"/>
                <w:color w:val="20211D"/>
                <w:sz w:val="19"/>
              </w:rPr>
              <w:t>1.5 s</w:t>
            </w:r>
          </w:p>
        </w:tc>
      </w:tr>
    </w:tbl>
    <w:p>
      <w:pPr>
        <w:spacing w:after="20"/>
      </w:pPr>
    </w:p>
    <w:p>
      <w:pPr>
        <w:keepLines/>
        <w:widowControl/>
      </w:pPr>
      <w:r>
        <w:rPr>
          <w:rFonts w:ascii="Calibri" w:hAnsi="Calibri"/>
          <w:b w:val="0"/>
          <w:i w:val="0"/>
          <w:color w:val="20211D"/>
          <w:sz w:val="22"/>
        </w:rPr>
        <w:t>The generated Vercel deployment URL requires Vercel authentication for unauthenticated visitors, so the production bundle was audited through a local production server rather than measuring Vercel's protection page.</w:t>
      </w:r>
    </w:p>
    <w:p>
      <w:pPr>
        <w:pStyle w:val="Heading2"/>
        <w:keepNext/>
        <w:keepLines/>
        <w:widowControl/>
      </w:pPr>
      <w:r>
        <w:t>Accessibility design</w:t>
      </w:r>
    </w:p>
    <w:p>
      <w:pPr>
        <w:pStyle w:val="ListBullet"/>
        <w:keepLines/>
        <w:widowControl/>
      </w:pPr>
      <w:r>
        <w:rPr>
          <w:rFonts w:ascii="Calibri" w:hAnsi="Calibri"/>
          <w:b w:val="0"/>
          <w:i w:val="0"/>
          <w:color w:val="20211D"/>
          <w:sz w:val="22"/>
        </w:rPr>
        <w:t>Semantic headings, tables, labels, buttons, and navigation landmarks.</w:t>
      </w:r>
    </w:p>
    <w:p>
      <w:pPr>
        <w:pStyle w:val="ListBullet"/>
        <w:keepLines/>
        <w:widowControl/>
      </w:pPr>
      <w:r>
        <w:rPr>
          <w:rFonts w:ascii="Calibri" w:hAnsi="Calibri"/>
          <w:b w:val="0"/>
          <w:i w:val="0"/>
          <w:color w:val="20211D"/>
          <w:sz w:val="22"/>
        </w:rPr>
        <w:t>Visible keyboard focus and Cmd/Ctrl+K command-menu access.</w:t>
      </w:r>
    </w:p>
    <w:p>
      <w:pPr>
        <w:pStyle w:val="ListBullet"/>
        <w:keepLines/>
        <w:widowControl/>
      </w:pPr>
      <w:r>
        <w:rPr>
          <w:rFonts w:ascii="Calibri" w:hAnsi="Calibri"/>
          <w:b w:val="0"/>
          <w:i w:val="0"/>
          <w:color w:val="20211D"/>
          <w:sz w:val="22"/>
        </w:rPr>
        <w:t>ARIA names on icon controls and live status messaging on authentication steps.</w:t>
      </w:r>
    </w:p>
    <w:p>
      <w:pPr>
        <w:pStyle w:val="ListBullet"/>
        <w:keepLines/>
        <w:widowControl/>
      </w:pPr>
      <w:r>
        <w:rPr>
          <w:rFonts w:ascii="Calibri" w:hAnsi="Calibri"/>
          <w:b w:val="0"/>
          <w:i w:val="0"/>
          <w:color w:val="20211D"/>
          <w:sz w:val="22"/>
        </w:rPr>
        <w:t>Reduced-motion behavior for users who request it.</w:t>
      </w:r>
    </w:p>
    <w:p>
      <w:pPr>
        <w:pStyle w:val="ListBullet"/>
        <w:keepLines/>
        <w:widowControl/>
      </w:pPr>
      <w:r>
        <w:rPr>
          <w:rFonts w:ascii="Calibri" w:hAnsi="Calibri"/>
          <w:b w:val="0"/>
          <w:i w:val="0"/>
          <w:color w:val="20211D"/>
          <w:sz w:val="22"/>
        </w:rPr>
        <w:t>High-contrast chart tooltips and persistent loading context.</w:t>
      </w:r>
    </w:p>
    <w:p>
      <w:pPr>
        <w:pStyle w:val="Heading1"/>
        <w:pageBreakBefore/>
        <w:keepNext/>
        <w:keepLines/>
        <w:widowControl/>
      </w:pPr>
      <w:r>
        <w:t>17. Folder structure and source-of-truth map</w:t>
      </w:r>
    </w:p>
    <w:p>
      <w:pPr>
        <w:pStyle w:val="CodeBlock"/>
        <w:keepLines/>
        <w:shd w:fill="F4F5F0"/>
      </w:pPr>
      <w:r>
        <w:rPr>
          <w:rFonts w:ascii="Consolas" w:hAnsi="Consolas"/>
          <w:b w:val="0"/>
          <w:i w:val="0"/>
          <w:color w:val="20211D"/>
          <w:sz w:val="17"/>
        </w:rPr>
        <w:t>app/                   App Router pages, auth callbacks, loading and errors</w:t>
        <w:br/>
        <w:t>components/            Feature, layout, chart, form and UI components</w:t>
        <w:br/>
        <w:t>hooks/                 Reusable optimistic collection state</w:t>
        <w:br/>
        <w:t>lib/data/              Authenticated repositories, loaders and analytics client</w:t>
        <w:br/>
        <w:t>lib/supabase/          Browser/server clients and validated public configuration</w:t>
        <w:br/>
        <w:t>supabase/migrations/   Schema, RLS, functions, fixes and hosted assessment seed</w:t>
        <w:br/>
        <w:t>supabase/seed.sql      Deterministic local demo data</w:t>
        <w:br/>
        <w:t>docs/                  ERD, architecture, schema, security, deployment and build log</w:t>
        <w:br/>
        <w:t>tests/                 Repository contract and regression tests</w:t>
      </w:r>
    </w:p>
    <w:p>
      <w:pPr>
        <w:pStyle w:val="Heading2"/>
        <w:keepNext/>
        <w:keepLines/>
        <w:widowControl/>
      </w:pPr>
      <w:r>
        <w:t>No duplicated data stack</w:t>
      </w:r>
    </w:p>
    <w:p>
      <w:pPr>
        <w:keepLines/>
        <w:widowControl/>
      </w:pPr>
      <w:r>
        <w:rPr>
          <w:rFonts w:ascii="Calibri" w:hAnsi="Calibri"/>
          <w:b w:val="0"/>
          <w:i w:val="0"/>
          <w:color w:val="20211D"/>
          <w:sz w:val="22"/>
        </w:rPr>
        <w:t>Supabase is the only CRM source of truth. The application contains no local JSON fallback, browser-storage CRM database, inline application SQL, or alternate persistence layer. Database behavior belongs in migrations; frontend access belongs in reusable typed services.</w:t>
      </w:r>
    </w:p>
    <w:p>
      <w:pPr>
        <w:pStyle w:val="Heading1"/>
        <w:pageBreakBefore/>
        <w:keepNext/>
        <w:keepLines/>
        <w:widowControl/>
      </w:pPr>
      <w:r>
        <w:t>18. Known limitations and next steps</w:t>
      </w:r>
    </w:p>
    <w:p>
      <w:pPr>
        <w:pStyle w:val="Heading2"/>
        <w:keepNext/>
        <w:keepLines/>
        <w:widowControl/>
      </w:pPr>
      <w:r>
        <w:t>Deliberately out of scope</w:t>
      </w:r>
    </w:p>
    <w:p>
      <w:pPr>
        <w:pStyle w:val="ListBullet"/>
        <w:keepLines/>
        <w:widowControl/>
      </w:pPr>
      <w:r>
        <w:rPr>
          <w:rFonts w:ascii="Calibri" w:hAnsi="Calibri"/>
          <w:b w:val="0"/>
          <w:i w:val="0"/>
          <w:color w:val="20211D"/>
          <w:sz w:val="22"/>
        </w:rPr>
        <w:t>Realtime subscriptions: the selected advanced work focused on authentication, RLS, and server analytics.</w:t>
      </w:r>
    </w:p>
    <w:p>
      <w:pPr>
        <w:pStyle w:val="ListBullet"/>
        <w:keepLines/>
        <w:widowControl/>
      </w:pPr>
      <w:r>
        <w:rPr>
          <w:rFonts w:ascii="Calibri" w:hAnsi="Calibri"/>
          <w:b w:val="0"/>
          <w:i w:val="0"/>
          <w:color w:val="20211D"/>
          <w:sz w:val="22"/>
        </w:rPr>
        <w:t>File attachments: no Storage bucket or Edge Function is required for the selected CRM workflows.</w:t>
      </w:r>
    </w:p>
    <w:p>
      <w:pPr>
        <w:pStyle w:val="ListBullet"/>
        <w:keepLines/>
        <w:widowControl/>
      </w:pPr>
      <w:r>
        <w:rPr>
          <w:rFonts w:ascii="Calibri" w:hAnsi="Calibri"/>
          <w:b w:val="0"/>
          <w:i w:val="0"/>
          <w:color w:val="20211D"/>
          <w:sz w:val="22"/>
        </w:rPr>
        <w:t>Dark mode: after visual review, the final product favors one consistent, polished light theme.</w:t>
      </w:r>
    </w:p>
    <w:p>
      <w:pPr>
        <w:pStyle w:val="Heading2"/>
        <w:keepNext/>
        <w:keepLines/>
        <w:widowControl/>
      </w:pPr>
      <w:r>
        <w:t>Production hardening roadmap</w:t>
      </w:r>
    </w:p>
    <w:p>
      <w:pPr>
        <w:pStyle w:val="ListBullet"/>
        <w:keepLines/>
        <w:widowControl/>
      </w:pPr>
      <w:r>
        <w:rPr>
          <w:rFonts w:ascii="Calibri" w:hAnsi="Calibri"/>
          <w:b w:val="0"/>
          <w:i w:val="0"/>
          <w:color w:val="20211D"/>
          <w:sz w:val="22"/>
        </w:rPr>
        <w:t>Replace bounded offset reads with cursor-based pagination and URL-persisted filters for very large workspaces.</w:t>
      </w:r>
    </w:p>
    <w:p>
      <w:pPr>
        <w:pStyle w:val="ListBullet"/>
        <w:keepLines/>
        <w:widowControl/>
      </w:pPr>
      <w:r>
        <w:rPr>
          <w:rFonts w:ascii="Calibri" w:hAnsi="Calibri"/>
          <w:b w:val="0"/>
          <w:i w:val="0"/>
          <w:color w:val="20211D"/>
          <w:sz w:val="22"/>
        </w:rPr>
        <w:t>Add Playwright browser tests in CI against disposable Supabase branches.</w:t>
      </w:r>
    </w:p>
    <w:p>
      <w:pPr>
        <w:pStyle w:val="ListBullet"/>
        <w:keepLines/>
        <w:widowControl/>
      </w:pPr>
      <w:r>
        <w:rPr>
          <w:rFonts w:ascii="Calibri" w:hAnsi="Calibri"/>
          <w:b w:val="0"/>
          <w:i w:val="0"/>
          <w:color w:val="20211D"/>
          <w:sz w:val="22"/>
        </w:rPr>
        <w:t>Add production error monitoring with customer-data redaction, database monitoring, alerts, and restore drills.</w:t>
      </w:r>
    </w:p>
    <w:p>
      <w:pPr>
        <w:pStyle w:val="ListBullet"/>
        <w:keepLines/>
        <w:widowControl/>
      </w:pPr>
      <w:r>
        <w:rPr>
          <w:rFonts w:ascii="Calibri" w:hAnsi="Calibri"/>
          <w:b w:val="0"/>
          <w:i w:val="0"/>
          <w:color w:val="20211D"/>
          <w:sz w:val="22"/>
        </w:rPr>
        <w:t>Configure production SMTP, auth rate limits, point-in-time recovery, and a documented backup policy.</w:t>
      </w:r>
    </w:p>
    <w:p>
      <w:pPr>
        <w:pStyle w:val="ListBullet"/>
        <w:keepLines/>
        <w:widowControl/>
      </w:pPr>
      <w:r>
        <w:rPr>
          <w:rFonts w:ascii="Calibri" w:hAnsi="Calibri"/>
          <w:b w:val="0"/>
          <w:i w:val="0"/>
          <w:color w:val="20211D"/>
          <w:sz w:val="22"/>
        </w:rPr>
        <w:t>Disable Vercel deployment protection for the reviewer-facing production URL, then repeat Lighthouse directly against the hosted page.</w:t>
      </w:r>
    </w:p>
    <w:p>
      <w:pPr>
        <w:pStyle w:val="Heading1"/>
        <w:pageBreakBefore/>
        <w:keepNext/>
        <w:keepLines/>
        <w:widowControl/>
      </w:pPr>
      <w:r>
        <w:t>Appendix A. Migration map</w:t>
      </w:r>
    </w:p>
    <w:tbl>
      <w:tblPr>
        <w:tblStyle w:val="TableGrid"/>
        <w:tblW w:type="dxa" w:w="9360"/>
        <w:jc w:val="left"/>
        <w:tblLayout w:type="fixed"/>
        <w:tblLook w:firstColumn="1" w:firstRow="1" w:lastColumn="0" w:lastRow="0" w:noHBand="0" w:noVBand="1" w:val="04A0"/>
        <w:tblInd w:w="120" w:type="dxa"/>
      </w:tblPr>
      <w:tblGrid>
        <w:gridCol w:w="3700"/>
        <w:gridCol w:w="5660"/>
      </w:tblGrid>
      <w:tr>
        <w:trPr>
          <w:tblHeader w:val="true"/>
        </w:trPr>
        <w:tc>
          <w:tcPr>
            <w:tcW w:type="dxa" w:w="3700"/>
            <w:shd w:fill="E8EEF5"/>
            <w:vAlign w:val="center"/>
            <w:tcMar>
              <w:top w:w="90" w:type="dxa"/>
              <w:start w:w="120" w:type="dxa"/>
              <w:bottom w:w="90" w:type="dxa"/>
              <w:end w:w="120" w:type="dxa"/>
            </w:tcMar>
          </w:tcPr>
          <w:p>
            <w:pPr>
              <w:spacing w:after="0"/>
            </w:pPr>
            <w:r>
              <w:rPr>
                <w:rFonts w:ascii="Calibri" w:hAnsi="Calibri"/>
                <w:b/>
                <w:i w:val="0"/>
                <w:color w:val="17221B"/>
                <w:sz w:val="16"/>
              </w:rPr>
              <w:t>Migration</w:t>
            </w:r>
          </w:p>
        </w:tc>
        <w:tc>
          <w:tcPr>
            <w:tcW w:type="dxa" w:w="5660"/>
            <w:shd w:fill="E8EEF5"/>
            <w:vAlign w:val="center"/>
            <w:tcMar>
              <w:top w:w="90" w:type="dxa"/>
              <w:start w:w="120" w:type="dxa"/>
              <w:bottom w:w="90" w:type="dxa"/>
              <w:end w:w="120" w:type="dxa"/>
            </w:tcMar>
          </w:tcPr>
          <w:p>
            <w:pPr>
              <w:spacing w:after="0"/>
            </w:pPr>
            <w:r>
              <w:rPr>
                <w:rFonts w:ascii="Calibri" w:hAnsi="Calibri"/>
                <w:b/>
                <w:i w:val="0"/>
                <w:color w:val="17221B"/>
                <w:sz w:val="16"/>
              </w:rPr>
              <w:t>Purpose</w:t>
            </w:r>
          </w:p>
        </w:tc>
      </w:tr>
      <w:tr>
        <w:tc>
          <w:tcPr>
            <w:tcW w:type="dxa" w:w="3700"/>
            <w:vAlign w:val="center"/>
            <w:tcMar>
              <w:top w:w="90" w:type="dxa"/>
              <w:start w:w="120" w:type="dxa"/>
              <w:bottom w:w="90" w:type="dxa"/>
              <w:end w:w="120" w:type="dxa"/>
            </w:tcMar>
          </w:tcPr>
          <w:p>
            <w:pPr>
              <w:spacing w:after="0" w:line="269" w:lineRule="auto"/>
            </w:pPr>
            <w:r>
              <w:rPr>
                <w:rFonts w:ascii="Calibri" w:hAnsi="Calibri"/>
                <w:b w:val="0"/>
                <w:i w:val="0"/>
                <w:color w:val="20211D"/>
                <w:sz w:val="16"/>
              </w:rPr>
              <w:t>202607240001_initial_schema.sql</w:t>
            </w:r>
          </w:p>
        </w:tc>
        <w:tc>
          <w:tcPr>
            <w:tcW w:type="dxa" w:w="5660"/>
            <w:vAlign w:val="center"/>
            <w:tcMar>
              <w:top w:w="90" w:type="dxa"/>
              <w:start w:w="120" w:type="dxa"/>
              <w:bottom w:w="90" w:type="dxa"/>
              <w:end w:w="120" w:type="dxa"/>
            </w:tcMar>
          </w:tcPr>
          <w:p>
            <w:pPr>
              <w:spacing w:after="0" w:line="269" w:lineRule="auto"/>
            </w:pPr>
            <w:r>
              <w:rPr>
                <w:rFonts w:ascii="Calibri" w:hAnsi="Calibri"/>
                <w:b w:val="0"/>
                <w:i w:val="0"/>
                <w:color w:val="20211D"/>
                <w:sz w:val="16"/>
              </w:rPr>
              <w:t>Enums, seven tables, constraints, indexes, triggers, views, first analytics RPC</w:t>
            </w:r>
          </w:p>
        </w:tc>
      </w:tr>
      <w:tr>
        <w:tc>
          <w:tcPr>
            <w:tcW w:type="dxa" w:w="3700"/>
            <w:vAlign w:val="center"/>
            <w:tcMar>
              <w:top w:w="90" w:type="dxa"/>
              <w:start w:w="120" w:type="dxa"/>
              <w:bottom w:w="90" w:type="dxa"/>
              <w:end w:w="120" w:type="dxa"/>
            </w:tcMar>
          </w:tcPr>
          <w:p>
            <w:pPr>
              <w:spacing w:after="0" w:line="269" w:lineRule="auto"/>
            </w:pPr>
            <w:r>
              <w:rPr>
                <w:rFonts w:ascii="Calibri" w:hAnsi="Calibri"/>
                <w:b w:val="0"/>
                <w:i w:val="0"/>
                <w:color w:val="20211D"/>
                <w:sz w:val="16"/>
              </w:rPr>
              <w:t>202607240002_rls.sql</w:t>
            </w:r>
          </w:p>
        </w:tc>
        <w:tc>
          <w:tcPr>
            <w:tcW w:type="dxa" w:w="5660"/>
            <w:vAlign w:val="center"/>
            <w:tcMar>
              <w:top w:w="90" w:type="dxa"/>
              <w:start w:w="120" w:type="dxa"/>
              <w:bottom w:w="90" w:type="dxa"/>
              <w:end w:w="120" w:type="dxa"/>
            </w:tcMar>
          </w:tcPr>
          <w:p>
            <w:pPr>
              <w:spacing w:after="0" w:line="269" w:lineRule="auto"/>
            </w:pPr>
            <w:r>
              <w:rPr>
                <w:rFonts w:ascii="Calibri" w:hAnsi="Calibri"/>
                <w:b w:val="0"/>
                <w:i w:val="0"/>
                <w:color w:val="20211D"/>
                <w:sz w:val="16"/>
              </w:rPr>
              <w:t>Enable RLS and create four owner policies per table</w:t>
            </w:r>
          </w:p>
        </w:tc>
      </w:tr>
      <w:tr>
        <w:tc>
          <w:tcPr>
            <w:tcW w:type="dxa" w:w="3700"/>
            <w:vAlign w:val="center"/>
            <w:tcMar>
              <w:top w:w="90" w:type="dxa"/>
              <w:start w:w="120" w:type="dxa"/>
              <w:bottom w:w="90" w:type="dxa"/>
              <w:end w:w="120" w:type="dxa"/>
            </w:tcMar>
          </w:tcPr>
          <w:p>
            <w:pPr>
              <w:spacing w:after="0" w:line="269" w:lineRule="auto"/>
            </w:pPr>
            <w:r>
              <w:rPr>
                <w:rFonts w:ascii="Calibri" w:hAnsi="Calibri"/>
                <w:b w:val="0"/>
                <w:i w:val="0"/>
                <w:color w:val="20211D"/>
                <w:sz w:val="16"/>
              </w:rPr>
              <w:t>202607240003_secure_analytics_rpc.sql</w:t>
            </w:r>
          </w:p>
        </w:tc>
        <w:tc>
          <w:tcPr>
            <w:tcW w:type="dxa" w:w="5660"/>
            <w:vAlign w:val="center"/>
            <w:tcMar>
              <w:top w:w="90" w:type="dxa"/>
              <w:start w:w="120" w:type="dxa"/>
              <w:bottom w:w="90" w:type="dxa"/>
              <w:end w:w="120" w:type="dxa"/>
            </w:tcMar>
          </w:tcPr>
          <w:p>
            <w:pPr>
              <w:spacing w:after="0" w:line="269" w:lineRule="auto"/>
            </w:pPr>
            <w:r>
              <w:rPr>
                <w:rFonts w:ascii="Calibri" w:hAnsi="Calibri"/>
                <w:b w:val="0"/>
                <w:i w:val="0"/>
                <w:color w:val="20211D"/>
                <w:sz w:val="16"/>
              </w:rPr>
              <w:t>Restrict analytics execution to authenticated</w:t>
            </w:r>
          </w:p>
        </w:tc>
      </w:tr>
      <w:tr>
        <w:tc>
          <w:tcPr>
            <w:tcW w:type="dxa" w:w="3700"/>
            <w:vAlign w:val="center"/>
            <w:tcMar>
              <w:top w:w="90" w:type="dxa"/>
              <w:start w:w="120" w:type="dxa"/>
              <w:bottom w:w="90" w:type="dxa"/>
              <w:end w:w="120" w:type="dxa"/>
            </w:tcMar>
          </w:tcPr>
          <w:p>
            <w:pPr>
              <w:spacing w:after="0" w:line="269" w:lineRule="auto"/>
            </w:pPr>
            <w:r>
              <w:rPr>
                <w:rFonts w:ascii="Calibri" w:hAnsi="Calibri"/>
                <w:b w:val="0"/>
                <w:i w:val="0"/>
                <w:color w:val="20211D"/>
                <w:sz w:val="16"/>
              </w:rPr>
              <w:t>202607240004_fix_relationship_validation.sql</w:t>
            </w:r>
          </w:p>
        </w:tc>
        <w:tc>
          <w:tcPr>
            <w:tcW w:type="dxa" w:w="5660"/>
            <w:vAlign w:val="center"/>
            <w:tcMar>
              <w:top w:w="90" w:type="dxa"/>
              <w:start w:w="120" w:type="dxa"/>
              <w:bottom w:w="90" w:type="dxa"/>
              <w:end w:w="120" w:type="dxa"/>
            </w:tcMar>
          </w:tcPr>
          <w:p>
            <w:pPr>
              <w:spacing w:after="0" w:line="269" w:lineRule="auto"/>
            </w:pPr>
            <w:r>
              <w:rPr>
                <w:rFonts w:ascii="Calibri" w:hAnsi="Calibri"/>
                <w:b w:val="0"/>
                <w:i w:val="0"/>
                <w:color w:val="20211D"/>
                <w:sz w:val="16"/>
              </w:rPr>
              <w:t>Harden ownership validation trigger</w:t>
            </w:r>
          </w:p>
        </w:tc>
      </w:tr>
      <w:tr>
        <w:tc>
          <w:tcPr>
            <w:tcW w:type="dxa" w:w="3700"/>
            <w:vAlign w:val="center"/>
            <w:tcMar>
              <w:top w:w="90" w:type="dxa"/>
              <w:start w:w="120" w:type="dxa"/>
              <w:bottom w:w="90" w:type="dxa"/>
              <w:end w:w="120" w:type="dxa"/>
            </w:tcMar>
          </w:tcPr>
          <w:p>
            <w:pPr>
              <w:spacing w:after="0" w:line="269" w:lineRule="auto"/>
            </w:pPr>
            <w:r>
              <w:rPr>
                <w:rFonts w:ascii="Calibri" w:hAnsi="Calibri"/>
                <w:b w:val="0"/>
                <w:i w:val="0"/>
                <w:color w:val="20211D"/>
                <w:sz w:val="16"/>
              </w:rPr>
              <w:t>202607240005_seed_demo_workspace.sql</w:t>
            </w:r>
          </w:p>
        </w:tc>
        <w:tc>
          <w:tcPr>
            <w:tcW w:type="dxa" w:w="5660"/>
            <w:vAlign w:val="center"/>
            <w:tcMar>
              <w:top w:w="90" w:type="dxa"/>
              <w:start w:w="120" w:type="dxa"/>
              <w:bottom w:w="90" w:type="dxa"/>
              <w:end w:w="120" w:type="dxa"/>
            </w:tcMar>
          </w:tcPr>
          <w:p>
            <w:pPr>
              <w:spacing w:after="0" w:line="269" w:lineRule="auto"/>
            </w:pPr>
            <w:r>
              <w:rPr>
                <w:rFonts w:ascii="Calibri" w:hAnsi="Calibri"/>
                <w:b w:val="0"/>
                <w:i w:val="0"/>
                <w:color w:val="20211D"/>
                <w:sz w:val="16"/>
              </w:rPr>
              <w:t>Hosted Alex assessment workspace</w:t>
            </w:r>
          </w:p>
        </w:tc>
      </w:tr>
      <w:tr>
        <w:tc>
          <w:tcPr>
            <w:tcW w:type="dxa" w:w="3700"/>
            <w:vAlign w:val="center"/>
            <w:tcMar>
              <w:top w:w="90" w:type="dxa"/>
              <w:start w:w="120" w:type="dxa"/>
              <w:bottom w:w="90" w:type="dxa"/>
              <w:end w:w="120" w:type="dxa"/>
            </w:tcMar>
          </w:tcPr>
          <w:p>
            <w:pPr>
              <w:spacing w:after="0" w:line="269" w:lineRule="auto"/>
            </w:pPr>
            <w:r>
              <w:rPr>
                <w:rFonts w:ascii="Calibri" w:hAnsi="Calibri"/>
                <w:b w:val="0"/>
                <w:i w:val="0"/>
                <w:color w:val="20211D"/>
                <w:sz w:val="16"/>
              </w:rPr>
              <w:t>202607240006_authenticated_global_search.sql</w:t>
            </w:r>
          </w:p>
        </w:tc>
        <w:tc>
          <w:tcPr>
            <w:tcW w:type="dxa" w:w="5660"/>
            <w:vAlign w:val="center"/>
            <w:tcMar>
              <w:top w:w="90" w:type="dxa"/>
              <w:start w:w="120" w:type="dxa"/>
              <w:bottom w:w="90" w:type="dxa"/>
              <w:end w:w="120" w:type="dxa"/>
            </w:tcMar>
          </w:tcPr>
          <w:p>
            <w:pPr>
              <w:spacing w:after="0" w:line="269" w:lineRule="auto"/>
            </w:pPr>
            <w:r>
              <w:rPr>
                <w:rFonts w:ascii="Calibri" w:hAnsi="Calibri"/>
                <w:b w:val="0"/>
                <w:i w:val="0"/>
                <w:color w:val="20211D"/>
                <w:sz w:val="16"/>
              </w:rPr>
              <w:t>Owner-scoped search_workspace RPC and grants</w:t>
            </w:r>
          </w:p>
        </w:tc>
      </w:tr>
      <w:tr>
        <w:tc>
          <w:tcPr>
            <w:tcW w:type="dxa" w:w="3700"/>
            <w:vAlign w:val="center"/>
            <w:tcMar>
              <w:top w:w="90" w:type="dxa"/>
              <w:start w:w="120" w:type="dxa"/>
              <w:bottom w:w="90" w:type="dxa"/>
              <w:end w:w="120" w:type="dxa"/>
            </w:tcMar>
          </w:tcPr>
          <w:p>
            <w:pPr>
              <w:spacing w:after="0" w:line="269" w:lineRule="auto"/>
            </w:pPr>
            <w:r>
              <w:rPr>
                <w:rFonts w:ascii="Calibri" w:hAnsi="Calibri"/>
                <w:b w:val="0"/>
                <w:i w:val="0"/>
                <w:color w:val="20211D"/>
                <w:sz w:val="16"/>
              </w:rPr>
              <w:t>202607240007_seed_rls_verification_workspace.sql</w:t>
            </w:r>
          </w:p>
        </w:tc>
        <w:tc>
          <w:tcPr>
            <w:tcW w:type="dxa" w:w="5660"/>
            <w:vAlign w:val="center"/>
            <w:tcMar>
              <w:top w:w="90" w:type="dxa"/>
              <w:start w:w="120" w:type="dxa"/>
              <w:bottom w:w="90" w:type="dxa"/>
              <w:end w:w="120" w:type="dxa"/>
            </w:tcMar>
          </w:tcPr>
          <w:p>
            <w:pPr>
              <w:spacing w:after="0" w:line="269" w:lineRule="auto"/>
            </w:pPr>
            <w:r>
              <w:rPr>
                <w:rFonts w:ascii="Calibri" w:hAnsi="Calibri"/>
                <w:b w:val="0"/>
                <w:i w:val="0"/>
                <w:color w:val="20211D"/>
                <w:sz w:val="16"/>
              </w:rPr>
              <w:t>Second isolated security-test workspace</w:t>
            </w:r>
          </w:p>
        </w:tc>
      </w:tr>
      <w:tr>
        <w:tc>
          <w:tcPr>
            <w:tcW w:type="dxa" w:w="3700"/>
            <w:vAlign w:val="center"/>
            <w:tcMar>
              <w:top w:w="90" w:type="dxa"/>
              <w:start w:w="120" w:type="dxa"/>
              <w:bottom w:w="90" w:type="dxa"/>
              <w:end w:w="120" w:type="dxa"/>
            </w:tcMar>
          </w:tcPr>
          <w:p>
            <w:pPr>
              <w:spacing w:after="0" w:line="269" w:lineRule="auto"/>
            </w:pPr>
            <w:r>
              <w:rPr>
                <w:rFonts w:ascii="Calibri" w:hAnsi="Calibri"/>
                <w:b w:val="0"/>
                <w:i w:val="0"/>
                <w:color w:val="20211D"/>
                <w:sz w:val="16"/>
              </w:rPr>
              <w:t>202607240008_executive_dashboard.sql</w:t>
            </w:r>
          </w:p>
        </w:tc>
        <w:tc>
          <w:tcPr>
            <w:tcW w:type="dxa" w:w="5660"/>
            <w:vAlign w:val="center"/>
            <w:tcMar>
              <w:top w:w="90" w:type="dxa"/>
              <w:start w:w="120" w:type="dxa"/>
              <w:bottom w:w="90" w:type="dxa"/>
              <w:end w:w="120" w:type="dxa"/>
            </w:tcMar>
          </w:tcPr>
          <w:p>
            <w:pPr>
              <w:spacing w:after="0" w:line="269" w:lineRule="auto"/>
            </w:pPr>
            <w:r>
              <w:rPr>
                <w:rFonts w:ascii="Calibri" w:hAnsi="Calibri"/>
                <w:b w:val="0"/>
                <w:i w:val="0"/>
                <w:color w:val="20211D"/>
                <w:sz w:val="16"/>
              </w:rPr>
              <w:t>Executive dashboard analytics payload and zero-filled series</w:t>
            </w:r>
          </w:p>
        </w:tc>
      </w:tr>
      <w:tr>
        <w:tc>
          <w:tcPr>
            <w:tcW w:type="dxa" w:w="3700"/>
            <w:vAlign w:val="center"/>
            <w:tcMar>
              <w:top w:w="90" w:type="dxa"/>
              <w:start w:w="120" w:type="dxa"/>
              <w:bottom w:w="90" w:type="dxa"/>
              <w:end w:w="120" w:type="dxa"/>
            </w:tcMar>
          </w:tcPr>
          <w:p>
            <w:pPr>
              <w:spacing w:after="0" w:line="269" w:lineRule="auto"/>
            </w:pPr>
            <w:r>
              <w:rPr>
                <w:rFonts w:ascii="Calibri" w:hAnsi="Calibri"/>
                <w:b w:val="0"/>
                <w:i w:val="0"/>
                <w:color w:val="20211D"/>
                <w:sz w:val="16"/>
              </w:rPr>
              <w:t>202607240009_seed_second_demo_workspace.sql</w:t>
            </w:r>
          </w:p>
        </w:tc>
        <w:tc>
          <w:tcPr>
            <w:tcW w:type="dxa" w:w="5660"/>
            <w:vAlign w:val="center"/>
            <w:tcMar>
              <w:top w:w="90" w:type="dxa"/>
              <w:start w:w="120" w:type="dxa"/>
              <w:bottom w:w="90" w:type="dxa"/>
              <w:end w:w="120" w:type="dxa"/>
            </w:tcMar>
          </w:tcPr>
          <w:p>
            <w:pPr>
              <w:spacing w:after="0" w:line="269" w:lineRule="auto"/>
            </w:pPr>
            <w:r>
              <w:rPr>
                <w:rFonts w:ascii="Calibri" w:hAnsi="Calibri"/>
                <w:b w:val="0"/>
                <w:i w:val="0"/>
                <w:color w:val="20211D"/>
                <w:sz w:val="16"/>
              </w:rPr>
              <w:t>Hosted Sam workspace with different data</w:t>
            </w:r>
          </w:p>
        </w:tc>
      </w:tr>
    </w:tbl>
    <w:p>
      <w:pPr>
        <w:spacing w:after="20"/>
      </w:pPr>
    </w:p>
    <w:p>
      <w:pPr>
        <w:pStyle w:val="Heading1"/>
        <w:pageBreakBefore/>
        <w:keepNext/>
        <w:keepLines/>
        <w:widowControl/>
      </w:pPr>
      <w:r>
        <w:t>Appendix B. Requirement traceability</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tblHeader w:val="true"/>
        </w:trPr>
        <w:tc>
          <w:tcPr>
            <w:tcW w:type="dxa" w:w="2200"/>
            <w:shd w:fill="D8FF72"/>
            <w:vAlign w:val="center"/>
            <w:tcMar>
              <w:top w:w="90" w:type="dxa"/>
              <w:start w:w="120" w:type="dxa"/>
              <w:bottom w:w="90" w:type="dxa"/>
              <w:end w:w="120" w:type="dxa"/>
            </w:tcMar>
          </w:tcPr>
          <w:p>
            <w:pPr>
              <w:spacing w:after="0"/>
            </w:pPr>
            <w:r>
              <w:rPr>
                <w:rFonts w:ascii="Calibri" w:hAnsi="Calibri"/>
                <w:b/>
                <w:i w:val="0"/>
                <w:color w:val="17221B"/>
                <w:sz w:val="17"/>
              </w:rPr>
              <w:t>Requirement</w:t>
            </w:r>
          </w:p>
        </w:tc>
        <w:tc>
          <w:tcPr>
            <w:tcW w:type="dxa" w:w="1800"/>
            <w:shd w:fill="D8FF72"/>
            <w:vAlign w:val="center"/>
            <w:tcMar>
              <w:top w:w="90" w:type="dxa"/>
              <w:start w:w="120" w:type="dxa"/>
              <w:bottom w:w="90" w:type="dxa"/>
              <w:end w:w="120" w:type="dxa"/>
            </w:tcMar>
          </w:tcPr>
          <w:p>
            <w:pPr>
              <w:spacing w:after="0"/>
            </w:pPr>
            <w:r>
              <w:rPr>
                <w:rFonts w:ascii="Calibri" w:hAnsi="Calibri"/>
                <w:b/>
                <w:i w:val="0"/>
                <w:color w:val="17221B"/>
                <w:sz w:val="17"/>
              </w:rPr>
              <w:t>Where covered</w:t>
            </w:r>
          </w:p>
        </w:tc>
        <w:tc>
          <w:tcPr>
            <w:tcW w:type="dxa" w:w="5360"/>
            <w:shd w:fill="D8FF72"/>
            <w:vAlign w:val="center"/>
            <w:tcMar>
              <w:top w:w="90" w:type="dxa"/>
              <w:start w:w="120" w:type="dxa"/>
              <w:bottom w:w="90" w:type="dxa"/>
              <w:end w:w="120" w:type="dxa"/>
            </w:tcMar>
          </w:tcPr>
          <w:p>
            <w:pPr>
              <w:spacing w:after="0"/>
            </w:pPr>
            <w:r>
              <w:rPr>
                <w:rFonts w:ascii="Calibri" w:hAnsi="Calibri"/>
                <w:b/>
                <w:i w:val="0"/>
                <w:color w:val="17221B"/>
                <w:sz w:val="17"/>
              </w:rPr>
              <w:t>Evidence</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Backend choice</w:t>
            </w:r>
          </w:p>
        </w:tc>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7"/>
              </w:rPr>
              <w:t>Section 5</w:t>
            </w:r>
          </w:p>
        </w:tc>
        <w:tc>
          <w:tcPr>
            <w:tcW w:type="dxa" w:w="5360"/>
            <w:vAlign w:val="center"/>
            <w:tcMar>
              <w:top w:w="90" w:type="dxa"/>
              <w:start w:w="120" w:type="dxa"/>
              <w:bottom w:w="90" w:type="dxa"/>
              <w:end w:w="120" w:type="dxa"/>
            </w:tcMar>
          </w:tcPr>
          <w:p>
            <w:pPr>
              <w:spacing w:after="0" w:line="269" w:lineRule="auto"/>
            </w:pPr>
            <w:r>
              <w:rPr>
                <w:rFonts w:ascii="Calibri" w:hAnsi="Calibri"/>
                <w:b w:val="0"/>
                <w:i w:val="0"/>
                <w:color w:val="20211D"/>
                <w:sz w:val="17"/>
              </w:rPr>
              <w:t>Supabase rationale and alternatives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Full schema</w:t>
            </w:r>
          </w:p>
        </w:tc>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7"/>
              </w:rPr>
              <w:t>Sections 7–8</w:t>
            </w:r>
          </w:p>
        </w:tc>
        <w:tc>
          <w:tcPr>
            <w:tcW w:type="dxa" w:w="5360"/>
            <w:vAlign w:val="center"/>
            <w:tcMar>
              <w:top w:w="90" w:type="dxa"/>
              <w:start w:w="120" w:type="dxa"/>
              <w:bottom w:w="90" w:type="dxa"/>
              <w:end w:w="120" w:type="dxa"/>
            </w:tcMar>
          </w:tcPr>
          <w:p>
            <w:pPr>
              <w:spacing w:after="0" w:line="269" w:lineRule="auto"/>
            </w:pPr>
            <w:r>
              <w:rPr>
                <w:rFonts w:ascii="Calibri" w:hAnsi="Calibri"/>
                <w:b w:val="0"/>
                <w:i w:val="0"/>
                <w:color w:val="20211D"/>
                <w:sz w:val="17"/>
              </w:rPr>
              <w:t>ERD plus every field, type, rule, and relationship</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Services used</w:t>
            </w:r>
          </w:p>
        </w:tc>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7"/>
              </w:rPr>
              <w:t>Section 9</w:t>
            </w:r>
          </w:p>
        </w:tc>
        <w:tc>
          <w:tcPr>
            <w:tcW w:type="dxa" w:w="5360"/>
            <w:vAlign w:val="center"/>
            <w:tcMar>
              <w:top w:w="90" w:type="dxa"/>
              <w:start w:w="120" w:type="dxa"/>
              <w:bottom w:w="90" w:type="dxa"/>
              <w:end w:w="120" w:type="dxa"/>
            </w:tcMar>
          </w:tcPr>
          <w:p>
            <w:pPr>
              <w:spacing w:after="0" w:line="269" w:lineRule="auto"/>
            </w:pPr>
            <w:r>
              <w:rPr>
                <w:rFonts w:ascii="Calibri" w:hAnsi="Calibri"/>
                <w:b w:val="0"/>
                <w:i w:val="0"/>
                <w:color w:val="20211D"/>
                <w:sz w:val="17"/>
              </w:rPr>
              <w:t>PostgreSQL, Auth, RLS, REST, RPC; zero buckets/Edge Functions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Advanced verification</w:t>
            </w:r>
          </w:p>
        </w:tc>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7"/>
              </w:rPr>
              <w:t>Sections 10–12</w:t>
            </w:r>
          </w:p>
        </w:tc>
        <w:tc>
          <w:tcPr>
            <w:tcW w:type="dxa" w:w="5360"/>
            <w:vAlign w:val="center"/>
            <w:tcMar>
              <w:top w:w="90" w:type="dxa"/>
              <w:start w:w="120" w:type="dxa"/>
              <w:bottom w:w="90" w:type="dxa"/>
              <w:end w:w="120" w:type="dxa"/>
            </w:tcMar>
          </w:tcPr>
          <w:p>
            <w:pPr>
              <w:spacing w:after="0" w:line="269" w:lineRule="auto"/>
            </w:pPr>
            <w:r>
              <w:rPr>
                <w:rFonts w:ascii="Calibri" w:hAnsi="Calibri"/>
                <w:b w:val="0"/>
                <w:i w:val="0"/>
                <w:color w:val="20211D"/>
                <w:sz w:val="17"/>
              </w:rPr>
              <w:t>Authentication, RLS proof, two-account evidence, SQL analytics</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Setup from zero</w:t>
            </w:r>
          </w:p>
        </w:tc>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7"/>
              </w:rPr>
              <w:t>Section 13</w:t>
            </w:r>
          </w:p>
        </w:tc>
        <w:tc>
          <w:tcPr>
            <w:tcW w:type="dxa" w:w="5360"/>
            <w:vAlign w:val="center"/>
            <w:tcMar>
              <w:top w:w="90" w:type="dxa"/>
              <w:start w:w="120" w:type="dxa"/>
              <w:bottom w:w="90" w:type="dxa"/>
              <w:end w:w="120" w:type="dxa"/>
            </w:tcMar>
          </w:tcPr>
          <w:p>
            <w:pPr>
              <w:spacing w:after="0" w:line="269" w:lineRule="auto"/>
            </w:pPr>
            <w:r>
              <w:rPr>
                <w:rFonts w:ascii="Calibri" w:hAnsi="Calibri"/>
                <w:b w:val="0"/>
                <w:i w:val="0"/>
                <w:color w:val="20211D"/>
                <w:sz w:val="17"/>
              </w:rPr>
              <w:t>Clone, install, provision, seed, configure, run, and verify</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A way in</w:t>
            </w:r>
          </w:p>
        </w:tc>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7"/>
              </w:rPr>
              <w:t>Sections 2 and 14</w:t>
            </w:r>
          </w:p>
        </w:tc>
        <w:tc>
          <w:tcPr>
            <w:tcW w:type="dxa" w:w="5360"/>
            <w:vAlign w:val="center"/>
            <w:tcMar>
              <w:top w:w="90" w:type="dxa"/>
              <w:start w:w="120" w:type="dxa"/>
              <w:bottom w:w="90" w:type="dxa"/>
              <w:end w:w="120" w:type="dxa"/>
            </w:tcMar>
          </w:tcPr>
          <w:p>
            <w:pPr>
              <w:spacing w:after="0" w:line="269" w:lineRule="auto"/>
            </w:pPr>
            <w:r>
              <w:rPr>
                <w:rFonts w:ascii="Calibri" w:hAnsi="Calibri"/>
                <w:b w:val="0"/>
                <w:i w:val="0"/>
                <w:color w:val="20211D"/>
                <w:sz w:val="17"/>
              </w:rPr>
              <w:t>Two credentials, one-command local seed, hosted seed explanation</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Product usage</w:t>
            </w:r>
          </w:p>
        </w:tc>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7"/>
              </w:rPr>
              <w:t>Sections 3–4</w:t>
            </w:r>
          </w:p>
        </w:tc>
        <w:tc>
          <w:tcPr>
            <w:tcW w:type="dxa" w:w="5360"/>
            <w:vAlign w:val="center"/>
            <w:tcMar>
              <w:top w:w="90" w:type="dxa"/>
              <w:start w:w="120" w:type="dxa"/>
              <w:bottom w:w="90" w:type="dxa"/>
              <w:end w:w="120" w:type="dxa"/>
            </w:tcMar>
          </w:tcPr>
          <w:p>
            <w:pPr>
              <w:spacing w:after="0" w:line="269" w:lineRule="auto"/>
            </w:pPr>
            <w:r>
              <w:rPr>
                <w:rFonts w:ascii="Calibri" w:hAnsi="Calibri"/>
                <w:b w:val="0"/>
                <w:i w:val="0"/>
                <w:color w:val="20211D"/>
                <w:sz w:val="17"/>
              </w:rPr>
              <w:t>Surface-by-surface guide and recommended workflow</w:t>
            </w:r>
          </w:p>
        </w:tc>
      </w:tr>
      <w:tr>
        <w:tc>
          <w:tcPr>
            <w:tcW w:type="dxa" w:w="2200"/>
            <w:vAlign w:val="center"/>
            <w:tcMar>
              <w:top w:w="90" w:type="dxa"/>
              <w:start w:w="120" w:type="dxa"/>
              <w:bottom w:w="90" w:type="dxa"/>
              <w:end w:w="120" w:type="dxa"/>
            </w:tcMar>
          </w:tcPr>
          <w:p>
            <w:pPr>
              <w:spacing w:after="0" w:line="269" w:lineRule="auto"/>
            </w:pPr>
            <w:r>
              <w:rPr>
                <w:rFonts w:ascii="Calibri" w:hAnsi="Calibri"/>
                <w:b w:val="0"/>
                <w:i w:val="0"/>
                <w:color w:val="20211D"/>
                <w:sz w:val="17"/>
              </w:rPr>
              <w:t>Performance</w:t>
            </w:r>
          </w:p>
        </w:tc>
        <w:tc>
          <w:tcPr>
            <w:tcW w:type="dxa" w:w="1800"/>
            <w:vAlign w:val="center"/>
            <w:tcMar>
              <w:top w:w="90" w:type="dxa"/>
              <w:start w:w="120" w:type="dxa"/>
              <w:bottom w:w="90" w:type="dxa"/>
              <w:end w:w="120" w:type="dxa"/>
            </w:tcMar>
          </w:tcPr>
          <w:p>
            <w:pPr>
              <w:spacing w:after="0" w:line="269" w:lineRule="auto"/>
            </w:pPr>
            <w:r>
              <w:rPr>
                <w:rFonts w:ascii="Calibri" w:hAnsi="Calibri"/>
                <w:b w:val="0"/>
                <w:i w:val="0"/>
                <w:color w:val="20211D"/>
                <w:sz w:val="17"/>
              </w:rPr>
              <w:t>Section 16</w:t>
            </w:r>
          </w:p>
        </w:tc>
        <w:tc>
          <w:tcPr>
            <w:tcW w:type="dxa" w:w="5360"/>
            <w:vAlign w:val="center"/>
            <w:tcMar>
              <w:top w:w="90" w:type="dxa"/>
              <w:start w:w="120" w:type="dxa"/>
              <w:bottom w:w="90" w:type="dxa"/>
              <w:end w:w="120" w:type="dxa"/>
            </w:tcMar>
          </w:tcPr>
          <w:p>
            <w:pPr>
              <w:spacing w:after="0" w:line="269" w:lineRule="auto"/>
            </w:pPr>
            <w:r>
              <w:rPr>
                <w:rFonts w:ascii="Calibri" w:hAnsi="Calibri"/>
                <w:b w:val="0"/>
                <w:i w:val="0"/>
                <w:color w:val="20211D"/>
                <w:sz w:val="17"/>
              </w:rPr>
              <w:t>Three-run median Lighthouse scores and lab metrics</w:t>
            </w:r>
          </w:p>
        </w:tc>
      </w:tr>
    </w:tbl>
    <w:p>
      <w:pPr>
        <w:spacing w:after="20"/>
      </w:pPr>
    </w:p>
    <w:p>
      <w:pPr>
        <w:pStyle w:val="Heading1"/>
        <w:pageBreakBefore/>
        <w:keepNext/>
        <w:keepLines/>
        <w:widowControl/>
      </w:pPr>
      <w:r>
        <w:t>Appendix C. Build summary</w:t>
      </w:r>
    </w:p>
    <w:p>
      <w:pPr>
        <w:keepLines/>
        <w:widowControl/>
      </w:pPr>
      <w:r>
        <w:rPr>
          <w:rFonts w:ascii="Calibri" w:hAnsi="Calibri"/>
          <w:b w:val="0"/>
          <w:i w:val="0"/>
          <w:color w:val="20211D"/>
          <w:sz w:val="22"/>
        </w:rPr>
        <w:t>The initial end-to-end build took approximately 2.5 hours. Review-driven UI refinement and production hardening took approximately 1.5 hours, followed by 30 minutes of final documentation and security verification, for roughly 4.5 hours total.</w:t>
      </w:r>
    </w:p>
    <w:tbl>
      <w:tblPr>
        <w:tblStyle w:val="TableGrid"/>
        <w:tblW w:type="dxa" w:w="9360"/>
        <w:jc w:val="left"/>
        <w:tblLayout w:type="fixed"/>
        <w:tblLook w:firstColumn="1" w:firstRow="1" w:lastColumn="0" w:lastRow="0" w:noHBand="0" w:noVBand="1" w:val="04A0"/>
        <w:tblInd w:w="120" w:type="dxa"/>
      </w:tblPr>
      <w:tblGrid>
        <w:gridCol w:w="7000"/>
        <w:gridCol w:w="2360"/>
      </w:tblGrid>
      <w:tr>
        <w:trPr>
          <w:tblHeader w:val="true"/>
        </w:trPr>
        <w:tc>
          <w:tcPr>
            <w:tcW w:type="dxa" w:w="7000"/>
            <w:shd w:fill="E8EEF5"/>
            <w:vAlign w:val="center"/>
            <w:tcMar>
              <w:top w:w="90" w:type="dxa"/>
              <w:start w:w="120" w:type="dxa"/>
              <w:bottom w:w="90" w:type="dxa"/>
              <w:end w:w="120" w:type="dxa"/>
            </w:tcMar>
          </w:tcPr>
          <w:p>
            <w:pPr>
              <w:spacing w:after="0"/>
            </w:pPr>
            <w:r>
              <w:rPr>
                <w:rFonts w:ascii="Calibri" w:hAnsi="Calibri"/>
                <w:b/>
                <w:i w:val="0"/>
                <w:color w:val="17221B"/>
                <w:sz w:val="18"/>
              </w:rPr>
              <w:t>Phase</w:t>
            </w:r>
          </w:p>
        </w:tc>
        <w:tc>
          <w:tcPr>
            <w:tcW w:type="dxa" w:w="2360"/>
            <w:shd w:fill="E8EEF5"/>
            <w:vAlign w:val="center"/>
            <w:tcMar>
              <w:top w:w="90" w:type="dxa"/>
              <w:start w:w="120" w:type="dxa"/>
              <w:bottom w:w="90" w:type="dxa"/>
              <w:end w:w="120" w:type="dxa"/>
            </w:tcMar>
          </w:tcPr>
          <w:p>
            <w:pPr>
              <w:spacing w:after="0"/>
            </w:pPr>
            <w:r>
              <w:rPr>
                <w:rFonts w:ascii="Calibri" w:hAnsi="Calibri"/>
                <w:b/>
                <w:i w:val="0"/>
                <w:color w:val="17221B"/>
                <w:sz w:val="18"/>
              </w:rPr>
              <w:t>Approximate time</w:t>
            </w:r>
          </w:p>
        </w:tc>
      </w:tr>
      <w:tr>
        <w:tc>
          <w:tcPr>
            <w:tcW w:type="dxa" w:w="7000"/>
            <w:vAlign w:val="center"/>
            <w:tcMar>
              <w:top w:w="90" w:type="dxa"/>
              <w:start w:w="120" w:type="dxa"/>
              <w:bottom w:w="90" w:type="dxa"/>
              <w:end w:w="120" w:type="dxa"/>
            </w:tcMar>
          </w:tcPr>
          <w:p>
            <w:pPr>
              <w:spacing w:after="0" w:line="269" w:lineRule="auto"/>
            </w:pPr>
            <w:r>
              <w:rPr>
                <w:rFonts w:ascii="Calibri" w:hAnsi="Calibri"/>
                <w:b w:val="0"/>
                <w:i w:val="0"/>
                <w:color w:val="20211D"/>
                <w:sz w:val="18"/>
              </w:rPr>
              <w:t>Product scope, schema, and architecture</w:t>
            </w:r>
          </w:p>
        </w:tc>
        <w:tc>
          <w:tcPr>
            <w:tcW w:type="dxa" w:w="2360"/>
            <w:vAlign w:val="center"/>
            <w:tcMar>
              <w:top w:w="90" w:type="dxa"/>
              <w:start w:w="120" w:type="dxa"/>
              <w:bottom w:w="90" w:type="dxa"/>
              <w:end w:w="120" w:type="dxa"/>
            </w:tcMar>
          </w:tcPr>
          <w:p>
            <w:pPr>
              <w:spacing w:after="0" w:line="269" w:lineRule="auto"/>
            </w:pPr>
            <w:r>
              <w:rPr>
                <w:rFonts w:ascii="Calibri" w:hAnsi="Calibri"/>
                <w:b w:val="0"/>
                <w:i w:val="0"/>
                <w:color w:val="20211D"/>
                <w:sz w:val="18"/>
              </w:rPr>
              <w:t>20 minutes</w:t>
            </w:r>
          </w:p>
        </w:tc>
      </w:tr>
      <w:tr>
        <w:tc>
          <w:tcPr>
            <w:tcW w:type="dxa" w:w="7000"/>
            <w:vAlign w:val="center"/>
            <w:tcMar>
              <w:top w:w="90" w:type="dxa"/>
              <w:start w:w="120" w:type="dxa"/>
              <w:bottom w:w="90" w:type="dxa"/>
              <w:end w:w="120" w:type="dxa"/>
            </w:tcMar>
          </w:tcPr>
          <w:p>
            <w:pPr>
              <w:spacing w:after="0" w:line="269" w:lineRule="auto"/>
            </w:pPr>
            <w:r>
              <w:rPr>
                <w:rFonts w:ascii="Calibri" w:hAnsi="Calibri"/>
                <w:b w:val="0"/>
                <w:i w:val="0"/>
                <w:color w:val="20211D"/>
                <w:sz w:val="18"/>
              </w:rPr>
              <w:t>Supabase migrations, authentication, RLS, and seed workspaces</w:t>
            </w:r>
          </w:p>
        </w:tc>
        <w:tc>
          <w:tcPr>
            <w:tcW w:type="dxa" w:w="2360"/>
            <w:vAlign w:val="center"/>
            <w:tcMar>
              <w:top w:w="90" w:type="dxa"/>
              <w:start w:w="120" w:type="dxa"/>
              <w:bottom w:w="90" w:type="dxa"/>
              <w:end w:w="120" w:type="dxa"/>
            </w:tcMar>
          </w:tcPr>
          <w:p>
            <w:pPr>
              <w:spacing w:after="0" w:line="269" w:lineRule="auto"/>
            </w:pPr>
            <w:r>
              <w:rPr>
                <w:rFonts w:ascii="Calibri" w:hAnsi="Calibri"/>
                <w:b w:val="0"/>
                <w:i w:val="0"/>
                <w:color w:val="20211D"/>
                <w:sz w:val="18"/>
              </w:rPr>
              <w:t>45 minutes</w:t>
            </w:r>
          </w:p>
        </w:tc>
      </w:tr>
      <w:tr>
        <w:tc>
          <w:tcPr>
            <w:tcW w:type="dxa" w:w="7000"/>
            <w:vAlign w:val="center"/>
            <w:tcMar>
              <w:top w:w="90" w:type="dxa"/>
              <w:start w:w="120" w:type="dxa"/>
              <w:bottom w:w="90" w:type="dxa"/>
              <w:end w:w="120" w:type="dxa"/>
            </w:tcMar>
          </w:tcPr>
          <w:p>
            <w:pPr>
              <w:spacing w:after="0" w:line="269" w:lineRule="auto"/>
            </w:pPr>
            <w:r>
              <w:rPr>
                <w:rFonts w:ascii="Calibri" w:hAnsi="Calibri"/>
                <w:b w:val="0"/>
                <w:i w:val="0"/>
                <w:color w:val="20211D"/>
                <w:sz w:val="18"/>
              </w:rPr>
              <w:t>CRUD services, forms, search, and route implementation</w:t>
            </w:r>
          </w:p>
        </w:tc>
        <w:tc>
          <w:tcPr>
            <w:tcW w:type="dxa" w:w="2360"/>
            <w:vAlign w:val="center"/>
            <w:tcMar>
              <w:top w:w="90" w:type="dxa"/>
              <w:start w:w="120" w:type="dxa"/>
              <w:bottom w:w="90" w:type="dxa"/>
              <w:end w:w="120" w:type="dxa"/>
            </w:tcMar>
          </w:tcPr>
          <w:p>
            <w:pPr>
              <w:spacing w:after="0" w:line="269" w:lineRule="auto"/>
            </w:pPr>
            <w:r>
              <w:rPr>
                <w:rFonts w:ascii="Calibri" w:hAnsi="Calibri"/>
                <w:b w:val="0"/>
                <w:i w:val="0"/>
                <w:color w:val="20211D"/>
                <w:sz w:val="18"/>
              </w:rPr>
              <w:t>45 minutes</w:t>
            </w:r>
          </w:p>
        </w:tc>
      </w:tr>
      <w:tr>
        <w:tc>
          <w:tcPr>
            <w:tcW w:type="dxa" w:w="7000"/>
            <w:vAlign w:val="center"/>
            <w:tcMar>
              <w:top w:w="90" w:type="dxa"/>
              <w:start w:w="120" w:type="dxa"/>
              <w:bottom w:w="90" w:type="dxa"/>
              <w:end w:w="120" w:type="dxa"/>
            </w:tcMar>
          </w:tcPr>
          <w:p>
            <w:pPr>
              <w:spacing w:after="0" w:line="269" w:lineRule="auto"/>
            </w:pPr>
            <w:r>
              <w:rPr>
                <w:rFonts w:ascii="Calibri" w:hAnsi="Calibri"/>
                <w:b w:val="0"/>
                <w:i w:val="0"/>
                <w:color w:val="20211D"/>
                <w:sz w:val="18"/>
              </w:rPr>
              <w:t>SQL analytics, charts, and dashboard composition</w:t>
            </w:r>
          </w:p>
        </w:tc>
        <w:tc>
          <w:tcPr>
            <w:tcW w:type="dxa" w:w="2360"/>
            <w:vAlign w:val="center"/>
            <w:tcMar>
              <w:top w:w="90" w:type="dxa"/>
              <w:start w:w="120" w:type="dxa"/>
              <w:bottom w:w="90" w:type="dxa"/>
              <w:end w:w="120" w:type="dxa"/>
            </w:tcMar>
          </w:tcPr>
          <w:p>
            <w:pPr>
              <w:spacing w:after="0" w:line="269" w:lineRule="auto"/>
            </w:pPr>
            <w:r>
              <w:rPr>
                <w:rFonts w:ascii="Calibri" w:hAnsi="Calibri"/>
                <w:b w:val="0"/>
                <w:i w:val="0"/>
                <w:color w:val="20211D"/>
                <w:sz w:val="18"/>
              </w:rPr>
              <w:t>40 minutes</w:t>
            </w:r>
          </w:p>
        </w:tc>
      </w:tr>
      <w:tr>
        <w:tc>
          <w:tcPr>
            <w:tcW w:type="dxa" w:w="7000"/>
            <w:vAlign w:val="center"/>
            <w:tcMar>
              <w:top w:w="90" w:type="dxa"/>
              <w:start w:w="120" w:type="dxa"/>
              <w:bottom w:w="90" w:type="dxa"/>
              <w:end w:w="120" w:type="dxa"/>
            </w:tcMar>
          </w:tcPr>
          <w:p>
            <w:pPr>
              <w:spacing w:after="0" w:line="269" w:lineRule="auto"/>
            </w:pPr>
            <w:r>
              <w:rPr>
                <w:rFonts w:ascii="Calibri" w:hAnsi="Calibri"/>
                <w:b w:val="0"/>
                <w:i w:val="0"/>
                <w:color w:val="20211D"/>
                <w:sz w:val="18"/>
              </w:rPr>
              <w:t>Documentation and security verification</w:t>
            </w:r>
          </w:p>
        </w:tc>
        <w:tc>
          <w:tcPr>
            <w:tcW w:type="dxa" w:w="2360"/>
            <w:vAlign w:val="center"/>
            <w:tcMar>
              <w:top w:w="90" w:type="dxa"/>
              <w:start w:w="120" w:type="dxa"/>
              <w:bottom w:w="90" w:type="dxa"/>
              <w:end w:w="120" w:type="dxa"/>
            </w:tcMar>
          </w:tcPr>
          <w:p>
            <w:pPr>
              <w:spacing w:after="0" w:line="269" w:lineRule="auto"/>
            </w:pPr>
            <w:r>
              <w:rPr>
                <w:rFonts w:ascii="Calibri" w:hAnsi="Calibri"/>
                <w:b w:val="0"/>
                <w:i w:val="0"/>
                <w:color w:val="20211D"/>
                <w:sz w:val="18"/>
              </w:rPr>
              <w:t>30 minutes</w:t>
            </w:r>
          </w:p>
        </w:tc>
      </w:tr>
      <w:tr>
        <w:tc>
          <w:tcPr>
            <w:tcW w:type="dxa" w:w="7000"/>
            <w:vAlign w:val="center"/>
            <w:tcMar>
              <w:top w:w="90" w:type="dxa"/>
              <w:start w:w="120" w:type="dxa"/>
              <w:bottom w:w="90" w:type="dxa"/>
              <w:end w:w="120" w:type="dxa"/>
            </w:tcMar>
          </w:tcPr>
          <w:p>
            <w:pPr>
              <w:spacing w:after="0" w:line="269" w:lineRule="auto"/>
            </w:pPr>
            <w:r>
              <w:rPr>
                <w:rFonts w:ascii="Calibri" w:hAnsi="Calibri"/>
                <w:b w:val="0"/>
                <w:i w:val="0"/>
                <w:color w:val="20211D"/>
                <w:sz w:val="18"/>
              </w:rPr>
              <w:t>UI iteration, authentication UX, deployment diagnosis, and hardening</w:t>
            </w:r>
          </w:p>
        </w:tc>
        <w:tc>
          <w:tcPr>
            <w:tcW w:type="dxa" w:w="2360"/>
            <w:vAlign w:val="center"/>
            <w:tcMar>
              <w:top w:w="90" w:type="dxa"/>
              <w:start w:w="120" w:type="dxa"/>
              <w:bottom w:w="90" w:type="dxa"/>
              <w:end w:w="120" w:type="dxa"/>
            </w:tcMar>
          </w:tcPr>
          <w:p>
            <w:pPr>
              <w:spacing w:after="0" w:line="269" w:lineRule="auto"/>
            </w:pPr>
            <w:r>
              <w:rPr>
                <w:rFonts w:ascii="Calibri" w:hAnsi="Calibri"/>
                <w:b w:val="0"/>
                <w:i w:val="0"/>
                <w:color w:val="20211D"/>
                <w:sz w:val="18"/>
              </w:rPr>
              <w:t>90 minutes</w:t>
            </w:r>
          </w:p>
        </w:tc>
      </w:tr>
    </w:tbl>
    <w:p>
      <w:pPr>
        <w:spacing w:after="20"/>
      </w:pPr>
    </w:p>
    <w:p>
      <w:pPr>
        <w:keepLines/>
        <w:spacing w:before="100" w:after="200"/>
        <w:ind w:left="173" w:right="173"/>
        <w:shd w:fill="EEF5DF"/>
        <w:pBdr>
          <w:left w:val="single" w:sz="18" w:space="6" w:color="66852E"/>
        </w:pBdr>
      </w:pPr>
      <w:r>
        <w:rPr>
          <w:rFonts w:ascii="Calibri" w:hAnsi="Calibri"/>
          <w:b/>
          <w:i w:val="0"/>
          <w:color w:val="66852E"/>
          <w:sz w:val="18"/>
        </w:rPr>
        <w:t>FINAL STATUS</w:t>
        <w:br/>
      </w:r>
      <w:r>
        <w:rPr>
          <w:rFonts w:ascii="Calibri" w:hAnsi="Calibri"/>
          <w:b w:val="0"/>
          <w:i w:val="0"/>
          <w:color w:val="20211D"/>
          <w:sz w:val="21"/>
        </w:rPr>
        <w:t>All core assignment requirements are complete. Optional Realtime and Storage features were not selected. The repository, migrations, seed data, credentials, security proof, setup guide, build log, and performance evidence are included.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2645C"/>
        <w:sz w:val="17"/>
      </w:rPr>
      <w:t xml:space="preserve">Alba Corp assessment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2645C"/>
        <w:sz w:val="17"/>
      </w:rPr>
      <w:t>PIPELINEOS  |  PRODUCT &amp;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8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8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8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80"/>
        <w:spacing w:after="80" w:line="300" w:lineRule="auto"/>
      </w:pPr>
    </w:lvl>
  </w:abstractNum>
  <w:num w:numId="13">
    <w:abstractNumId w:val="12"/>
  </w:num>
  <w:abstractNum w:abstractNumId="13">
    <w:multiLevelType w:val="singleLevel"/>
    <w:lvl w:ilvl="0">
      <w:start w:val="1"/>
      <w:numFmt w:val="decimal"/>
      <w:lvlText w:val="%1."/>
      <w:lvlJc w:val="left"/>
      <w:pPr>
        <w:tabs>
          <w:tab w:val="num" w:pos="540"/>
        </w:tabs>
        <w:ind w:left="540" w:hanging="280"/>
        <w:spacing w:after="80" w:line="300" w:lineRule="auto"/>
      </w:pPr>
    </w:lvl>
  </w:abstractNum>
  <w:num w:numId="14">
    <w:abstractNumId w:val="13"/>
  </w:num>
  <w:abstractNum w:abstractNumId="14">
    <w:multiLevelType w:val="singleLevel"/>
    <w:lvl w:ilvl="0">
      <w:start w:val="1"/>
      <w:numFmt w:val="decimal"/>
      <w:lvlText w:val="%1."/>
      <w:lvlJc w:val="left"/>
      <w:pPr>
        <w:tabs>
          <w:tab w:val="num" w:pos="540"/>
        </w:tabs>
        <w:ind w:left="540" w:hanging="280"/>
        <w:spacing w:after="80" w:line="300" w:lineRule="auto"/>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pPr>
    <w:rPr>
      <w:rFonts w:ascii="Calibri" w:hAnsi="Calibri"/>
      <w:b/>
      <w:bCs/>
      <w:i/>
      <w:color w:val="6264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52" w:lineRule="auto"/>
      <w:ind w:left="216" w:right="216"/>
    </w:pPr>
    <w:rPr>
      <w:rFonts w:ascii="Consolas" w:hAnsi="Consolas"/>
      <w:color w:val="20211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maluraditya/alba-assessments/tree/main/02-dashboard"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PipelineOS — End-to-End Product &amp; Technical Documentation</dc:title>
  <dc:subject>Alba Corp Data Dashboard on a Backend Service submission guide</dc:subject>
  <dc:creator>Aditya Malur</dc:creator>
  <cp:keywords>PipelineOS, Supabase, Next.js, RLS, CRM, analytics</cp:keywords>
  <dc:description>Submission-ready product and technical documentation</dc:description>
  <cp:lastModifiedBy/>
  <cp:revision>1</cp:revision>
  <dcterms:created xsi:type="dcterms:W3CDTF">2013-12-23T23:15:00Z</dcterms:created>
  <dcterms:modified xsi:type="dcterms:W3CDTF">2013-12-23T23:15:00Z</dcterms:modified>
  <cp:category/>
</cp:coreProperties>
</file>