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emoTitle"/>
      </w:pPr>
      <w:r>
        <w:t xml:space="preserve">Cross-Validation en KNN: Hallazgos Clave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Caso Práctico 2 • Ciencia de Datos • CEU San Pablo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9360"/>
      </w:tblGrid>
      <w:tr>
        <w:tc>
          <w:tcPr>
            <w:tcW w:type="dxa" w:w="9360"/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CONCLUSIÓN PRINCIPAL</w:t>
            </w:r>
          </w:p>
        </w:tc>
      </w:tr>
      <w:tr>
        <w:tc>
          <w:tcPr>
            <w:tcW w:type="dxa" w:w="9360"/>
            <w:shd w:fill="E7F3FA" w:val="clear"/>
          </w:tcPr>
          <w:p>
            <w:pPr>
              <w:spacing w:before="100" w:after="100"/>
              <w:jc w:val="both"/>
            </w:pPr>
            <w:r>
              <w:rPr>
                <w:b w:val="false"/>
                <w:bCs w:val="false"/>
                <w:sz w:val="22"/>
                <w:szCs w:val="22"/>
              </w:rPr>
              <w:t xml:space="preserve">Implementamos validación cruzada (5-folds) en KNN con el dataset Iris, demostrando su superioridad frente al train/test split tradicional. Cross-validation identificó k=6 como valor óptimo, alcanzando 97.33% de accuracy con desviación estándar de ±0.0143. Esta técnica proporciona evaluaciones más robustas al usar todas las muestras para entrenamiento y validación, reduciendo el sesgo de divisiones aleatorias y permitiendo medir la estabilidad del modelo.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9360"/>
      </w:tblGrid>
      <w:tr>
        <w:tc>
          <w:tcPr>
            <w:tcW w:type="dxa" w:w="9360"/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EVIDENCIA CLAVE</w:t>
            </w:r>
          </w:p>
        </w:tc>
      </w:tr>
      <w:tr>
        <w:tc>
          <w:tcPr>
            <w:tcW w:type="dxa" w:w="9360"/>
            <w:shd w:fill="E7F3FA" w:val="clear"/>
          </w:tcPr>
          <w:p>
            <w:pPr>
              <w:spacing w:before="80"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📊 Comparación visual de métodos:</w:t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0" distR="0">
                  <wp:extent cx="4953000" cy="2286000"/>
                  <wp:effectExtent t="0" r="0" b="0" l="0"/>
                  <wp:docPr id="1" name="comp" descr="Comparación métodos" title="Compar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Train/Test Split: k=9 con 95.56% accuracy | Curva irregular, alta dependencia de división específica</w:t>
            </w:r>
          </w:p>
          <w:p>
            <w:pPr>
              <w:spacing w:before="0" w:after="80"/>
            </w:pPr>
            <w:r>
              <w:rPr>
                <w:color w:val="333333"/>
                <w:sz w:val="20"/>
                <w:szCs w:val="20"/>
              </w:rPr>
              <w:t xml:space="preserve">Cross-Validation: k=6 con 97.33% accuracy | Curva suave, intervalo de confianza estrecho</w:t>
            </w:r>
          </w:p>
          <w:p>
            <w:pPr>
              <w:spacing w:before="80"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📈 Análisis de estabilidad:</w:t>
            </w:r>
          </w:p>
          <w:p>
            <w:pPr>
              <w:spacing w:before="60" w:after="60"/>
              <w:jc w:val="center"/>
            </w:pPr>
            <w:r>
              <w:drawing>
                <wp:inline distT="0" distB="0" distL="0" distR="0">
                  <wp:extent cx="4572000" cy="2095500"/>
                  <wp:effectExtent t="0" r="0" b="0" l="0"/>
                  <wp:docPr id="1" name="folds" descr="Rendimiento folds" title="Fol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80"/>
            </w:pPr>
            <w:r>
              <w:rPr>
                <w:color w:val="333333"/>
                <w:sz w:val="20"/>
                <w:szCs w:val="20"/>
              </w:rPr>
              <w:t xml:space="preserve">Los 5 folds muestran rendimiento consistente (94.5%-100%), con rango de variación de solo 5.5 puntos. Esto confirma que el modelo generaliza bien independientemente de la división de datos.</w:t>
            </w:r>
          </w:p>
          <w:p>
            <w:pPr>
              <w:spacing w:before="80" w:after="60"/>
            </w:pPr>
            <w:r>
              <w:rPr>
                <w:color w:val="333333"/>
                <w:sz w:val="20"/>
                <w:szCs w:val="20"/>
              </w:rPr>
              <w:t xml:space="preserve">🎯 Evaluación final: 91.11% accuracy en test set (41/45 correctas) | Clasificación perfecta de Setosa y Versicolor | 4 errores en Virginica debido a solapamiento esperado con Versicolor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9360"/>
      </w:tblGrid>
      <w:tr>
        <w:tc>
          <w:tcPr>
            <w:tcW w:type="dxa" w:w="9360"/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RECOMENDACIÓN</w:t>
            </w:r>
          </w:p>
        </w:tc>
      </w:tr>
      <w:tr>
        <w:tc>
          <w:tcPr>
            <w:tcW w:type="dxa" w:w="9360"/>
            <w:shd w:fill="E2F0D9" w:val="clear"/>
          </w:tcPr>
          <w:p>
            <w:pPr>
              <w:spacing w:before="100" w:after="100"/>
              <w:jc w:val="both"/>
            </w:pPr>
            <w:r>
              <w:rPr>
                <w:b w:val="false"/>
                <w:bCs w:val="false"/>
                <w:sz w:val="22"/>
                <w:szCs w:val="22"/>
              </w:rPr>
              <w:t xml:space="preserve">Implementar el modelo KNN con k=6 vecinos para clasificación de especies Iris. SIEMPRE utilizar cross-validation (mínimo 5-folds) para evaluación de modelos en lugar de train/test split simple. Esta práctica garantiza: (1) Uso eficiente de todas las muestras, (2) Estimaciones más confiables del rendimiento, (3) Medición de estabilidad del modelo, y (4) Mejor selección de hiperparámetros. Para proyectos futuros, considerar GridSearchCV para optimización automática de múltiples hiperparámetros simultáneamente.</w:t>
            </w:r>
          </w:p>
        </w:tc>
      </w:tr>
    </w:tbl>
    <w:p>
      <w:pPr>
        <w:spacing w:before="180"/>
        <w:jc w:val="center"/>
      </w:pPr>
      <w:r>
        <w:rPr>
          <w:i/>
          <w:iCs/>
          <w:color w:val="666666"/>
          <w:sz w:val="16"/>
          <w:szCs w:val="16"/>
        </w:rPr>
        <w:t xml:space="preserve">* Dataset Iris: 150 muestras, 4 características, 3 clases balanceadas • Algoritmo: K-Nearest Neighbors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emoTitle">
    <w:name w:val="Memo Title"/>
    <w:basedOn w:val="Normal"/>
    <w:pPr>
      <w:spacing w:before="120" w:after="180"/>
      <w:jc w:val="center"/>
    </w:pPr>
    <w:rPr>
      <w:rFonts w:ascii="Arial" w:cs="Arial" w:eastAsia="Arial" w:hAnsi="Arial"/>
      <w:b/>
      <w:bCs/>
      <w:color w:val="2E75B6"/>
      <w:sz w:val="44"/>
      <w:szCs w:val="44"/>
    </w:rPr>
  </w:style>
  <w:style w:type="paragraph" w:styleId="SectionHeader">
    <w:name w:val="Section Header"/>
    <w:basedOn w:val="Normal"/>
    <w:pPr>
      <w:spacing w:before="240" w:after="12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9597f787d7755c1631fc78d6aa2ba1b1e2ca6ff.png"/><Relationship Id="rId7" Type="http://schemas.openxmlformats.org/officeDocument/2006/relationships/image" Target="media/88972e511b4c4931a451991e57f55b3b0914c66a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2025-11-14T16:09:46.579Z</dcterms:created>
  <dcterms:modified xsi:type="dcterms:W3CDTF">2025-11-14T16:09:46.580Z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