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240"/>
          <w:sz w:val="48"/>
        </w:rPr>
        <w:t>Portfolio Commentary</w:t>
      </w:r>
    </w:p>
    <w:p>
      <w:r>
        <w:t>Account:    4686</w:t>
      </w:r>
    </w:p>
    <w:p>
      <w:r>
        <w:t>Strategy:   LCG</w:t>
      </w:r>
    </w:p>
    <w:p>
      <w:r>
        <w:t>Period:     4Q25</w:t>
      </w:r>
    </w:p>
    <w:p>
      <w:r>
        <w:t>Generated:  July 17, 2026 at 12:32 PM</w:t>
      </w:r>
    </w:p>
    <w:p>
      <w:r>
        <w:t>Status:     DRAFT</w:t>
      </w:r>
    </w:p>
    <w:p>
      <w:r>
        <w:rPr>
          <w:i/>
          <w:color w:val="9AA3AF"/>
        </w:rPr>
        <w:t>FOR INSTITUTIONAL USE ONLY — NOT FOR PUBLIC DISTRIBUTION</w:t>
      </w:r>
    </w:p>
    <w:p>
      <w:r>
        <w:br w:type="page"/>
      </w:r>
    </w:p>
    <w:p>
      <w:pPr>
        <w:pStyle w:val="Heading2"/>
      </w:pPr>
      <w:r>
        <w:rPr>
          <w:b/>
          <w:color w:val="0A2240"/>
          <w:sz w:val="24"/>
        </w:rPr>
        <w:t>Strategy Overview</w:t>
      </w:r>
    </w:p>
    <w:p>
      <w:pPr>
        <w:spacing w:after="80" w:before="0"/>
      </w:pPr>
      <w:r>
        <w:rPr>
          <w:sz w:val="21"/>
        </w:rPr>
        <w:t>Lead commentary could not be parsed.</w:t>
      </w:r>
    </w:p>
    <w:p/>
    <w:p>
      <w:pPr>
        <w:pStyle w:val="Heading2"/>
      </w:pPr>
      <w:r>
        <w:rPr>
          <w:b/>
          <w:color w:val="0A2240"/>
          <w:sz w:val="24"/>
        </w:rPr>
        <w:t>Performance Summary</w:t>
      </w:r>
    </w:p>
    <w:p>
      <w:r>
        <w:rPr>
          <w:i/>
          <w:color w:val="9AA3AF"/>
          <w:sz w:val="16"/>
        </w:rPr>
        <w:t>[ Auto-Generated ]</w:t>
      </w:r>
    </w:p>
    <w:p>
      <w:pPr>
        <w:spacing w:after="80" w:before="0"/>
      </w:pPr>
      <w:r>
        <w:rPr>
          <w:sz w:val="21"/>
        </w:rPr>
        <w:t>For the period ending 4Q25, the portfolio returned 100.00%, compared to the Russell 1000 Growth Index (Total Return) return of 1.88%. The portfolio outperformed the benchmark by 98.12% on a gross of fees basis.</w:t>
      </w:r>
    </w:p>
    <w:p/>
    <w:p>
      <w:pPr>
        <w:pStyle w:val="Heading2"/>
      </w:pPr>
      <w:r>
        <w:rPr>
          <w:b/>
          <w:color w:val="0A2240"/>
          <w:sz w:val="24"/>
        </w:rPr>
        <w:t>Attribution Analysis</w:t>
      </w:r>
    </w:p>
    <w:p>
      <w:r>
        <w:rPr>
          <w:i/>
          <w:color w:val="9AA3AF"/>
          <w:sz w:val="16"/>
        </w:rPr>
        <w:t>[ Auto-Generated ]</w:t>
      </w:r>
    </w:p>
    <w:p>
      <w:pPr>
        <w:spacing w:after="80" w:before="0"/>
      </w:pPr>
      <w:r>
        <w:rPr>
          <w:sz w:val="21"/>
        </w:rPr>
        <w:t>For the 4Q25 period, the following securities were among the primary drivers of relative performance versus the Russell 1000 Growth Index (Total Return).</w:t>
      </w:r>
    </w:p>
    <w:p>
      <w:pPr>
        <w:spacing w:after="80" w:before="0"/>
      </w:pPr>
      <w:r>
        <w:rPr>
          <w:sz w:val="21"/>
        </w:rPr>
        <w:t>Top Contributors:</w:t>
      </w:r>
    </w:p>
    <w:p/>
    <w:p>
      <w:pPr>
        <w:pStyle w:val="Heading2"/>
      </w:pPr>
      <w:r>
        <w:rPr>
          <w:b/>
          <w:color w:val="0A2240"/>
          <w:sz w:val="24"/>
        </w:rPr>
        <w:t>Transaction Activity</w:t>
      </w:r>
    </w:p>
    <w:p>
      <w:r>
        <w:rPr>
          <w:i/>
          <w:color w:val="9AA3AF"/>
          <w:sz w:val="16"/>
        </w:rPr>
        <w:t>[ Auto-Generated ]</w:t>
      </w:r>
    </w:p>
    <w:p>
      <w:pPr>
        <w:spacing w:after="80" w:before="0"/>
      </w:pPr>
      <w:r>
        <w:rPr>
          <w:sz w:val="21"/>
        </w:rPr>
        <w:t>During the period, the following positions were initiated or added:</w:t>
      </w:r>
    </w:p>
    <w:p>
      <w:pPr>
        <w:spacing w:after="80" w:before="0"/>
      </w:pPr>
      <w:r>
        <w:rPr>
          <w:sz w:val="21"/>
        </w:rPr>
        <w:t>Purchased: Net Equity Additions and Subtractions by Issuer</w:t>
      </w:r>
    </w:p>
    <w:p>
      <w:pPr>
        <w:spacing w:after="80" w:before="0"/>
      </w:pPr>
      <w:r>
        <w:rPr>
          <w:sz w:val="21"/>
        </w:rPr>
        <w:t>Rationale: Net Equity Additions and Subtractions by Issuer</w:t>
      </w:r>
    </w:p>
    <w:p>
      <w:pPr>
        <w:spacing w:after="80" w:before="0"/>
      </w:pPr>
      <w:r>
        <w:rPr>
          <w:sz w:val="21"/>
        </w:rPr>
        <w:t>Purchased: Portfolio: Harris Corporation - Large-Cap Growth</w:t>
      </w:r>
    </w:p>
    <w:p>
      <w:pPr>
        <w:spacing w:after="80" w:before="0"/>
      </w:pPr>
      <w:r>
        <w:rPr>
          <w:sz w:val="21"/>
        </w:rPr>
        <w:t>Rationale: Portfolio: Harris Corporation - Large-Cap Growth</w:t>
      </w:r>
    </w:p>
    <w:p>
      <w:pPr>
        <w:spacing w:after="80" w:before="0"/>
      </w:pPr>
      <w:r>
        <w:rPr>
          <w:sz w:val="21"/>
        </w:rPr>
        <w:t>Purchased: Effective Date: 12/31/2025</w:t>
      </w:r>
    </w:p>
    <w:p>
      <w:pPr>
        <w:spacing w:after="80" w:before="0"/>
      </w:pPr>
      <w:r>
        <w:rPr>
          <w:sz w:val="21"/>
        </w:rPr>
        <w:t>Rationale: Effective Date: 12/31/2025</w:t>
      </w:r>
    </w:p>
    <w:p>
      <w:pPr>
        <w:spacing w:after="80" w:before="0"/>
      </w:pPr>
      <w:r>
        <w:rPr>
          <w:sz w:val="21"/>
        </w:rPr>
        <w:t>Purchased: Time Period: 3 Months</w:t>
      </w:r>
    </w:p>
    <w:p>
      <w:pPr>
        <w:spacing w:after="80" w:before="0"/>
      </w:pPr>
      <w:r>
        <w:rPr>
          <w:sz w:val="21"/>
        </w:rPr>
        <w:t>Rationale: Time Period: 3 Months</w:t>
      </w:r>
    </w:p>
    <w:p>
      <w:pPr>
        <w:spacing w:after="80" w:before="0"/>
      </w:pPr>
      <w:r>
        <w:rPr>
          <w:sz w:val="21"/>
        </w:rPr>
        <w:t>Purchased: 1</w:t>
      </w:r>
    </w:p>
    <w:p>
      <w:pPr>
        <w:spacing w:after="80" w:before="0"/>
      </w:pPr>
      <w:r>
        <w:rPr>
          <w:sz w:val="21"/>
        </w:rPr>
        <w:t>Rationale: United States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3AF"/>
        <w:sz w:val="16"/>
      </w:rPr>
      <w:t>T. Rowe Price | LCG | 4Q25 | Confidential | Generated 17 Jul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