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240"/>
          <w:sz w:val="48"/>
        </w:rPr>
        <w:t>Portfolio Commentary</w:t>
      </w:r>
    </w:p>
    <w:p>
      <w:r>
        <w:t>Account:    4686</w:t>
      </w:r>
    </w:p>
    <w:p>
      <w:r>
        <w:t>Strategy:   LCG</w:t>
      </w:r>
    </w:p>
    <w:p>
      <w:r>
        <w:t>Period:     4Q25</w:t>
      </w:r>
    </w:p>
    <w:p>
      <w:r>
        <w:t>Generated:  July 17, 2026 at 01:34 PM</w:t>
      </w:r>
    </w:p>
    <w:p>
      <w:r>
        <w:t>Status:     APPROVED</w:t>
      </w:r>
    </w:p>
    <w:p>
      <w:r>
        <w:rPr>
          <w:i/>
          <w:color w:val="9AA3AF"/>
        </w:rPr>
        <w:t>FOR INSTITUTIONAL USE ONLY — NOT FOR PUBLIC DISTRIBUTION</w:t>
      </w:r>
    </w:p>
    <w:p>
      <w:r>
        <w:br w:type="page"/>
      </w:r>
    </w:p>
    <w:p>
      <w:pPr>
        <w:pStyle w:val="Heading2"/>
      </w:pPr>
      <w:r>
        <w:rPr>
          <w:b/>
          <w:color w:val="0A2240"/>
          <w:sz w:val="24"/>
        </w:rPr>
        <w:t>Strategy Overview</w:t>
      </w:r>
    </w:p>
    <w:p>
      <w:pPr>
        <w:spacing w:after="80" w:before="0"/>
      </w:pPr>
      <w:r>
        <w:rPr>
          <w:sz w:val="21"/>
        </w:rPr>
        <w:t>Lead commentary could not be parsed.</w:t>
      </w:r>
    </w:p>
    <w:p/>
    <w:p>
      <w:pPr>
        <w:pStyle w:val="Heading2"/>
      </w:pPr>
      <w:r>
        <w:rPr>
          <w:b/>
          <w:color w:val="0A2240"/>
          <w:sz w:val="24"/>
        </w:rPr>
        <w:t>Performance Summary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period ending 4Q25, the portfolio returned 100.00%, compared to the Russell 1000 Growth Index (Total Return) return of 1.88%. The portfolio outperformed the benchmark by 98.12% on a gross of fees basis.</w:t>
      </w:r>
    </w:p>
    <w:p/>
    <w:p>
      <w:pPr>
        <w:pStyle w:val="Heading2"/>
      </w:pPr>
      <w:r>
        <w:rPr>
          <w:b/>
          <w:color w:val="0A2240"/>
          <w:sz w:val="24"/>
        </w:rPr>
        <w:t>Attribution Analysis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4Q25 period, the following securities were among the primary drivers of relative performance versus the Russell 1000 Growth Index (Total Return).</w:t>
      </w:r>
    </w:p>
    <w:p>
      <w:pPr>
        <w:spacing w:after="80" w:before="0"/>
      </w:pPr>
      <w:r>
        <w:rPr>
          <w:sz w:val="21"/>
        </w:rPr>
        <w:t>Top Contributors:</w:t>
      </w:r>
    </w:p>
    <w:p/>
    <w:p>
      <w:pPr>
        <w:pStyle w:val="Heading2"/>
      </w:pPr>
      <w:r>
        <w:rPr>
          <w:b/>
          <w:color w:val="0A2240"/>
          <w:sz w:val="24"/>
        </w:rPr>
        <w:t>Transaction Activity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During the period, the following positions were initiated or added:</w:t>
      </w:r>
    </w:p>
    <w:p>
      <w:pPr>
        <w:spacing w:after="80" w:before="0"/>
      </w:pPr>
      <w:r>
        <w:rPr>
          <w:sz w:val="21"/>
        </w:rPr>
        <w:t>Purchased: Net Equity Additions and Subtractions by Issuer</w:t>
      </w:r>
    </w:p>
    <w:p>
      <w:pPr>
        <w:spacing w:after="80" w:before="0"/>
      </w:pPr>
      <w:r>
        <w:rPr>
          <w:sz w:val="21"/>
        </w:rPr>
        <w:t>Rationale: Net Equity Additions and Subtractions by Issuer</w:t>
      </w:r>
    </w:p>
    <w:p>
      <w:pPr>
        <w:spacing w:after="80" w:before="0"/>
      </w:pPr>
      <w:r>
        <w:rPr>
          <w:sz w:val="21"/>
        </w:rPr>
        <w:t>Purchased: Portfolio: Harris Corporation - Large-Cap Growth</w:t>
      </w:r>
    </w:p>
    <w:p>
      <w:pPr>
        <w:spacing w:after="80" w:before="0"/>
      </w:pPr>
      <w:r>
        <w:rPr>
          <w:sz w:val="21"/>
        </w:rPr>
        <w:t>Rationale: Portfolio: Harris Corporation - Large-Cap Growth</w:t>
      </w:r>
    </w:p>
    <w:p>
      <w:pPr>
        <w:spacing w:after="80" w:before="0"/>
      </w:pPr>
      <w:r>
        <w:rPr>
          <w:sz w:val="21"/>
        </w:rPr>
        <w:t>Purchased: Effective Date: 12/31/2025</w:t>
      </w:r>
    </w:p>
    <w:p>
      <w:pPr>
        <w:spacing w:after="80" w:before="0"/>
      </w:pPr>
      <w:r>
        <w:rPr>
          <w:sz w:val="21"/>
        </w:rPr>
        <w:t>Rationale: Effective Date: 12/31/2025</w:t>
      </w:r>
    </w:p>
    <w:p>
      <w:pPr>
        <w:spacing w:after="80" w:before="0"/>
      </w:pPr>
      <w:r>
        <w:rPr>
          <w:sz w:val="21"/>
        </w:rPr>
        <w:t>Purchased: Time Period: 3 Months</w:t>
      </w:r>
    </w:p>
    <w:p>
      <w:pPr>
        <w:spacing w:after="80" w:before="0"/>
      </w:pPr>
      <w:r>
        <w:rPr>
          <w:sz w:val="21"/>
        </w:rPr>
        <w:t>Rationale: Time Period: 3 Months</w:t>
      </w:r>
    </w:p>
    <w:p>
      <w:pPr>
        <w:spacing w:after="80" w:before="0"/>
      </w:pPr>
      <w:r>
        <w:rPr>
          <w:sz w:val="21"/>
        </w:rPr>
        <w:t>Purchased: 1</w:t>
      </w:r>
    </w:p>
    <w:p>
      <w:pPr>
        <w:spacing w:after="80" w:before="0"/>
      </w:pPr>
      <w:r>
        <w:rPr>
          <w:sz w:val="21"/>
        </w:rPr>
        <w:t>Rationale: United States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3AF"/>
        <w:sz w:val="16"/>
      </w:rPr>
      <w:t>T. Rowe Price | LCG | 4Q25 | Confidential | Generated 17 Jul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