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3A182" w14:textId="27B99491" w:rsidR="0038341E" w:rsidRDefault="2E48956A" w:rsidP="59961667">
      <w:pPr>
        <w:rPr>
          <w:b/>
          <w:bCs/>
          <w:highlight w:val="yellow"/>
        </w:rPr>
      </w:pPr>
      <w:r w:rsidRPr="2E48956A">
        <w:rPr>
          <w:b/>
          <w:bCs/>
        </w:rPr>
        <w:t>Population Characteristics from Truven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06"/>
        <w:gridCol w:w="6064"/>
      </w:tblGrid>
      <w:tr w:rsidR="3AA9DB4E" w14:paraId="38FD5EFB" w14:textId="77777777" w:rsidTr="5562F424">
        <w:trPr>
          <w:trHeight w:val="345"/>
        </w:trPr>
        <w:tc>
          <w:tcPr>
            <w:tcW w:w="9270" w:type="dxa"/>
            <w:gridSpan w:val="2"/>
            <w:tcBorders>
              <w:top w:val="single" w:sz="8" w:space="0" w:color="000000" w:themeColor="text1"/>
              <w:left w:val="single" w:sz="8" w:space="0" w:color="000000" w:themeColor="text1"/>
              <w:bottom w:val="single" w:sz="8" w:space="0" w:color="000000" w:themeColor="text1"/>
            </w:tcBorders>
            <w:shd w:val="clear" w:color="auto" w:fill="FFFFFF" w:themeFill="background1"/>
          </w:tcPr>
          <w:p w14:paraId="58ECF8E4" w14:textId="4B0E0B6C" w:rsidR="00F51105" w:rsidRDefault="3AA9DB4E" w:rsidP="72461836">
            <w:pPr>
              <w:rPr>
                <w:rFonts w:ascii="Calibri" w:eastAsia="Calibri" w:hAnsi="Calibri" w:cs="Calibri"/>
                <w:b/>
                <w:bCs/>
                <w:color w:val="000000" w:themeColor="text1"/>
              </w:rPr>
            </w:pPr>
            <w:r w:rsidRPr="72461836">
              <w:rPr>
                <w:rFonts w:ascii="Calibri" w:eastAsia="Calibri" w:hAnsi="Calibri" w:cs="Calibri"/>
                <w:b/>
                <w:bCs/>
                <w:color w:val="000000" w:themeColor="text1"/>
              </w:rPr>
              <w:t>N</w:t>
            </w:r>
            <w:r w:rsidR="00303736">
              <w:rPr>
                <w:rFonts w:ascii="Calibri" w:eastAsia="Calibri" w:hAnsi="Calibri" w:cs="Calibri"/>
                <w:b/>
                <w:bCs/>
                <w:color w:val="000000" w:themeColor="text1"/>
              </w:rPr>
              <w:t xml:space="preserve"> </w:t>
            </w:r>
            <w:r w:rsidRPr="72461836">
              <w:rPr>
                <w:rFonts w:ascii="Calibri" w:eastAsia="Calibri" w:hAnsi="Calibri" w:cs="Calibri"/>
                <w:b/>
                <w:bCs/>
                <w:color w:val="000000" w:themeColor="text1"/>
              </w:rPr>
              <w:t xml:space="preserve">(%) of patients with undiagnosed cirrhosis </w:t>
            </w:r>
          </w:p>
          <w:p w14:paraId="3DC89486" w14:textId="26CB1B8F" w:rsidR="003A640B" w:rsidRPr="72461836" w:rsidRDefault="0AE3949F" w:rsidP="72461836">
            <w:pPr>
              <w:rPr>
                <w:rFonts w:ascii="Calibri" w:eastAsia="Calibri" w:hAnsi="Calibri" w:cs="Calibri"/>
                <w:b/>
                <w:bCs/>
                <w:color w:val="000000" w:themeColor="text1"/>
              </w:rPr>
            </w:pPr>
            <w:r w:rsidRPr="72461836">
              <w:rPr>
                <w:rFonts w:ascii="Calibri" w:eastAsia="Calibri" w:hAnsi="Calibri" w:cs="Calibri"/>
                <w:color w:val="000000" w:themeColor="text1"/>
              </w:rPr>
              <w:t>(</w:t>
            </w:r>
            <w:r w:rsidR="3AA9DB4E" w:rsidRPr="72461836">
              <w:rPr>
                <w:rFonts w:ascii="Calibri" w:eastAsia="Calibri" w:hAnsi="Calibri" w:cs="Calibri"/>
                <w:color w:val="000000" w:themeColor="text1"/>
              </w:rPr>
              <w:t>PLT&lt;140 or FIB-4&gt;=2.67 w/o cirrhosis diagnosis</w:t>
            </w:r>
            <w:r w:rsidR="1F109294" w:rsidRPr="72461836">
              <w:rPr>
                <w:rFonts w:ascii="Calibri" w:eastAsia="Calibri" w:hAnsi="Calibri" w:cs="Calibri"/>
                <w:color w:val="000000" w:themeColor="text1"/>
              </w:rPr>
              <w:t>)</w:t>
            </w:r>
            <w:r w:rsidR="6199548F" w:rsidRPr="72461836">
              <w:rPr>
                <w:rFonts w:ascii="Calibri" w:eastAsia="Calibri" w:hAnsi="Calibri" w:cs="Calibri"/>
                <w:color w:val="000000" w:themeColor="text1"/>
              </w:rPr>
              <w:t xml:space="preserve">. </w:t>
            </w:r>
            <w:r w:rsidR="6199548F" w:rsidRPr="72461836">
              <w:rPr>
                <w:rFonts w:ascii="Calibri" w:eastAsia="Calibri" w:hAnsi="Calibri" w:cs="Calibri"/>
              </w:rPr>
              <w:t>Denominator is % out of our final MASLD cohort who have PLT/FIB-4 dat</w:t>
            </w:r>
            <w:r w:rsidR="41732F93" w:rsidRPr="72461836">
              <w:rPr>
                <w:rFonts w:ascii="Calibri" w:eastAsia="Calibri" w:hAnsi="Calibri" w:cs="Calibri"/>
              </w:rPr>
              <w:t xml:space="preserve">a. </w:t>
            </w:r>
          </w:p>
        </w:tc>
      </w:tr>
      <w:tr w:rsidR="72461836" w14:paraId="64939D81"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17F475F" w14:textId="2B9575E3" w:rsidR="6199548F" w:rsidRDefault="6199548F" w:rsidP="72461836">
            <w:pPr>
              <w:spacing w:line="257" w:lineRule="auto"/>
              <w:rPr>
                <w:rFonts w:ascii="Calibri" w:eastAsia="Calibri" w:hAnsi="Calibri" w:cs="Calibri"/>
                <w:color w:val="000000" w:themeColor="text1"/>
              </w:rPr>
            </w:pPr>
            <w:r w:rsidRPr="72461836">
              <w:rPr>
                <w:rFonts w:ascii="Calibri" w:eastAsia="Calibri" w:hAnsi="Calibri" w:cs="Calibri"/>
                <w:color w:val="000000" w:themeColor="text1"/>
              </w:rPr>
              <w:t>Out of overall final MASLD cohort</w:t>
            </w:r>
          </w:p>
        </w:tc>
        <w:tc>
          <w:tcPr>
            <w:tcW w:w="60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33579" w14:textId="5A2FEBCF" w:rsidR="009A4AE4" w:rsidRDefault="00C607E4" w:rsidP="009A4AE4">
            <w:pPr>
              <w:jc w:val="center"/>
              <w:rPr>
                <w:rFonts w:ascii="Calibri" w:eastAsia="Calibri" w:hAnsi="Calibri" w:cs="Calibri"/>
                <w:color w:val="000000" w:themeColor="text1"/>
              </w:rPr>
            </w:pPr>
            <w:r>
              <w:rPr>
                <w:rFonts w:ascii="Calibri" w:eastAsia="Calibri" w:hAnsi="Calibri" w:cs="Calibri"/>
                <w:color w:val="000000" w:themeColor="text1"/>
              </w:rPr>
              <w:t xml:space="preserve">Truven: </w:t>
            </w:r>
            <w:r w:rsidR="1890523D" w:rsidRPr="1890523D">
              <w:rPr>
                <w:rFonts w:ascii="Calibri" w:eastAsia="Calibri" w:hAnsi="Calibri" w:cs="Calibri"/>
                <w:color w:val="000000" w:themeColor="text1"/>
              </w:rPr>
              <w:t>2,236/40,630 (5.5%)</w:t>
            </w:r>
            <w:r w:rsidR="008C58C0">
              <w:rPr>
                <w:rFonts w:ascii="Calibri" w:eastAsia="Calibri" w:hAnsi="Calibri" w:cs="Calibri"/>
                <w:color w:val="000000" w:themeColor="text1"/>
              </w:rPr>
              <w:t xml:space="preserve"> </w:t>
            </w:r>
            <w:r w:rsidR="008C58C0" w:rsidRPr="008C58C0">
              <w:rPr>
                <w:rFonts w:ascii="Wingdings" w:eastAsia="Wingdings" w:hAnsi="Wingdings" w:cs="Wingdings"/>
                <w:color w:val="000000" w:themeColor="text1"/>
              </w:rPr>
              <w:t>à</w:t>
            </w:r>
            <w:r w:rsidR="008C58C0">
              <w:rPr>
                <w:rFonts w:ascii="Calibri" w:eastAsia="Calibri" w:hAnsi="Calibri" w:cs="Calibri"/>
                <w:color w:val="000000" w:themeColor="text1"/>
              </w:rPr>
              <w:t xml:space="preserve"> this is very low, possibly because we limit to patients who have lab data recorded.</w:t>
            </w:r>
          </w:p>
          <w:p w14:paraId="7B7637E4" w14:textId="77777777" w:rsidR="009A4AE4" w:rsidRPr="009A4AE4" w:rsidRDefault="009A4AE4" w:rsidP="009A4AE4">
            <w:pPr>
              <w:jc w:val="center"/>
              <w:rPr>
                <w:rFonts w:ascii="Calibri" w:eastAsia="Calibri" w:hAnsi="Calibri" w:cs="Calibri"/>
                <w:color w:val="000000" w:themeColor="text1"/>
              </w:rPr>
            </w:pPr>
          </w:p>
          <w:p w14:paraId="18F71C29" w14:textId="17DB7C53" w:rsidR="6199548F" w:rsidRPr="00CD2694" w:rsidRDefault="008C58C0" w:rsidP="1890523D">
            <w:pPr>
              <w:jc w:val="center"/>
              <w:rPr>
                <w:rFonts w:ascii="Calibri" w:eastAsia="Calibri" w:hAnsi="Calibri" w:cs="Calibri"/>
                <w:b/>
                <w:bCs/>
                <w:color w:val="000000" w:themeColor="text1"/>
              </w:rPr>
            </w:pPr>
            <w:r w:rsidRPr="008C58C0">
              <w:rPr>
                <w:rFonts w:ascii="Calibri" w:eastAsia="Calibri" w:hAnsi="Calibri" w:cs="Calibri"/>
                <w:color w:val="000000" w:themeColor="text1"/>
              </w:rPr>
              <w:t>(</w:t>
            </w:r>
            <w:hyperlink r:id="rId6" w:history="1">
              <w:r w:rsidRPr="008C58C0">
                <w:rPr>
                  <w:rStyle w:val="Hyperlink"/>
                  <w:rFonts w:ascii="Calibri" w:eastAsia="Calibri" w:hAnsi="Calibri" w:cs="Calibri"/>
                </w:rPr>
                <w:t>Walker 2016</w:t>
              </w:r>
            </w:hyperlink>
            <w:r w:rsidRPr="008C58C0">
              <w:rPr>
                <w:rFonts w:ascii="Calibri" w:eastAsia="Calibri" w:hAnsi="Calibri" w:cs="Calibri"/>
                <w:color w:val="000000" w:themeColor="text1"/>
              </w:rPr>
              <w:t xml:space="preserve"> (24.6%), </w:t>
            </w:r>
            <w:hyperlink r:id="rId7" w:history="1">
              <w:r w:rsidRPr="00545818">
                <w:rPr>
                  <w:rStyle w:val="Hyperlink"/>
                  <w:rFonts w:ascii="Calibri" w:eastAsia="Calibri" w:hAnsi="Calibri" w:cs="Calibri"/>
                </w:rPr>
                <w:t>Fujimoto 2008</w:t>
              </w:r>
            </w:hyperlink>
            <w:r w:rsidRPr="00545818">
              <w:rPr>
                <w:rFonts w:ascii="Calibri" w:eastAsia="Calibri" w:hAnsi="Calibri" w:cs="Calibri"/>
                <w:color w:val="000000" w:themeColor="text1"/>
              </w:rPr>
              <w:t xml:space="preserve"> (23.7%))</w:t>
            </w:r>
            <w:r w:rsidRPr="00545818">
              <w:rPr>
                <w:rFonts w:ascii="Calibri" w:eastAsia="Calibri" w:hAnsi="Calibri" w:cs="Calibri"/>
                <w:b/>
                <w:bCs/>
                <w:strike/>
                <w:color w:val="000000" w:themeColor="text1"/>
              </w:rPr>
              <w:t xml:space="preserve"> </w:t>
            </w:r>
            <w:r w:rsidR="009A4AE4" w:rsidRPr="009A4AE4">
              <w:rPr>
                <w:rFonts w:ascii="Wingdings" w:eastAsia="Wingdings" w:hAnsi="Wingdings" w:cs="Wingdings"/>
                <w:b/>
                <w:bCs/>
                <w:color w:val="000000" w:themeColor="text1"/>
              </w:rPr>
              <w:t>à</w:t>
            </w:r>
            <w:r w:rsidR="009A4AE4">
              <w:rPr>
                <w:rFonts w:ascii="Calibri" w:eastAsia="Calibri" w:hAnsi="Calibri" w:cs="Calibri"/>
                <w:b/>
                <w:bCs/>
                <w:color w:val="000000" w:themeColor="text1"/>
              </w:rPr>
              <w:t xml:space="preserve"> average</w:t>
            </w:r>
            <w:r w:rsidRPr="5562F424">
              <w:rPr>
                <w:rFonts w:ascii="Calibri" w:eastAsia="Calibri" w:hAnsi="Calibri" w:cs="Calibri"/>
                <w:color w:val="000000" w:themeColor="text1"/>
              </w:rPr>
              <w:t xml:space="preserve"> </w:t>
            </w:r>
            <w:r w:rsidRPr="00CD2694">
              <w:rPr>
                <w:rFonts w:ascii="Calibri" w:eastAsia="Calibri" w:hAnsi="Calibri" w:cs="Calibri"/>
                <w:b/>
                <w:bCs/>
                <w:color w:val="000000" w:themeColor="text1"/>
              </w:rPr>
              <w:t>2</w:t>
            </w:r>
            <w:r w:rsidR="00545818" w:rsidRPr="00CD2694">
              <w:rPr>
                <w:rFonts w:ascii="Calibri" w:eastAsia="Calibri" w:hAnsi="Calibri" w:cs="Calibri"/>
                <w:b/>
                <w:bCs/>
                <w:color w:val="000000" w:themeColor="text1"/>
              </w:rPr>
              <w:t>4.2</w:t>
            </w:r>
            <w:r w:rsidRPr="00CD2694">
              <w:rPr>
                <w:rFonts w:ascii="Calibri" w:eastAsia="Calibri" w:hAnsi="Calibri" w:cs="Calibri"/>
                <w:b/>
                <w:bCs/>
                <w:color w:val="000000" w:themeColor="text1"/>
              </w:rPr>
              <w:t>%</w:t>
            </w:r>
            <w:r w:rsidR="00325DEC" w:rsidRPr="00CD2694">
              <w:rPr>
                <w:rFonts w:ascii="Calibri" w:eastAsia="Calibri" w:hAnsi="Calibri" w:cs="Calibri"/>
                <w:b/>
                <w:bCs/>
                <w:color w:val="000000" w:themeColor="text1"/>
              </w:rPr>
              <w:t xml:space="preserve"> (</w:t>
            </w:r>
            <w:r w:rsidR="00545818" w:rsidRPr="00CD2694">
              <w:rPr>
                <w:rFonts w:ascii="Calibri" w:eastAsia="Calibri" w:hAnsi="Calibri" w:cs="Calibri"/>
                <w:b/>
                <w:bCs/>
                <w:color w:val="000000" w:themeColor="text1"/>
              </w:rPr>
              <w:t>1</w:t>
            </w:r>
            <w:r w:rsidR="00360C84" w:rsidRPr="00CD2694">
              <w:rPr>
                <w:rFonts w:ascii="Calibri" w:eastAsia="Calibri" w:hAnsi="Calibri" w:cs="Calibri"/>
                <w:b/>
                <w:bCs/>
                <w:color w:val="000000" w:themeColor="text1"/>
              </w:rPr>
              <w:t>8</w:t>
            </w:r>
            <w:r w:rsidR="00545818" w:rsidRPr="00CD2694">
              <w:rPr>
                <w:rFonts w:ascii="Calibri" w:eastAsia="Calibri" w:hAnsi="Calibri" w:cs="Calibri"/>
                <w:b/>
                <w:bCs/>
                <w:color w:val="000000" w:themeColor="text1"/>
              </w:rPr>
              <w:t>.1</w:t>
            </w:r>
            <w:r w:rsidR="00325DEC" w:rsidRPr="00CD2694">
              <w:rPr>
                <w:rFonts w:ascii="Calibri" w:eastAsia="Calibri" w:hAnsi="Calibri" w:cs="Calibri"/>
                <w:b/>
                <w:bCs/>
                <w:color w:val="000000" w:themeColor="text1"/>
              </w:rPr>
              <w:t>%</w:t>
            </w:r>
            <w:r w:rsidR="00545818" w:rsidRPr="00CD2694">
              <w:rPr>
                <w:rFonts w:ascii="Calibri" w:eastAsia="Calibri" w:hAnsi="Calibri" w:cs="Calibri"/>
                <w:b/>
                <w:bCs/>
                <w:color w:val="000000" w:themeColor="text1"/>
              </w:rPr>
              <w:t>-30.2</w:t>
            </w:r>
            <w:r w:rsidR="00325DEC" w:rsidRPr="00CD2694">
              <w:rPr>
                <w:rFonts w:ascii="Calibri" w:eastAsia="Calibri" w:hAnsi="Calibri" w:cs="Calibri"/>
                <w:b/>
                <w:bCs/>
                <w:color w:val="000000" w:themeColor="text1"/>
              </w:rPr>
              <w:t>%)</w:t>
            </w:r>
          </w:p>
          <w:p w14:paraId="0A8F69BC" w14:textId="43B22711" w:rsidR="00360C84" w:rsidRPr="00360C84" w:rsidRDefault="00360C84" w:rsidP="1890523D">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2A9203BD" w14:textId="77777777" w:rsidR="009A4AE4" w:rsidRDefault="009A4AE4" w:rsidP="1890523D">
            <w:pPr>
              <w:jc w:val="center"/>
              <w:rPr>
                <w:rFonts w:ascii="Calibri" w:eastAsia="Calibri" w:hAnsi="Calibri" w:cs="Calibri"/>
                <w:color w:val="000000" w:themeColor="text1"/>
              </w:rPr>
            </w:pPr>
          </w:p>
          <w:p w14:paraId="7399D77D" w14:textId="77777777" w:rsidR="009A4AE4" w:rsidRDefault="009A4AE4" w:rsidP="009A4AE4">
            <w:pPr>
              <w:jc w:val="center"/>
              <w:rPr>
                <w:rFonts w:ascii="Calibri" w:eastAsia="Calibri" w:hAnsi="Calibri" w:cs="Calibri"/>
                <w:color w:val="000000" w:themeColor="text1"/>
                <w:sz w:val="14"/>
                <w:szCs w:val="14"/>
              </w:rPr>
            </w:pPr>
            <w:hyperlink r:id="rId8" w:history="1">
              <w:r w:rsidRPr="009A4AE4">
                <w:rPr>
                  <w:sz w:val="14"/>
                  <w:szCs w:val="14"/>
                </w:rPr>
                <w:t xml:space="preserve">Didn’t include </w:t>
              </w:r>
              <w:r w:rsidRPr="009A4AE4">
                <w:rPr>
                  <w:rStyle w:val="Hyperlink"/>
                  <w:rFonts w:ascii="Calibri" w:eastAsia="Calibri" w:hAnsi="Calibri" w:cs="Calibri"/>
                  <w:sz w:val="14"/>
                  <w:szCs w:val="14"/>
                </w:rPr>
                <w:t>Guss 2018</w:t>
              </w:r>
            </w:hyperlink>
            <w:r w:rsidRPr="009A4AE4">
              <w:rPr>
                <w:rFonts w:ascii="Calibri" w:eastAsia="Calibri" w:hAnsi="Calibri" w:cs="Calibri"/>
                <w:color w:val="000000" w:themeColor="text1"/>
                <w:sz w:val="14"/>
                <w:szCs w:val="14"/>
              </w:rPr>
              <w:t xml:space="preserve"> (reported 36 out of 45 HCC pts without cirrhosis dx had features of cirrhosis, but this was probs skewed since it is </w:t>
            </w:r>
            <w:proofErr w:type="gramStart"/>
            <w:r w:rsidRPr="009A4AE4">
              <w:rPr>
                <w:rFonts w:ascii="Calibri" w:eastAsia="Calibri" w:hAnsi="Calibri" w:cs="Calibri"/>
                <w:color w:val="000000" w:themeColor="text1"/>
                <w:sz w:val="14"/>
                <w:szCs w:val="14"/>
              </w:rPr>
              <w:t>a</w:t>
            </w:r>
            <w:proofErr w:type="gramEnd"/>
            <w:r w:rsidRPr="009A4AE4">
              <w:rPr>
                <w:rFonts w:ascii="Calibri" w:eastAsia="Calibri" w:hAnsi="Calibri" w:cs="Calibri"/>
                <w:color w:val="000000" w:themeColor="text1"/>
                <w:sz w:val="14"/>
                <w:szCs w:val="14"/>
              </w:rPr>
              <w:t xml:space="preserve"> HCC population without including HBV pts)</w:t>
            </w:r>
          </w:p>
          <w:p w14:paraId="46A08DB9" w14:textId="5B7E2A71" w:rsidR="00545818" w:rsidRPr="009A4AE4" w:rsidRDefault="00545818" w:rsidP="009A4AE4">
            <w:pPr>
              <w:jc w:val="center"/>
              <w:rPr>
                <w:rFonts w:ascii="Calibri" w:eastAsia="Calibri" w:hAnsi="Calibri" w:cs="Calibri"/>
                <w:color w:val="FF0000"/>
              </w:rPr>
            </w:pPr>
            <w:r>
              <w:rPr>
                <w:rFonts w:ascii="Calibri" w:eastAsia="Calibri" w:hAnsi="Calibri" w:cs="Calibri"/>
                <w:color w:val="000000" w:themeColor="text1"/>
                <w:sz w:val="14"/>
                <w:szCs w:val="14"/>
              </w:rPr>
              <w:t xml:space="preserve">Didn’t include </w:t>
            </w:r>
            <w:hyperlink r:id="rId9" w:history="1">
              <w:r w:rsidRPr="00545818">
                <w:rPr>
                  <w:rStyle w:val="Hyperlink"/>
                  <w:rFonts w:ascii="Calibri" w:eastAsia="Calibri" w:hAnsi="Calibri" w:cs="Calibri"/>
                  <w:sz w:val="14"/>
                  <w:szCs w:val="14"/>
                </w:rPr>
                <w:t>Singal 2012</w:t>
              </w:r>
            </w:hyperlink>
            <w:r>
              <w:rPr>
                <w:rFonts w:ascii="Calibri" w:eastAsia="Calibri" w:hAnsi="Calibri" w:cs="Calibri"/>
                <w:color w:val="000000" w:themeColor="text1"/>
                <w:sz w:val="14"/>
                <w:szCs w:val="14"/>
              </w:rPr>
              <w:t xml:space="preserve"> </w:t>
            </w:r>
            <w:proofErr w:type="spellStart"/>
            <w:r>
              <w:rPr>
                <w:rFonts w:ascii="Calibri" w:eastAsia="Calibri" w:hAnsi="Calibri" w:cs="Calibri"/>
                <w:color w:val="000000" w:themeColor="text1"/>
                <w:sz w:val="14"/>
                <w:szCs w:val="14"/>
              </w:rPr>
              <w:t>bc</w:t>
            </w:r>
            <w:proofErr w:type="spellEnd"/>
            <w:r>
              <w:rPr>
                <w:rFonts w:ascii="Calibri" w:eastAsia="Calibri" w:hAnsi="Calibri" w:cs="Calibri"/>
                <w:color w:val="000000" w:themeColor="text1"/>
                <w:sz w:val="14"/>
                <w:szCs w:val="14"/>
              </w:rPr>
              <w:t xml:space="preserve"> it is only for those who developed HCC </w:t>
            </w:r>
          </w:p>
        </w:tc>
      </w:tr>
      <w:tr w:rsidR="72461836" w14:paraId="536264CA"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1ADD6D5" w14:textId="1EAFE603" w:rsidR="6199548F" w:rsidRDefault="6199548F" w:rsidP="72461836">
            <w:pPr>
              <w:spacing w:line="257" w:lineRule="auto"/>
              <w:rPr>
                <w:rFonts w:ascii="Calibri" w:eastAsia="Calibri" w:hAnsi="Calibri" w:cs="Calibri"/>
                <w:b/>
                <w:bCs/>
                <w:color w:val="000000" w:themeColor="text1"/>
              </w:rPr>
            </w:pPr>
            <w:bookmarkStart w:id="0" w:name="_Hlk189129124"/>
            <w:r w:rsidRPr="72461836">
              <w:rPr>
                <w:rFonts w:ascii="Calibri" w:eastAsia="Calibri" w:hAnsi="Calibri" w:cs="Calibri"/>
                <w:color w:val="000000" w:themeColor="text1"/>
              </w:rPr>
              <w:t xml:space="preserve">Subgroup </w:t>
            </w:r>
            <w:r w:rsidR="00C607E4">
              <w:rPr>
                <w:rFonts w:ascii="Calibri" w:eastAsia="Calibri" w:hAnsi="Calibri" w:cs="Calibri"/>
                <w:color w:val="000000" w:themeColor="text1"/>
              </w:rPr>
              <w:t>by older age</w:t>
            </w:r>
          </w:p>
        </w:tc>
        <w:tc>
          <w:tcPr>
            <w:tcW w:w="60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78A0C" w14:textId="027179C3" w:rsidR="6199548F" w:rsidRDefault="00C607E4" w:rsidP="1890523D">
            <w:pPr>
              <w:jc w:val="center"/>
              <w:rPr>
                <w:rFonts w:ascii="Calibri" w:eastAsia="Calibri" w:hAnsi="Calibri" w:cs="Calibri"/>
              </w:rPr>
            </w:pPr>
            <w:r>
              <w:rPr>
                <w:rFonts w:ascii="Calibri" w:eastAsia="Calibri" w:hAnsi="Calibri" w:cs="Calibri"/>
              </w:rPr>
              <w:t xml:space="preserve">Truven: </w:t>
            </w:r>
            <w:r w:rsidR="1890523D" w:rsidRPr="1890523D">
              <w:rPr>
                <w:rFonts w:ascii="Calibri" w:eastAsia="Calibri" w:hAnsi="Calibri" w:cs="Calibri"/>
              </w:rPr>
              <w:t>663/14738 (4.5%)</w:t>
            </w:r>
          </w:p>
          <w:p w14:paraId="664717AE" w14:textId="03AA458C" w:rsidR="007F7254" w:rsidRPr="00F11B35" w:rsidRDefault="1890523D" w:rsidP="1890523D">
            <w:pPr>
              <w:jc w:val="center"/>
              <w:rPr>
                <w:rFonts w:ascii="Calibri" w:eastAsia="Calibri" w:hAnsi="Calibri" w:cs="Calibri"/>
              </w:rPr>
            </w:pPr>
            <w:r w:rsidRPr="00F11B35">
              <w:rPr>
                <w:rFonts w:ascii="Calibri" w:eastAsia="Calibri" w:hAnsi="Calibri" w:cs="Calibri"/>
              </w:rPr>
              <w:t xml:space="preserve">From literature: </w:t>
            </w:r>
            <w:proofErr w:type="spellStart"/>
            <w:r w:rsidR="00AD2575" w:rsidRPr="00F11B35">
              <w:rPr>
                <w:rFonts w:ascii="Calibri" w:eastAsia="Calibri" w:hAnsi="Calibri" w:cs="Calibri"/>
              </w:rPr>
              <w:t>undx</w:t>
            </w:r>
            <w:proofErr w:type="spellEnd"/>
            <w:r w:rsidR="00AD2575" w:rsidRPr="00F11B35">
              <w:rPr>
                <w:rFonts w:ascii="Calibri" w:eastAsia="Calibri" w:hAnsi="Calibri" w:cs="Calibri"/>
              </w:rPr>
              <w:t xml:space="preserve"> rate of </w:t>
            </w:r>
            <w:r w:rsidRPr="00F11B35">
              <w:rPr>
                <w:rFonts w:ascii="Calibri" w:eastAsia="Calibri" w:hAnsi="Calibri" w:cs="Calibri"/>
              </w:rPr>
              <w:t>40</w:t>
            </w:r>
            <w:r w:rsidR="00C607E4" w:rsidRPr="00F11B35">
              <w:rPr>
                <w:rFonts w:ascii="Calibri" w:eastAsia="Calibri" w:hAnsi="Calibri" w:cs="Calibri"/>
              </w:rPr>
              <w:t>.3</w:t>
            </w:r>
            <w:r w:rsidRPr="00F11B35">
              <w:rPr>
                <w:rFonts w:ascii="Calibri" w:eastAsia="Calibri" w:hAnsi="Calibri" w:cs="Calibri"/>
              </w:rPr>
              <w:t>% among patients aged &gt;65</w:t>
            </w:r>
            <w:r w:rsidR="00C607E4" w:rsidRPr="00F11B35">
              <w:rPr>
                <w:rFonts w:ascii="Calibri" w:eastAsia="Calibri" w:hAnsi="Calibri" w:cs="Calibri"/>
              </w:rPr>
              <w:t>, 17.9% among those &lt;65</w:t>
            </w:r>
          </w:p>
          <w:p w14:paraId="4F79E092" w14:textId="77777777" w:rsidR="6199548F" w:rsidRDefault="008C58C0" w:rsidP="1890523D">
            <w:pPr>
              <w:jc w:val="center"/>
              <w:rPr>
                <w:rFonts w:ascii="Calibri" w:eastAsia="Calibri" w:hAnsi="Calibri" w:cs="Calibri"/>
              </w:rPr>
            </w:pPr>
            <w:r>
              <w:rPr>
                <w:rFonts w:ascii="Calibri" w:eastAsia="Calibri" w:hAnsi="Calibri" w:cs="Calibri"/>
              </w:rPr>
              <w:t>(</w:t>
            </w:r>
            <w:r w:rsidR="009A50F0">
              <w:rPr>
                <w:rFonts w:ascii="Calibri" w:eastAsia="Calibri" w:hAnsi="Calibri" w:cs="Calibri"/>
              </w:rPr>
              <w:t xml:space="preserve">Calculated from </w:t>
            </w:r>
            <w:hyperlink r:id="rId10" w:history="1">
              <w:r w:rsidRPr="008C58C0">
                <w:rPr>
                  <w:rStyle w:val="Hyperlink"/>
                  <w:rFonts w:ascii="Calibri" w:eastAsia="Calibri" w:hAnsi="Calibri" w:cs="Calibri"/>
                </w:rPr>
                <w:t>Walker 2016</w:t>
              </w:r>
            </w:hyperlink>
            <w:r w:rsidR="009A50F0">
              <w:rPr>
                <w:rFonts w:ascii="Calibri" w:eastAsia="Calibri" w:hAnsi="Calibri" w:cs="Calibri"/>
              </w:rPr>
              <w:t>)</w:t>
            </w:r>
          </w:p>
          <w:p w14:paraId="6FE2D42B" w14:textId="77777777" w:rsidR="00F11B35" w:rsidRDefault="00F11B35" w:rsidP="1890523D">
            <w:pPr>
              <w:jc w:val="center"/>
              <w:rPr>
                <w:rFonts w:ascii="Calibri" w:eastAsia="Calibri" w:hAnsi="Calibri" w:cs="Calibri"/>
                <w:b/>
                <w:bCs/>
              </w:rPr>
            </w:pPr>
            <w:r w:rsidRPr="00F11B35">
              <w:rPr>
                <w:rFonts w:ascii="Calibri" w:eastAsia="Calibri" w:hAnsi="Calibri" w:cs="Calibri"/>
                <w:b/>
                <w:bCs/>
              </w:rPr>
              <w:t>40.3% (30.2%-50.4%)</w:t>
            </w:r>
          </w:p>
          <w:p w14:paraId="6BF256CD" w14:textId="77777777" w:rsidR="006B0C97" w:rsidRPr="00360C84" w:rsidRDefault="006B0C97" w:rsidP="006B0C97">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7DDB624C" w14:textId="18A0E7A1" w:rsidR="006B0C97" w:rsidRPr="00F11B35" w:rsidRDefault="006B0C97" w:rsidP="1890523D">
            <w:pPr>
              <w:jc w:val="center"/>
              <w:rPr>
                <w:rFonts w:ascii="Calibri" w:eastAsia="Calibri" w:hAnsi="Calibri" w:cs="Calibri"/>
                <w:b/>
                <w:bCs/>
                <w:highlight w:val="yellow"/>
              </w:rPr>
            </w:pPr>
          </w:p>
        </w:tc>
      </w:tr>
      <w:tr w:rsidR="00C607E4" w14:paraId="72AF3478"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8EC2A5" w14:textId="24DF760E" w:rsidR="00C607E4" w:rsidRPr="72461836" w:rsidRDefault="00C607E4" w:rsidP="72461836">
            <w:pPr>
              <w:spacing w:line="257" w:lineRule="auto"/>
              <w:rPr>
                <w:rFonts w:ascii="Calibri" w:eastAsia="Calibri" w:hAnsi="Calibri" w:cs="Calibri"/>
                <w:color w:val="000000" w:themeColor="text1"/>
              </w:rPr>
            </w:pPr>
            <w:r>
              <w:rPr>
                <w:rFonts w:ascii="Calibri" w:eastAsia="Calibri" w:hAnsi="Calibri" w:cs="Calibri"/>
                <w:color w:val="000000" w:themeColor="text1"/>
              </w:rPr>
              <w:t>Subgroup by sex</w:t>
            </w:r>
          </w:p>
        </w:tc>
        <w:tc>
          <w:tcPr>
            <w:tcW w:w="60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36C7D" w14:textId="03E1488C" w:rsidR="009A50F0" w:rsidRPr="00F11B35" w:rsidRDefault="009A50F0" w:rsidP="1890523D">
            <w:pPr>
              <w:jc w:val="center"/>
            </w:pPr>
            <w:r w:rsidRPr="00F11B35">
              <w:t>From literature: 33.3% in men vs. 15.0% in women</w:t>
            </w:r>
          </w:p>
          <w:p w14:paraId="7DB10D6F" w14:textId="77777777" w:rsidR="00C607E4" w:rsidRDefault="009A50F0" w:rsidP="1890523D">
            <w:pPr>
              <w:jc w:val="center"/>
              <w:rPr>
                <w:rStyle w:val="Hyperlink"/>
                <w:rFonts w:ascii="Calibri" w:eastAsia="Calibri" w:hAnsi="Calibri" w:cs="Calibri"/>
              </w:rPr>
            </w:pPr>
            <w:r>
              <w:t xml:space="preserve">(Calculated from </w:t>
            </w:r>
            <w:hyperlink r:id="rId11" w:history="1">
              <w:r w:rsidRPr="008C58C0">
                <w:rPr>
                  <w:rStyle w:val="Hyperlink"/>
                  <w:rFonts w:ascii="Calibri" w:eastAsia="Calibri" w:hAnsi="Calibri" w:cs="Calibri"/>
                </w:rPr>
                <w:t>Fujimoto 2008</w:t>
              </w:r>
            </w:hyperlink>
            <w:r>
              <w:rPr>
                <w:rStyle w:val="Hyperlink"/>
                <w:rFonts w:ascii="Calibri" w:eastAsia="Calibri" w:hAnsi="Calibri" w:cs="Calibri"/>
              </w:rPr>
              <w:t>)</w:t>
            </w:r>
          </w:p>
          <w:p w14:paraId="5AAE7615" w14:textId="77777777" w:rsidR="00F11B35" w:rsidRDefault="00F11B35" w:rsidP="1890523D">
            <w:pPr>
              <w:jc w:val="center"/>
              <w:rPr>
                <w:rFonts w:ascii="Calibri" w:eastAsia="Calibri" w:hAnsi="Calibri" w:cs="Calibri"/>
                <w:b/>
                <w:bCs/>
              </w:rPr>
            </w:pPr>
            <w:r w:rsidRPr="00F11B35">
              <w:rPr>
                <w:rFonts w:ascii="Calibri" w:eastAsia="Calibri" w:hAnsi="Calibri" w:cs="Calibri"/>
                <w:b/>
                <w:bCs/>
              </w:rPr>
              <w:t>33.3% (25.0%-41.6%)</w:t>
            </w:r>
          </w:p>
          <w:p w14:paraId="71F4D752" w14:textId="77777777" w:rsidR="006B0C97" w:rsidRPr="00360C84" w:rsidRDefault="006B0C97" w:rsidP="006B0C97">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37CDF14F" w14:textId="0B76768B" w:rsidR="006B0C97" w:rsidRPr="00F11B35" w:rsidRDefault="006B0C97" w:rsidP="1890523D">
            <w:pPr>
              <w:jc w:val="center"/>
              <w:rPr>
                <w:rFonts w:ascii="Calibri" w:eastAsia="Calibri" w:hAnsi="Calibri" w:cs="Calibri"/>
                <w:b/>
                <w:bCs/>
              </w:rPr>
            </w:pPr>
          </w:p>
        </w:tc>
      </w:tr>
      <w:tr w:rsidR="00541D32" w14:paraId="33948ADE"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1FFB8" w14:textId="10E9BF5F" w:rsidR="00541D32" w:rsidRDefault="004F6A4C" w:rsidP="72461836">
            <w:pPr>
              <w:spacing w:line="257" w:lineRule="auto"/>
              <w:rPr>
                <w:rFonts w:ascii="Calibri" w:eastAsia="Calibri" w:hAnsi="Calibri" w:cs="Calibri"/>
                <w:color w:val="000000" w:themeColor="text1"/>
              </w:rPr>
            </w:pPr>
            <w:r>
              <w:rPr>
                <w:rFonts w:ascii="Calibri" w:eastAsia="Calibri" w:hAnsi="Calibri" w:cs="Calibri"/>
                <w:color w:val="000000" w:themeColor="text1"/>
              </w:rPr>
              <w:t>Subgroup by diabetes status</w:t>
            </w:r>
          </w:p>
        </w:tc>
        <w:tc>
          <w:tcPr>
            <w:tcW w:w="60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EBBD4D" w14:textId="77777777" w:rsidR="00541D32" w:rsidRDefault="004F6A4C" w:rsidP="1890523D">
            <w:pPr>
              <w:jc w:val="center"/>
            </w:pPr>
            <w:r>
              <w:t xml:space="preserve">Assume same </w:t>
            </w:r>
            <w:proofErr w:type="spellStart"/>
            <w:r>
              <w:t>undx</w:t>
            </w:r>
            <w:proofErr w:type="spellEnd"/>
            <w:r>
              <w:t xml:space="preserve"> rate as overall cohort? </w:t>
            </w:r>
          </w:p>
          <w:p w14:paraId="26AC1B00" w14:textId="1D2ACC49" w:rsidR="004F6A4C" w:rsidRPr="00F11B35" w:rsidRDefault="004F6A4C" w:rsidP="1890523D">
            <w:pPr>
              <w:jc w:val="center"/>
            </w:pPr>
          </w:p>
        </w:tc>
      </w:tr>
      <w:bookmarkEnd w:id="0"/>
    </w:tbl>
    <w:p w14:paraId="49B9873C" w14:textId="0769DC8C" w:rsidR="00EA2AB4" w:rsidRDefault="00EA2AB4" w:rsidP="59961667">
      <w:pPr>
        <w:rPr>
          <w:b/>
          <w:bCs/>
        </w:rPr>
      </w:pPr>
    </w:p>
    <w:p w14:paraId="64B997EA" w14:textId="77777777" w:rsidR="00EA2AB4" w:rsidRDefault="00EA2AB4" w:rsidP="59961667">
      <w:pPr>
        <w:rPr>
          <w:b/>
          <w:bCs/>
        </w:rPr>
      </w:pPr>
    </w:p>
    <w:p w14:paraId="31226522" w14:textId="15DF3EB4" w:rsidR="222894B4" w:rsidRDefault="222894B4" w:rsidP="72461836">
      <w:pPr>
        <w:rPr>
          <w:b/>
          <w:bCs/>
        </w:rPr>
      </w:pPr>
      <w:bookmarkStart w:id="1" w:name="_Hlk189129143"/>
      <w:r w:rsidRPr="72461836">
        <w:rPr>
          <w:b/>
          <w:bCs/>
        </w:rPr>
        <w:t xml:space="preserve">Age distribution from Truven </w:t>
      </w:r>
      <w:r w:rsidR="008C58C0">
        <w:rPr>
          <w:b/>
          <w:bCs/>
        </w:rPr>
        <w:t xml:space="preserve">– use to adjust death rate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0"/>
        <w:gridCol w:w="1935"/>
        <w:gridCol w:w="1524"/>
        <w:gridCol w:w="1524"/>
        <w:gridCol w:w="1524"/>
        <w:gridCol w:w="1323"/>
      </w:tblGrid>
      <w:tr w:rsidR="009967FF" w:rsidRPr="00EA2AB4" w14:paraId="1E80BB80" w14:textId="2D0E50E7" w:rsidTr="0FE5D8F4">
        <w:trPr>
          <w:trHeight w:val="330"/>
        </w:trPr>
        <w:tc>
          <w:tcPr>
            <w:tcW w:w="1520" w:type="dxa"/>
            <w:hideMark/>
          </w:tcPr>
          <w:p w14:paraId="2DC943BE" w14:textId="77777777" w:rsidR="009967FF" w:rsidRPr="007F7254" w:rsidRDefault="009967FF" w:rsidP="00EA2AB4">
            <w:pPr>
              <w:jc w:val="center"/>
              <w:textAlignment w:val="baseline"/>
              <w:rPr>
                <w:rFonts w:ascii="Aptos" w:eastAsia="Times New Roman" w:hAnsi="Aptos" w:cs="Times New Roman"/>
              </w:rPr>
            </w:pPr>
            <w:r w:rsidRPr="007F7254">
              <w:rPr>
                <w:rFonts w:ascii="Aptos" w:eastAsia="Times New Roman" w:hAnsi="Aptos" w:cs="Times New Roman"/>
              </w:rPr>
              <w:t>Age at MASLD diagnosis</w:t>
            </w:r>
          </w:p>
        </w:tc>
        <w:tc>
          <w:tcPr>
            <w:tcW w:w="1935" w:type="dxa"/>
            <w:hideMark/>
          </w:tcPr>
          <w:p w14:paraId="1D389389" w14:textId="234E9C5D" w:rsidR="009967FF" w:rsidRPr="007F7254" w:rsidRDefault="009967FF" w:rsidP="00EA2AB4">
            <w:pPr>
              <w:jc w:val="center"/>
              <w:textAlignment w:val="baseline"/>
              <w:rPr>
                <w:rFonts w:ascii="Aptos" w:eastAsia="Times New Roman" w:hAnsi="Aptos" w:cs="Times New Roman"/>
              </w:rPr>
            </w:pPr>
            <w:proofErr w:type="gramStart"/>
            <w:r w:rsidRPr="007F7254">
              <w:rPr>
                <w:rFonts w:ascii="Aptos" w:eastAsia="Times New Roman" w:hAnsi="Aptos" w:cs="Times New Roman"/>
              </w:rPr>
              <w:t>N(</w:t>
            </w:r>
            <w:proofErr w:type="gramEnd"/>
            <w:r w:rsidRPr="007F7254">
              <w:rPr>
                <w:rFonts w:ascii="Aptos" w:eastAsia="Times New Roman" w:hAnsi="Aptos" w:cs="Times New Roman"/>
              </w:rPr>
              <w:t>%)</w:t>
            </w:r>
          </w:p>
        </w:tc>
        <w:tc>
          <w:tcPr>
            <w:tcW w:w="1524" w:type="dxa"/>
            <w:shd w:val="clear" w:color="auto" w:fill="F2F2F2" w:themeFill="background1" w:themeFillShade="F2"/>
          </w:tcPr>
          <w:p w14:paraId="6D383BA7" w14:textId="3E059E4C" w:rsidR="009967FF" w:rsidRPr="007F7254" w:rsidRDefault="009967FF" w:rsidP="00EA2AB4">
            <w:pPr>
              <w:jc w:val="center"/>
              <w:textAlignment w:val="baseline"/>
              <w:rPr>
                <w:rFonts w:ascii="Aptos" w:eastAsia="Times New Roman" w:hAnsi="Aptos" w:cs="Times New Roman"/>
              </w:rPr>
            </w:pPr>
            <w:r>
              <w:rPr>
                <w:rFonts w:ascii="Aptos" w:eastAsia="Times New Roman" w:hAnsi="Aptos" w:cs="Times New Roman"/>
              </w:rPr>
              <w:t>Male diabetic</w:t>
            </w:r>
          </w:p>
        </w:tc>
        <w:tc>
          <w:tcPr>
            <w:tcW w:w="1524" w:type="dxa"/>
            <w:shd w:val="clear" w:color="auto" w:fill="F2F2F2" w:themeFill="background1" w:themeFillShade="F2"/>
          </w:tcPr>
          <w:p w14:paraId="4EBE9A99" w14:textId="6F589506" w:rsidR="009967FF" w:rsidRPr="007F7254" w:rsidRDefault="009967FF" w:rsidP="00EA2AB4">
            <w:pPr>
              <w:jc w:val="center"/>
              <w:textAlignment w:val="baseline"/>
              <w:rPr>
                <w:rFonts w:ascii="Aptos" w:eastAsia="Times New Roman" w:hAnsi="Aptos" w:cs="Times New Roman"/>
              </w:rPr>
            </w:pPr>
            <w:r>
              <w:rPr>
                <w:rFonts w:ascii="Aptos" w:eastAsia="Times New Roman" w:hAnsi="Aptos" w:cs="Times New Roman"/>
              </w:rPr>
              <w:t>Male non-diabetic</w:t>
            </w:r>
          </w:p>
        </w:tc>
        <w:tc>
          <w:tcPr>
            <w:tcW w:w="1524" w:type="dxa"/>
            <w:shd w:val="clear" w:color="auto" w:fill="F2F2F2" w:themeFill="background1" w:themeFillShade="F2"/>
          </w:tcPr>
          <w:p w14:paraId="19A2AE80" w14:textId="64F54D7A" w:rsidR="009967FF" w:rsidRPr="007F7254" w:rsidRDefault="009967FF" w:rsidP="00EA2AB4">
            <w:pPr>
              <w:jc w:val="center"/>
              <w:textAlignment w:val="baseline"/>
              <w:rPr>
                <w:rFonts w:ascii="Aptos" w:eastAsia="Times New Roman" w:hAnsi="Aptos" w:cs="Times New Roman"/>
              </w:rPr>
            </w:pPr>
            <w:r>
              <w:rPr>
                <w:rFonts w:ascii="Aptos" w:eastAsia="Times New Roman" w:hAnsi="Aptos" w:cs="Times New Roman"/>
              </w:rPr>
              <w:t>Female diabetic</w:t>
            </w:r>
          </w:p>
        </w:tc>
        <w:tc>
          <w:tcPr>
            <w:tcW w:w="1323" w:type="dxa"/>
            <w:shd w:val="clear" w:color="auto" w:fill="F2F2F2" w:themeFill="background1" w:themeFillShade="F2"/>
          </w:tcPr>
          <w:p w14:paraId="19428390" w14:textId="40C9AA71" w:rsidR="009967FF" w:rsidRDefault="009967FF" w:rsidP="00EA2AB4">
            <w:pPr>
              <w:jc w:val="center"/>
              <w:textAlignment w:val="baseline"/>
              <w:rPr>
                <w:rFonts w:ascii="Aptos" w:eastAsia="Times New Roman" w:hAnsi="Aptos" w:cs="Times New Roman"/>
              </w:rPr>
            </w:pPr>
            <w:r>
              <w:rPr>
                <w:rFonts w:ascii="Aptos" w:eastAsia="Times New Roman" w:hAnsi="Aptos" w:cs="Times New Roman"/>
              </w:rPr>
              <w:t xml:space="preserve">Female non-diabetic </w:t>
            </w:r>
          </w:p>
        </w:tc>
      </w:tr>
      <w:tr w:rsidR="009967FF" w:rsidRPr="00EA2AB4" w14:paraId="72D43329" w14:textId="27BDF664" w:rsidTr="0FE5D8F4">
        <w:trPr>
          <w:trHeight w:val="330"/>
        </w:trPr>
        <w:tc>
          <w:tcPr>
            <w:tcW w:w="1520" w:type="dxa"/>
            <w:hideMark/>
          </w:tcPr>
          <w:p w14:paraId="4BA5D0FA"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18-30</w:t>
            </w:r>
          </w:p>
        </w:tc>
        <w:tc>
          <w:tcPr>
            <w:tcW w:w="1935" w:type="dxa"/>
            <w:hideMark/>
          </w:tcPr>
          <w:p w14:paraId="334ED87E" w14:textId="5750776A"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51377</w:t>
            </w:r>
            <w:r>
              <w:rPr>
                <w:rFonts w:ascii="Aptos" w:eastAsia="Times New Roman" w:hAnsi="Aptos" w:cs="Times New Roman"/>
              </w:rPr>
              <w:t xml:space="preserve"> (</w:t>
            </w:r>
            <w:r w:rsidRPr="005006C2">
              <w:rPr>
                <w:rFonts w:ascii="Aptos" w:eastAsia="Times New Roman" w:hAnsi="Aptos" w:cs="Times New Roman"/>
              </w:rPr>
              <w:t>5.97</w:t>
            </w:r>
            <w:r>
              <w:rPr>
                <w:rFonts w:ascii="Aptos" w:eastAsia="Times New Roman" w:hAnsi="Aptos" w:cs="Times New Roman"/>
              </w:rPr>
              <w:t>%)</w:t>
            </w:r>
          </w:p>
        </w:tc>
        <w:tc>
          <w:tcPr>
            <w:tcW w:w="1524" w:type="dxa"/>
            <w:shd w:val="clear" w:color="auto" w:fill="F2F2F2" w:themeFill="background1" w:themeFillShade="F2"/>
          </w:tcPr>
          <w:p w14:paraId="65B787D8"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36EE2231"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3E9720E8" w14:textId="77777777" w:rsidR="009967FF" w:rsidRPr="00183A38" w:rsidRDefault="009967FF" w:rsidP="007F7254">
            <w:pPr>
              <w:jc w:val="center"/>
              <w:textAlignment w:val="baseline"/>
              <w:rPr>
                <w:rFonts w:ascii="Aptos" w:eastAsia="Times New Roman" w:hAnsi="Aptos" w:cs="Times New Roman"/>
              </w:rPr>
            </w:pPr>
          </w:p>
        </w:tc>
        <w:tc>
          <w:tcPr>
            <w:tcW w:w="1323" w:type="dxa"/>
            <w:shd w:val="clear" w:color="auto" w:fill="F2F2F2" w:themeFill="background1" w:themeFillShade="F2"/>
          </w:tcPr>
          <w:p w14:paraId="3DA23451"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2F420474" w14:textId="12BDE70A" w:rsidTr="0FE5D8F4">
        <w:trPr>
          <w:trHeight w:val="330"/>
        </w:trPr>
        <w:tc>
          <w:tcPr>
            <w:tcW w:w="1520" w:type="dxa"/>
            <w:hideMark/>
          </w:tcPr>
          <w:p w14:paraId="51BBA07B"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31-40</w:t>
            </w:r>
          </w:p>
        </w:tc>
        <w:tc>
          <w:tcPr>
            <w:tcW w:w="1935" w:type="dxa"/>
            <w:hideMark/>
          </w:tcPr>
          <w:p w14:paraId="260880CD" w14:textId="5895DE9C"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125093</w:t>
            </w:r>
            <w:r>
              <w:rPr>
                <w:rFonts w:ascii="Aptos" w:eastAsia="Times New Roman" w:hAnsi="Aptos" w:cs="Times New Roman"/>
              </w:rPr>
              <w:t xml:space="preserve"> (</w:t>
            </w:r>
            <w:r w:rsidRPr="005006C2">
              <w:rPr>
                <w:rFonts w:ascii="Aptos" w:eastAsia="Times New Roman" w:hAnsi="Aptos" w:cs="Times New Roman"/>
              </w:rPr>
              <w:t>14.5</w:t>
            </w:r>
            <w:r>
              <w:rPr>
                <w:rFonts w:ascii="Aptos" w:eastAsia="Times New Roman" w:hAnsi="Aptos" w:cs="Times New Roman"/>
              </w:rPr>
              <w:t>5%)</w:t>
            </w:r>
          </w:p>
        </w:tc>
        <w:tc>
          <w:tcPr>
            <w:tcW w:w="1524" w:type="dxa"/>
            <w:shd w:val="clear" w:color="auto" w:fill="F2F2F2" w:themeFill="background1" w:themeFillShade="F2"/>
          </w:tcPr>
          <w:p w14:paraId="48C1BB08"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3FF082E9"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232E478A" w14:textId="77777777" w:rsidR="009967FF" w:rsidRPr="00183A38" w:rsidRDefault="009967FF" w:rsidP="007F7254">
            <w:pPr>
              <w:jc w:val="center"/>
              <w:textAlignment w:val="baseline"/>
              <w:rPr>
                <w:rFonts w:ascii="Aptos" w:eastAsia="Times New Roman" w:hAnsi="Aptos" w:cs="Times New Roman"/>
              </w:rPr>
            </w:pPr>
          </w:p>
        </w:tc>
        <w:tc>
          <w:tcPr>
            <w:tcW w:w="1323" w:type="dxa"/>
            <w:shd w:val="clear" w:color="auto" w:fill="F2F2F2" w:themeFill="background1" w:themeFillShade="F2"/>
          </w:tcPr>
          <w:p w14:paraId="1A55156B"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569021A6" w14:textId="4D2378D8" w:rsidTr="0FE5D8F4">
        <w:trPr>
          <w:trHeight w:val="330"/>
        </w:trPr>
        <w:tc>
          <w:tcPr>
            <w:tcW w:w="1520" w:type="dxa"/>
            <w:hideMark/>
          </w:tcPr>
          <w:p w14:paraId="12B190AA"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41-50</w:t>
            </w:r>
          </w:p>
        </w:tc>
        <w:tc>
          <w:tcPr>
            <w:tcW w:w="1935" w:type="dxa"/>
            <w:hideMark/>
          </w:tcPr>
          <w:p w14:paraId="410777EA" w14:textId="2BC650A2"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217122</w:t>
            </w:r>
            <w:r>
              <w:rPr>
                <w:rFonts w:ascii="Aptos" w:eastAsia="Times New Roman" w:hAnsi="Aptos" w:cs="Times New Roman"/>
              </w:rPr>
              <w:t xml:space="preserve"> (</w:t>
            </w:r>
            <w:r w:rsidRPr="00A218A7">
              <w:rPr>
                <w:rFonts w:ascii="Aptos" w:eastAsia="Times New Roman" w:hAnsi="Aptos" w:cs="Times New Roman"/>
              </w:rPr>
              <w:t>25.2</w:t>
            </w:r>
            <w:r>
              <w:rPr>
                <w:rFonts w:ascii="Aptos" w:eastAsia="Times New Roman" w:hAnsi="Aptos" w:cs="Times New Roman"/>
              </w:rPr>
              <w:t>5%)</w:t>
            </w:r>
          </w:p>
        </w:tc>
        <w:tc>
          <w:tcPr>
            <w:tcW w:w="1524" w:type="dxa"/>
            <w:shd w:val="clear" w:color="auto" w:fill="F2F2F2" w:themeFill="background1" w:themeFillShade="F2"/>
          </w:tcPr>
          <w:p w14:paraId="30144D1F"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55366326"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31FFF994" w14:textId="77777777" w:rsidR="009967FF" w:rsidRPr="00183A38" w:rsidRDefault="009967FF" w:rsidP="007F7254">
            <w:pPr>
              <w:jc w:val="center"/>
              <w:textAlignment w:val="baseline"/>
              <w:rPr>
                <w:rFonts w:ascii="Aptos" w:eastAsia="Times New Roman" w:hAnsi="Aptos" w:cs="Times New Roman"/>
              </w:rPr>
            </w:pPr>
          </w:p>
        </w:tc>
        <w:tc>
          <w:tcPr>
            <w:tcW w:w="1323" w:type="dxa"/>
            <w:shd w:val="clear" w:color="auto" w:fill="F2F2F2" w:themeFill="background1" w:themeFillShade="F2"/>
          </w:tcPr>
          <w:p w14:paraId="64DFE18A"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49B8F58F" w14:textId="7BDC5A9F" w:rsidTr="0FE5D8F4">
        <w:trPr>
          <w:trHeight w:val="330"/>
        </w:trPr>
        <w:tc>
          <w:tcPr>
            <w:tcW w:w="1520" w:type="dxa"/>
            <w:hideMark/>
          </w:tcPr>
          <w:p w14:paraId="7267CEBE"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51-60</w:t>
            </w:r>
          </w:p>
        </w:tc>
        <w:tc>
          <w:tcPr>
            <w:tcW w:w="1935" w:type="dxa"/>
            <w:hideMark/>
          </w:tcPr>
          <w:p w14:paraId="13734F61" w14:textId="1D33C6B9"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288411</w:t>
            </w:r>
            <w:r>
              <w:rPr>
                <w:rFonts w:ascii="Aptos" w:eastAsia="Times New Roman" w:hAnsi="Aptos" w:cs="Times New Roman"/>
              </w:rPr>
              <w:t xml:space="preserve"> (</w:t>
            </w:r>
            <w:r w:rsidRPr="003E6CF9">
              <w:rPr>
                <w:rFonts w:ascii="Aptos" w:eastAsia="Times New Roman" w:hAnsi="Aptos" w:cs="Times New Roman"/>
              </w:rPr>
              <w:t>33.5</w:t>
            </w:r>
            <w:r>
              <w:rPr>
                <w:rFonts w:ascii="Aptos" w:eastAsia="Times New Roman" w:hAnsi="Aptos" w:cs="Times New Roman"/>
              </w:rPr>
              <w:t>4%)</w:t>
            </w:r>
          </w:p>
        </w:tc>
        <w:tc>
          <w:tcPr>
            <w:tcW w:w="1524" w:type="dxa"/>
            <w:shd w:val="clear" w:color="auto" w:fill="F2F2F2" w:themeFill="background1" w:themeFillShade="F2"/>
          </w:tcPr>
          <w:p w14:paraId="3820B9DA"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1D884307"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2EA2CD61" w14:textId="77777777" w:rsidR="009967FF" w:rsidRPr="00183A38" w:rsidRDefault="009967FF" w:rsidP="007F7254">
            <w:pPr>
              <w:jc w:val="center"/>
              <w:textAlignment w:val="baseline"/>
              <w:rPr>
                <w:rFonts w:ascii="Aptos" w:eastAsia="Times New Roman" w:hAnsi="Aptos" w:cs="Times New Roman"/>
              </w:rPr>
            </w:pPr>
          </w:p>
        </w:tc>
        <w:tc>
          <w:tcPr>
            <w:tcW w:w="1323" w:type="dxa"/>
            <w:shd w:val="clear" w:color="auto" w:fill="F2F2F2" w:themeFill="background1" w:themeFillShade="F2"/>
          </w:tcPr>
          <w:p w14:paraId="4F8D90C1"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6B2651FD" w14:textId="04F713DC" w:rsidTr="0FE5D8F4">
        <w:trPr>
          <w:trHeight w:val="330"/>
        </w:trPr>
        <w:tc>
          <w:tcPr>
            <w:tcW w:w="1520" w:type="dxa"/>
            <w:hideMark/>
          </w:tcPr>
          <w:p w14:paraId="57B14710"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61-70</w:t>
            </w:r>
          </w:p>
        </w:tc>
        <w:tc>
          <w:tcPr>
            <w:tcW w:w="1935" w:type="dxa"/>
            <w:hideMark/>
          </w:tcPr>
          <w:p w14:paraId="47002207" w14:textId="1152422D"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133141</w:t>
            </w:r>
            <w:r>
              <w:rPr>
                <w:rFonts w:ascii="Aptos" w:eastAsia="Times New Roman" w:hAnsi="Aptos" w:cs="Times New Roman"/>
              </w:rPr>
              <w:t xml:space="preserve"> (</w:t>
            </w:r>
            <w:r w:rsidRPr="003B7EC7">
              <w:rPr>
                <w:rFonts w:ascii="Aptos" w:eastAsia="Times New Roman" w:hAnsi="Aptos" w:cs="Times New Roman"/>
              </w:rPr>
              <w:t>15.</w:t>
            </w:r>
            <w:r>
              <w:rPr>
                <w:rFonts w:ascii="Aptos" w:eastAsia="Times New Roman" w:hAnsi="Aptos" w:cs="Times New Roman"/>
              </w:rPr>
              <w:t>48%)</w:t>
            </w:r>
          </w:p>
        </w:tc>
        <w:tc>
          <w:tcPr>
            <w:tcW w:w="1524" w:type="dxa"/>
            <w:shd w:val="clear" w:color="auto" w:fill="F2F2F2" w:themeFill="background1" w:themeFillShade="F2"/>
          </w:tcPr>
          <w:p w14:paraId="7D0EE346"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44D3F4E1"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42297341" w14:textId="77777777" w:rsidR="009967FF" w:rsidRPr="00183A38" w:rsidRDefault="009967FF" w:rsidP="007F7254">
            <w:pPr>
              <w:jc w:val="center"/>
              <w:textAlignment w:val="baseline"/>
              <w:rPr>
                <w:rFonts w:ascii="Aptos" w:eastAsia="Times New Roman" w:hAnsi="Aptos" w:cs="Times New Roman"/>
              </w:rPr>
            </w:pPr>
          </w:p>
        </w:tc>
        <w:tc>
          <w:tcPr>
            <w:tcW w:w="1323" w:type="dxa"/>
            <w:shd w:val="clear" w:color="auto" w:fill="F2F2F2" w:themeFill="background1" w:themeFillShade="F2"/>
          </w:tcPr>
          <w:p w14:paraId="15C186F0"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000F8D0A" w14:textId="3C625884" w:rsidTr="0FE5D8F4">
        <w:trPr>
          <w:trHeight w:val="330"/>
        </w:trPr>
        <w:tc>
          <w:tcPr>
            <w:tcW w:w="1520" w:type="dxa"/>
            <w:hideMark/>
          </w:tcPr>
          <w:p w14:paraId="382442E2"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71-80</w:t>
            </w:r>
          </w:p>
        </w:tc>
        <w:tc>
          <w:tcPr>
            <w:tcW w:w="1935" w:type="dxa"/>
            <w:hideMark/>
          </w:tcPr>
          <w:p w14:paraId="6226A833" w14:textId="15DD92F1"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33801</w:t>
            </w:r>
            <w:r>
              <w:rPr>
                <w:rFonts w:ascii="Aptos" w:eastAsia="Times New Roman" w:hAnsi="Aptos" w:cs="Times New Roman"/>
              </w:rPr>
              <w:t xml:space="preserve"> (3.93%)</w:t>
            </w:r>
          </w:p>
        </w:tc>
        <w:tc>
          <w:tcPr>
            <w:tcW w:w="1524" w:type="dxa"/>
            <w:shd w:val="clear" w:color="auto" w:fill="F2F2F2" w:themeFill="background1" w:themeFillShade="F2"/>
          </w:tcPr>
          <w:p w14:paraId="7BF58BD6"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74F74DE2"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26CA92D5" w14:textId="77777777" w:rsidR="009967FF" w:rsidRPr="00183A38" w:rsidRDefault="009967FF" w:rsidP="007F7254">
            <w:pPr>
              <w:jc w:val="center"/>
              <w:textAlignment w:val="baseline"/>
              <w:rPr>
                <w:rFonts w:ascii="Aptos" w:eastAsia="Times New Roman" w:hAnsi="Aptos" w:cs="Times New Roman"/>
              </w:rPr>
            </w:pPr>
          </w:p>
        </w:tc>
        <w:tc>
          <w:tcPr>
            <w:tcW w:w="1323" w:type="dxa"/>
            <w:shd w:val="clear" w:color="auto" w:fill="F2F2F2" w:themeFill="background1" w:themeFillShade="F2"/>
          </w:tcPr>
          <w:p w14:paraId="23EA83B1"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44763B45" w14:textId="76CAD891" w:rsidTr="0FE5D8F4">
        <w:trPr>
          <w:trHeight w:val="330"/>
        </w:trPr>
        <w:tc>
          <w:tcPr>
            <w:tcW w:w="1520" w:type="dxa"/>
            <w:hideMark/>
          </w:tcPr>
          <w:p w14:paraId="6FA26A4F"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81-90</w:t>
            </w:r>
          </w:p>
        </w:tc>
        <w:tc>
          <w:tcPr>
            <w:tcW w:w="1935" w:type="dxa"/>
            <w:hideMark/>
          </w:tcPr>
          <w:p w14:paraId="44D542F3" w14:textId="65070A62"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9753</w:t>
            </w:r>
            <w:r>
              <w:rPr>
                <w:rFonts w:ascii="Aptos" w:eastAsia="Times New Roman" w:hAnsi="Aptos" w:cs="Times New Roman"/>
              </w:rPr>
              <w:t xml:space="preserve"> (1.13%)</w:t>
            </w:r>
          </w:p>
        </w:tc>
        <w:tc>
          <w:tcPr>
            <w:tcW w:w="1524" w:type="dxa"/>
            <w:shd w:val="clear" w:color="auto" w:fill="F2F2F2" w:themeFill="background1" w:themeFillShade="F2"/>
          </w:tcPr>
          <w:p w14:paraId="7C3FFD11"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4E03527A"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0BC19ED2" w14:textId="77777777" w:rsidR="009967FF" w:rsidRPr="00183A38" w:rsidRDefault="009967FF" w:rsidP="007F7254">
            <w:pPr>
              <w:jc w:val="center"/>
              <w:textAlignment w:val="baseline"/>
              <w:rPr>
                <w:rFonts w:ascii="Aptos" w:eastAsia="Times New Roman" w:hAnsi="Aptos" w:cs="Times New Roman"/>
              </w:rPr>
            </w:pPr>
          </w:p>
        </w:tc>
        <w:tc>
          <w:tcPr>
            <w:tcW w:w="1323" w:type="dxa"/>
            <w:shd w:val="clear" w:color="auto" w:fill="F2F2F2" w:themeFill="background1" w:themeFillShade="F2"/>
          </w:tcPr>
          <w:p w14:paraId="5EE32683"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2A69FA7C" w14:textId="4B4968E6" w:rsidTr="0FE5D8F4">
        <w:trPr>
          <w:trHeight w:val="330"/>
        </w:trPr>
        <w:tc>
          <w:tcPr>
            <w:tcW w:w="1520" w:type="dxa"/>
            <w:hideMark/>
          </w:tcPr>
          <w:p w14:paraId="06CC9B7D" w14:textId="30A90F7D"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91-100</w:t>
            </w:r>
            <w:r>
              <w:rPr>
                <w:rFonts w:ascii="Aptos" w:eastAsia="Times New Roman" w:hAnsi="Aptos" w:cs="Times New Roman"/>
              </w:rPr>
              <w:t>+</w:t>
            </w:r>
          </w:p>
        </w:tc>
        <w:tc>
          <w:tcPr>
            <w:tcW w:w="1935" w:type="dxa"/>
            <w:hideMark/>
          </w:tcPr>
          <w:p w14:paraId="7275C095" w14:textId="46D266A0"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1258</w:t>
            </w:r>
            <w:r>
              <w:rPr>
                <w:rFonts w:ascii="Aptos" w:eastAsia="Times New Roman" w:hAnsi="Aptos" w:cs="Times New Roman"/>
              </w:rPr>
              <w:t xml:space="preserve"> (0.15%)</w:t>
            </w:r>
          </w:p>
        </w:tc>
        <w:tc>
          <w:tcPr>
            <w:tcW w:w="1524" w:type="dxa"/>
            <w:shd w:val="clear" w:color="auto" w:fill="F2F2F2" w:themeFill="background1" w:themeFillShade="F2"/>
          </w:tcPr>
          <w:p w14:paraId="4E72F1D8"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78A77AA3" w14:textId="77777777" w:rsidR="009967FF" w:rsidRPr="00183A38" w:rsidRDefault="009967FF" w:rsidP="007F7254">
            <w:pPr>
              <w:jc w:val="center"/>
              <w:textAlignment w:val="baseline"/>
              <w:rPr>
                <w:rFonts w:ascii="Aptos" w:eastAsia="Times New Roman" w:hAnsi="Aptos" w:cs="Times New Roman"/>
              </w:rPr>
            </w:pPr>
          </w:p>
        </w:tc>
        <w:tc>
          <w:tcPr>
            <w:tcW w:w="1524" w:type="dxa"/>
            <w:shd w:val="clear" w:color="auto" w:fill="F2F2F2" w:themeFill="background1" w:themeFillShade="F2"/>
          </w:tcPr>
          <w:p w14:paraId="1565B359" w14:textId="77777777" w:rsidR="009967FF" w:rsidRPr="00183A38" w:rsidRDefault="009967FF" w:rsidP="007F7254">
            <w:pPr>
              <w:jc w:val="center"/>
              <w:textAlignment w:val="baseline"/>
              <w:rPr>
                <w:rFonts w:ascii="Aptos" w:eastAsia="Times New Roman" w:hAnsi="Aptos" w:cs="Times New Roman"/>
              </w:rPr>
            </w:pPr>
          </w:p>
        </w:tc>
        <w:tc>
          <w:tcPr>
            <w:tcW w:w="1323" w:type="dxa"/>
            <w:shd w:val="clear" w:color="auto" w:fill="F2F2F2" w:themeFill="background1" w:themeFillShade="F2"/>
          </w:tcPr>
          <w:p w14:paraId="5A4A1C51" w14:textId="77777777" w:rsidR="009967FF" w:rsidRPr="00183A38" w:rsidRDefault="009967FF" w:rsidP="007F7254">
            <w:pPr>
              <w:jc w:val="center"/>
              <w:textAlignment w:val="baseline"/>
              <w:rPr>
                <w:rFonts w:ascii="Aptos" w:eastAsia="Times New Roman" w:hAnsi="Aptos" w:cs="Times New Roman"/>
              </w:rPr>
            </w:pPr>
          </w:p>
        </w:tc>
      </w:tr>
      <w:bookmarkEnd w:id="1"/>
    </w:tbl>
    <w:p w14:paraId="5C6D8ECA" w14:textId="720BD60A" w:rsidR="00EA2AB4" w:rsidRDefault="00EA2AB4" w:rsidP="59961667">
      <w:pPr>
        <w:rPr>
          <w:b/>
          <w:bCs/>
        </w:rPr>
      </w:pPr>
    </w:p>
    <w:p w14:paraId="25EEF3FE" w14:textId="5ED1D6EF" w:rsidR="59961667" w:rsidRDefault="59961667" w:rsidP="1890523D">
      <w:pPr>
        <w:rPr>
          <w:b/>
          <w:bCs/>
        </w:rPr>
      </w:pPr>
    </w:p>
    <w:p w14:paraId="22FAB519" w14:textId="2743C6A7" w:rsidR="15CC1F5B" w:rsidRDefault="1890523D" w:rsidP="1890523D">
      <w:pPr>
        <w:rPr>
          <w:b/>
          <w:bCs/>
          <w:u w:val="single"/>
        </w:rPr>
      </w:pPr>
      <w:r w:rsidRPr="1890523D">
        <w:rPr>
          <w:b/>
          <w:bCs/>
        </w:rPr>
        <w:t>Annual incidence in</w:t>
      </w:r>
      <w:r w:rsidRPr="008C58C0">
        <w:rPr>
          <w:b/>
          <w:bCs/>
        </w:rPr>
        <w:t xml:space="preserve"> MASLD patients:</w:t>
      </w:r>
      <w:r w:rsidRPr="1890523D">
        <w:rPr>
          <w:b/>
          <w:bCs/>
          <w:u w:val="single"/>
        </w:rPr>
        <w:t xml:space="preserve"> </w:t>
      </w:r>
    </w:p>
    <w:tbl>
      <w:tblPr>
        <w:tblStyle w:val="TableGrid"/>
        <w:tblW w:w="9355" w:type="dxa"/>
        <w:tblInd w:w="0" w:type="dxa"/>
        <w:tblLayout w:type="fixed"/>
        <w:tblLook w:val="06A0" w:firstRow="1" w:lastRow="0" w:firstColumn="1" w:lastColumn="0" w:noHBand="1" w:noVBand="1"/>
      </w:tblPr>
      <w:tblGrid>
        <w:gridCol w:w="3120"/>
        <w:gridCol w:w="2455"/>
        <w:gridCol w:w="2010"/>
        <w:gridCol w:w="1770"/>
      </w:tblGrid>
      <w:tr w:rsidR="00971B99" w14:paraId="2608BA55" w14:textId="77777777" w:rsidTr="06C2198C">
        <w:trPr>
          <w:trHeight w:val="300"/>
        </w:trPr>
        <w:tc>
          <w:tcPr>
            <w:tcW w:w="3120" w:type="dxa"/>
          </w:tcPr>
          <w:p w14:paraId="7B06D425" w14:textId="5930A76E" w:rsidR="00971B99" w:rsidRDefault="00971B99" w:rsidP="1890523D">
            <w:pPr>
              <w:rPr>
                <w:u w:val="single"/>
              </w:rPr>
            </w:pPr>
          </w:p>
        </w:tc>
        <w:tc>
          <w:tcPr>
            <w:tcW w:w="2455" w:type="dxa"/>
          </w:tcPr>
          <w:p w14:paraId="3D94A0FE" w14:textId="4395B9E8" w:rsidR="00971B99" w:rsidRPr="008C58C0" w:rsidRDefault="00971B99" w:rsidP="1890523D">
            <w:pPr>
              <w:rPr>
                <w:b/>
                <w:bCs/>
              </w:rPr>
            </w:pPr>
            <w:r>
              <w:rPr>
                <w:b/>
                <w:bCs/>
              </w:rPr>
              <w:t xml:space="preserve">Original data from </w:t>
            </w:r>
            <w:r w:rsidR="007F7254">
              <w:rPr>
                <w:b/>
                <w:bCs/>
              </w:rPr>
              <w:t>reference</w:t>
            </w:r>
          </w:p>
        </w:tc>
        <w:tc>
          <w:tcPr>
            <w:tcW w:w="2010" w:type="dxa"/>
          </w:tcPr>
          <w:p w14:paraId="3670194F" w14:textId="29CEC0EB" w:rsidR="00971B99" w:rsidRPr="008C58C0" w:rsidRDefault="00971B99" w:rsidP="1890523D">
            <w:pPr>
              <w:rPr>
                <w:b/>
                <w:bCs/>
              </w:rPr>
            </w:pPr>
            <w:r>
              <w:rPr>
                <w:b/>
                <w:bCs/>
              </w:rPr>
              <w:t xml:space="preserve">Calculated </w:t>
            </w:r>
            <w:r w:rsidRPr="008C58C0">
              <w:rPr>
                <w:b/>
                <w:bCs/>
              </w:rPr>
              <w:t>Annual Incidence %</w:t>
            </w:r>
          </w:p>
        </w:tc>
        <w:tc>
          <w:tcPr>
            <w:tcW w:w="1770" w:type="dxa"/>
          </w:tcPr>
          <w:p w14:paraId="211881BE" w14:textId="6209D79D" w:rsidR="00971B99" w:rsidRPr="008C58C0" w:rsidRDefault="00971B99" w:rsidP="1890523D">
            <w:pPr>
              <w:rPr>
                <w:b/>
                <w:bCs/>
              </w:rPr>
            </w:pPr>
            <w:r w:rsidRPr="008C58C0">
              <w:rPr>
                <w:b/>
                <w:bCs/>
              </w:rPr>
              <w:t xml:space="preserve">Reference </w:t>
            </w:r>
          </w:p>
        </w:tc>
      </w:tr>
      <w:tr w:rsidR="00971B99" w14:paraId="7A7F86F0" w14:textId="77777777" w:rsidTr="06C2198C">
        <w:trPr>
          <w:trHeight w:val="300"/>
        </w:trPr>
        <w:tc>
          <w:tcPr>
            <w:tcW w:w="3120" w:type="dxa"/>
          </w:tcPr>
          <w:p w14:paraId="60EBF6D6" w14:textId="7D80AF1A" w:rsidR="00971B99" w:rsidRDefault="00971B99" w:rsidP="59961667">
            <w:r>
              <w:t>MASLD without cirrhosis to cirrhosis</w:t>
            </w:r>
            <w:r w:rsidR="000570A4">
              <w:t xml:space="preserve"> (censored)</w:t>
            </w:r>
          </w:p>
        </w:tc>
        <w:tc>
          <w:tcPr>
            <w:tcW w:w="2455" w:type="dxa"/>
          </w:tcPr>
          <w:p w14:paraId="065F6F6B" w14:textId="1D1E9BDA" w:rsidR="00E65638" w:rsidRDefault="003223E1" w:rsidP="59961667">
            <w:pPr>
              <w:rPr>
                <w:rStyle w:val="normaltextrun"/>
                <w:rFonts w:ascii="Calibri" w:hAnsi="Calibri" w:cs="Calibri"/>
                <w:color w:val="000000"/>
                <w:shd w:val="clear" w:color="auto" w:fill="FFFFFF"/>
              </w:rPr>
            </w:pPr>
            <w:r w:rsidRPr="00852781">
              <w:rPr>
                <w:rStyle w:val="normaltextrun"/>
                <w:rFonts w:ascii="Calibri" w:hAnsi="Calibri" w:cs="Calibri"/>
                <w:color w:val="000000"/>
                <w:highlight w:val="cyan"/>
                <w:shd w:val="clear" w:color="auto" w:fill="FFFFFF"/>
              </w:rPr>
              <w:t xml:space="preserve">a. </w:t>
            </w:r>
            <w:r w:rsidR="001A6490" w:rsidRPr="00852781">
              <w:rPr>
                <w:rStyle w:val="normaltextrun"/>
                <w:rFonts w:ascii="Calibri" w:hAnsi="Calibri" w:cs="Calibri"/>
                <w:color w:val="000000"/>
                <w:highlight w:val="cyan"/>
                <w:shd w:val="clear" w:color="auto" w:fill="FFFFFF"/>
              </w:rPr>
              <w:t xml:space="preserve">10.85 (6.65–15.06) </w:t>
            </w:r>
            <w:r w:rsidR="00971B99" w:rsidRPr="00852781">
              <w:rPr>
                <w:rStyle w:val="normaltextrun"/>
                <w:rFonts w:ascii="Calibri" w:hAnsi="Calibri" w:cs="Calibri"/>
                <w:color w:val="000000"/>
                <w:highlight w:val="cyan"/>
                <w:shd w:val="clear" w:color="auto" w:fill="FFFFFF"/>
              </w:rPr>
              <w:t>per 1000 person-years</w:t>
            </w:r>
          </w:p>
          <w:p w14:paraId="7C468CEC" w14:textId="15B6888A" w:rsidR="002A7F45" w:rsidRPr="00B269D9" w:rsidRDefault="002A7F45" w:rsidP="59961667"/>
        </w:tc>
        <w:tc>
          <w:tcPr>
            <w:tcW w:w="2010" w:type="dxa"/>
          </w:tcPr>
          <w:p w14:paraId="264160E2" w14:textId="31A30385" w:rsidR="003223E1" w:rsidRPr="006B0C97" w:rsidRDefault="005C51D6" w:rsidP="59961667">
            <w:pPr>
              <w:rPr>
                <w:highlight w:val="yellow"/>
              </w:rPr>
            </w:pPr>
            <w:r>
              <w:t>1.085% (0.665%-1.506%)</w:t>
            </w:r>
          </w:p>
        </w:tc>
        <w:tc>
          <w:tcPr>
            <w:tcW w:w="1770" w:type="dxa"/>
          </w:tcPr>
          <w:p w14:paraId="636492ED" w14:textId="5B976BD2" w:rsidR="00971B99" w:rsidRDefault="003223E1" w:rsidP="59961667">
            <w:pPr>
              <w:rPr>
                <w:rStyle w:val="Hyperlink"/>
                <w:color w:val="auto"/>
                <w:u w:val="none"/>
              </w:rPr>
            </w:pPr>
            <w:r>
              <w:t xml:space="preserve">a. </w:t>
            </w:r>
            <w:hyperlink r:id="rId12">
              <w:r w:rsidR="06C2198C" w:rsidRPr="06C2198C">
                <w:rPr>
                  <w:rStyle w:val="Hyperlink"/>
                </w:rPr>
                <w:t>Le 2024</w:t>
              </w:r>
            </w:hyperlink>
            <w:r w:rsidR="06C2198C" w:rsidRPr="06C2198C">
              <w:rPr>
                <w:rStyle w:val="Hyperlink"/>
              </w:rPr>
              <w:t xml:space="preserve"> </w:t>
            </w:r>
            <w:r w:rsidR="06C2198C" w:rsidRPr="06C2198C">
              <w:rPr>
                <w:rStyle w:val="Hyperlink"/>
                <w:color w:val="auto"/>
                <w:u w:val="none"/>
              </w:rPr>
              <w:t>(</w:t>
            </w:r>
            <w:proofErr w:type="spellStart"/>
            <w:proofErr w:type="gramStart"/>
            <w:r w:rsidR="06C2198C" w:rsidRPr="06C2198C">
              <w:rPr>
                <w:rStyle w:val="Hyperlink"/>
                <w:color w:val="auto"/>
                <w:u w:val="none"/>
              </w:rPr>
              <w:t>meta analysis</w:t>
            </w:r>
            <w:proofErr w:type="spellEnd"/>
            <w:proofErr w:type="gramEnd"/>
            <w:r w:rsidR="06C2198C" w:rsidRPr="06C2198C">
              <w:rPr>
                <w:rStyle w:val="Hyperlink"/>
                <w:color w:val="auto"/>
                <w:u w:val="none"/>
              </w:rPr>
              <w:t>)</w:t>
            </w:r>
          </w:p>
          <w:p w14:paraId="2B4011DC" w14:textId="5B863110" w:rsidR="002A7F45" w:rsidRPr="002A7F45" w:rsidRDefault="002A7F45" w:rsidP="59961667">
            <w:pPr>
              <w:rPr>
                <w:rStyle w:val="Hyperlink"/>
                <w:color w:val="auto"/>
                <w:u w:val="none"/>
              </w:rPr>
            </w:pPr>
          </w:p>
        </w:tc>
      </w:tr>
      <w:tr w:rsidR="00971B99" w14:paraId="0D60B8A3" w14:textId="77777777" w:rsidTr="06C2198C">
        <w:trPr>
          <w:trHeight w:val="300"/>
        </w:trPr>
        <w:tc>
          <w:tcPr>
            <w:tcW w:w="3120" w:type="dxa"/>
          </w:tcPr>
          <w:p w14:paraId="6ABE64CF" w14:textId="7DF84C9A" w:rsidR="00971B99" w:rsidRDefault="00971B99" w:rsidP="59961667">
            <w:r>
              <w:t>No cirrhosis to HCC (any stage)</w:t>
            </w:r>
          </w:p>
        </w:tc>
        <w:tc>
          <w:tcPr>
            <w:tcW w:w="2455" w:type="dxa"/>
          </w:tcPr>
          <w:p w14:paraId="765872C3" w14:textId="5DEFAAC4" w:rsidR="00971B99" w:rsidRPr="00445A41" w:rsidRDefault="00971B99" w:rsidP="06C2198C">
            <w:pPr>
              <w:rPr>
                <w:color w:val="000000" w:themeColor="text1"/>
              </w:rPr>
            </w:pPr>
            <w:r w:rsidRPr="00122A22">
              <w:rPr>
                <w:rStyle w:val="normaltextrun"/>
                <w:rFonts w:ascii="Calibri" w:hAnsi="Calibri" w:cs="Calibri"/>
                <w:color w:val="000000"/>
                <w:bdr w:val="none" w:sz="0" w:space="0" w:color="auto" w:frame="1"/>
              </w:rPr>
              <w:t xml:space="preserve">a. </w:t>
            </w:r>
            <w:r w:rsidR="00FC3840" w:rsidRPr="00122A22">
              <w:rPr>
                <w:rStyle w:val="normaltextrun"/>
                <w:rFonts w:ascii="Calibri" w:hAnsi="Calibri" w:cs="Calibri"/>
                <w:color w:val="000000"/>
                <w:bdr w:val="none" w:sz="0" w:space="0" w:color="auto" w:frame="1"/>
              </w:rPr>
              <w:t>0.7 (0.5–1.0)</w:t>
            </w:r>
            <w:r w:rsidR="002B25A8" w:rsidRPr="00122A22">
              <w:rPr>
                <w:rStyle w:val="normaltextrun"/>
                <w:rFonts w:ascii="Calibri" w:hAnsi="Calibri" w:cs="Calibri"/>
                <w:color w:val="000000"/>
                <w:bdr w:val="none" w:sz="0" w:space="0" w:color="auto" w:frame="1"/>
              </w:rPr>
              <w:t xml:space="preserve"> </w:t>
            </w:r>
            <w:commentRangeStart w:id="2"/>
            <w:commentRangeStart w:id="3"/>
            <w:commentRangeStart w:id="4"/>
            <w:commentRangeStart w:id="5"/>
            <w:r w:rsidRPr="00122A22">
              <w:rPr>
                <w:rStyle w:val="normaltextrun"/>
                <w:rFonts w:ascii="Calibri" w:hAnsi="Calibri" w:cs="Calibri"/>
                <w:color w:val="000000"/>
                <w:bdr w:val="none" w:sz="0" w:space="0" w:color="auto" w:frame="1"/>
              </w:rPr>
              <w:t>per 1000 person-years</w:t>
            </w:r>
            <w:commentRangeEnd w:id="2"/>
            <w:r w:rsidR="005C0320" w:rsidRPr="00122A22">
              <w:rPr>
                <w:rStyle w:val="CommentReference"/>
                <w:rFonts w:eastAsiaTheme="minorHAnsi"/>
                <w:lang w:eastAsia="en-US"/>
              </w:rPr>
              <w:commentReference w:id="2"/>
            </w:r>
            <w:commentRangeEnd w:id="3"/>
            <w:r w:rsidR="00213305" w:rsidRPr="00122A22">
              <w:rPr>
                <w:rStyle w:val="CommentReference"/>
                <w:rFonts w:eastAsiaTheme="minorHAnsi"/>
                <w:lang w:eastAsia="en-US"/>
              </w:rPr>
              <w:commentReference w:id="3"/>
            </w:r>
            <w:commentRangeEnd w:id="4"/>
            <w:r w:rsidR="00FC3840" w:rsidRPr="00122A22">
              <w:rPr>
                <w:rStyle w:val="CommentReference"/>
                <w:rFonts w:eastAsiaTheme="minorHAnsi"/>
                <w:lang w:eastAsia="en-US"/>
              </w:rPr>
              <w:commentReference w:id="4"/>
            </w:r>
            <w:commentRangeEnd w:id="5"/>
            <w:r w:rsidR="00FC3840" w:rsidRPr="00122A22">
              <w:rPr>
                <w:rStyle w:val="CommentReference"/>
                <w:rFonts w:eastAsiaTheme="minorHAnsi"/>
                <w:lang w:eastAsia="en-US"/>
              </w:rPr>
              <w:commentReference w:id="5"/>
            </w:r>
            <w:r w:rsidR="00FC3840" w:rsidRPr="00122A22">
              <w:rPr>
                <w:rStyle w:val="normaltextrun"/>
                <w:rFonts w:ascii="Calibri" w:hAnsi="Calibri" w:cs="Calibri"/>
                <w:color w:val="000000"/>
                <w:bdr w:val="none" w:sz="0" w:space="0" w:color="auto" w:frame="1"/>
              </w:rPr>
              <w:t xml:space="preserve"> (for those FIB4&lt;1.30)</w:t>
            </w:r>
          </w:p>
          <w:p w14:paraId="4744D2DE" w14:textId="627DDA0B" w:rsidR="009F2466" w:rsidRPr="00FC3840" w:rsidRDefault="009F2466" w:rsidP="06C2198C">
            <w:pPr>
              <w:rPr>
                <w:rStyle w:val="normaltextrun"/>
                <w:rFonts w:ascii="Calibri" w:hAnsi="Calibri" w:cs="Calibri"/>
                <w:strike/>
                <w:color w:val="000000" w:themeColor="text1"/>
              </w:rPr>
            </w:pPr>
            <w:r w:rsidRPr="004C4B31">
              <w:rPr>
                <w:rFonts w:eastAsia="Calibri"/>
                <w:highlight w:val="cyan"/>
              </w:rPr>
              <w:t>g. 0.0</w:t>
            </w:r>
            <w:r w:rsidR="00CA6ABA" w:rsidRPr="004C4B31">
              <w:rPr>
                <w:rFonts w:eastAsia="Calibri"/>
                <w:highlight w:val="cyan"/>
              </w:rPr>
              <w:t>4</w:t>
            </w:r>
            <w:r w:rsidRPr="004C4B31">
              <w:rPr>
                <w:rFonts w:eastAsia="Calibri"/>
                <w:highlight w:val="cyan"/>
              </w:rPr>
              <w:t xml:space="preserve"> per 1000 PYs</w:t>
            </w:r>
            <w:r>
              <w:t xml:space="preserve"> </w:t>
            </w:r>
            <w:r w:rsidRPr="009F2466">
              <w:rPr>
                <w:rFonts w:eastAsia="Calibri"/>
              </w:rPr>
              <w:t>(95% CI 0.04–0.06)</w:t>
            </w:r>
          </w:p>
        </w:tc>
        <w:tc>
          <w:tcPr>
            <w:tcW w:w="2010" w:type="dxa"/>
          </w:tcPr>
          <w:p w14:paraId="7C4CA80C" w14:textId="70107F92" w:rsidR="00971B99" w:rsidRPr="00DF22BB" w:rsidRDefault="06C2198C" w:rsidP="06C2198C">
            <w:pPr>
              <w:rPr>
                <w:color w:val="000000" w:themeColor="text1"/>
              </w:rPr>
            </w:pPr>
            <w:r w:rsidRPr="00DF22BB">
              <w:rPr>
                <w:color w:val="000000" w:themeColor="text1"/>
              </w:rPr>
              <w:t>0</w:t>
            </w:r>
            <w:r w:rsidR="00AD2575" w:rsidRPr="00DF22BB">
              <w:rPr>
                <w:color w:val="000000" w:themeColor="text1"/>
              </w:rPr>
              <w:t>.</w:t>
            </w:r>
            <w:r w:rsidR="00FC3840">
              <w:rPr>
                <w:color w:val="000000" w:themeColor="text1"/>
              </w:rPr>
              <w:t>039</w:t>
            </w:r>
            <w:r w:rsidR="00AD2575" w:rsidRPr="00DF22BB">
              <w:rPr>
                <w:color w:val="000000" w:themeColor="text1"/>
              </w:rPr>
              <w:t>%</w:t>
            </w:r>
            <w:r w:rsidR="006B0C97" w:rsidRPr="00DF22BB">
              <w:rPr>
                <w:color w:val="000000" w:themeColor="text1"/>
              </w:rPr>
              <w:t xml:space="preserve"> (0.00</w:t>
            </w:r>
            <w:r w:rsidR="00350CCD">
              <w:rPr>
                <w:color w:val="000000" w:themeColor="text1"/>
              </w:rPr>
              <w:t>4</w:t>
            </w:r>
            <w:r w:rsidR="006B0C97" w:rsidRPr="00DF22BB">
              <w:rPr>
                <w:color w:val="000000" w:themeColor="text1"/>
              </w:rPr>
              <w:t>-</w:t>
            </w:r>
            <w:r w:rsidR="00DF22BB" w:rsidRPr="00DF22BB">
              <w:rPr>
                <w:color w:val="000000" w:themeColor="text1"/>
              </w:rPr>
              <w:t>0.</w:t>
            </w:r>
            <w:r w:rsidR="00FC3840">
              <w:rPr>
                <w:color w:val="000000" w:themeColor="text1"/>
              </w:rPr>
              <w:t>1</w:t>
            </w:r>
            <w:r w:rsidR="00DF22BB" w:rsidRPr="00DF22BB">
              <w:rPr>
                <w:color w:val="000000" w:themeColor="text1"/>
              </w:rPr>
              <w:t>)</w:t>
            </w:r>
          </w:p>
          <w:p w14:paraId="2A3C1B76" w14:textId="304AC64F" w:rsidR="00A045D2" w:rsidRDefault="00043C03" w:rsidP="06C2198C">
            <w:pPr>
              <w:rPr>
                <w:color w:val="000000" w:themeColor="text1"/>
              </w:rPr>
            </w:pPr>
            <w:r>
              <w:rPr>
                <w:color w:val="000000" w:themeColor="text1"/>
              </w:rPr>
              <w:t xml:space="preserve"> </w:t>
            </w:r>
          </w:p>
          <w:p w14:paraId="3FA6A26F" w14:textId="5372BB74" w:rsidR="00CA6ABA" w:rsidRPr="00CA6ABA" w:rsidRDefault="00CA6ABA" w:rsidP="06C2198C">
            <w:pPr>
              <w:rPr>
                <w:color w:val="FF0000"/>
              </w:rPr>
            </w:pPr>
          </w:p>
          <w:p w14:paraId="69841E80" w14:textId="77777777" w:rsidR="0077445D" w:rsidRDefault="0077445D" w:rsidP="06C2198C">
            <w:pPr>
              <w:rPr>
                <w:color w:val="000000" w:themeColor="text1"/>
              </w:rPr>
            </w:pPr>
          </w:p>
          <w:p w14:paraId="37FBB2EC" w14:textId="71480D6D" w:rsidR="0077445D" w:rsidRPr="00546723" w:rsidRDefault="0077445D" w:rsidP="00FC3840">
            <w:pPr>
              <w:rPr>
                <w:color w:val="000000" w:themeColor="text1"/>
              </w:rPr>
            </w:pPr>
          </w:p>
        </w:tc>
        <w:tc>
          <w:tcPr>
            <w:tcW w:w="1770" w:type="dxa"/>
          </w:tcPr>
          <w:p w14:paraId="2FF82A75" w14:textId="77777777" w:rsidR="005C51D6" w:rsidRDefault="06C2198C" w:rsidP="06C2198C">
            <w:r>
              <w:t xml:space="preserve">a. </w:t>
            </w:r>
            <w:hyperlink r:id="rId17" w:anchor=":~:text=The%20annual%20incidence%20of%20HCC%20in%20patients%20with,and%200.7%20per%201000%20person-years%20with%20FIB-4%20%3C1.30.">
              <w:r w:rsidRPr="06C2198C">
                <w:rPr>
                  <w:rStyle w:val="Hyperlink"/>
                </w:rPr>
                <w:t>Behari 2023</w:t>
              </w:r>
            </w:hyperlink>
          </w:p>
          <w:p w14:paraId="0A1B19AF" w14:textId="6F7907C3" w:rsidR="0077445D" w:rsidRPr="0077445D" w:rsidRDefault="009F2466" w:rsidP="005C51D6">
            <w:pPr>
              <w:rPr>
                <w:rFonts w:ascii="Calibri" w:eastAsia="Calibri" w:hAnsi="Calibri" w:cs="Calibri"/>
              </w:rPr>
            </w:pPr>
            <w:r>
              <w:rPr>
                <w:rFonts w:ascii="Calibri" w:eastAsia="Calibri" w:hAnsi="Calibri" w:cs="Calibri"/>
              </w:rPr>
              <w:t xml:space="preserve">g. </w:t>
            </w:r>
            <w:hyperlink r:id="rId18" w:history="1">
              <w:r w:rsidRPr="009F2466">
                <w:rPr>
                  <w:rStyle w:val="Hyperlink"/>
                  <w:rFonts w:ascii="Calibri" w:eastAsia="Calibri" w:hAnsi="Calibri" w:cs="Calibri"/>
                </w:rPr>
                <w:t>Huang 2024</w:t>
              </w:r>
            </w:hyperlink>
          </w:p>
        </w:tc>
      </w:tr>
      <w:tr w:rsidR="00971B99" w14:paraId="7930E75F" w14:textId="77777777" w:rsidTr="00325DEC">
        <w:trPr>
          <w:trHeight w:val="300"/>
        </w:trPr>
        <w:tc>
          <w:tcPr>
            <w:tcW w:w="3120" w:type="dxa"/>
          </w:tcPr>
          <w:p w14:paraId="0906BDA2" w14:textId="701D8277" w:rsidR="00971B99" w:rsidRDefault="000E2753" w:rsidP="2D19C48D">
            <w:r>
              <w:t>C</w:t>
            </w:r>
            <w:commentRangeStart w:id="6"/>
            <w:r w:rsidR="00971B99">
              <w:t xml:space="preserve">irrhosis to HCC* </w:t>
            </w:r>
            <w:commentRangeEnd w:id="6"/>
            <w:r w:rsidR="00170E2D">
              <w:rPr>
                <w:rStyle w:val="CommentReference"/>
                <w:rFonts w:eastAsiaTheme="minorHAnsi"/>
                <w:lang w:eastAsia="en-US"/>
              </w:rPr>
              <w:commentReference w:id="6"/>
            </w:r>
          </w:p>
        </w:tc>
        <w:tc>
          <w:tcPr>
            <w:tcW w:w="2455" w:type="dxa"/>
          </w:tcPr>
          <w:p w14:paraId="0901E09A" w14:textId="1FFD3A14" w:rsidR="00971B99" w:rsidRDefault="00A956A9" w:rsidP="2D19C48D">
            <w:r w:rsidRPr="004C4B31">
              <w:rPr>
                <w:highlight w:val="cyan"/>
              </w:rPr>
              <w:t xml:space="preserve">c. </w:t>
            </w:r>
            <w:r w:rsidR="00C3694C" w:rsidRPr="004C4B31">
              <w:rPr>
                <w:highlight w:val="cyan"/>
              </w:rPr>
              <w:t xml:space="preserve">22.5 (20.8–24.3) </w:t>
            </w:r>
            <w:r w:rsidRPr="004C4B31">
              <w:rPr>
                <w:highlight w:val="cyan"/>
              </w:rPr>
              <w:t>per 1000 PYs</w:t>
            </w:r>
          </w:p>
          <w:p w14:paraId="5B208320" w14:textId="77777777" w:rsidR="006206D6" w:rsidRDefault="006206D6" w:rsidP="2D19C48D"/>
          <w:p w14:paraId="44957E86" w14:textId="112BA939" w:rsidR="00CD2694" w:rsidRPr="00CE2E32" w:rsidRDefault="00CD2694" w:rsidP="2D19C48D"/>
        </w:tc>
        <w:tc>
          <w:tcPr>
            <w:tcW w:w="2010" w:type="dxa"/>
            <w:shd w:val="clear" w:color="auto" w:fill="auto"/>
          </w:tcPr>
          <w:p w14:paraId="58913AEB" w14:textId="77777777" w:rsidR="00971B99" w:rsidRDefault="006206D6" w:rsidP="00C3694C">
            <w:r>
              <w:t>2</w:t>
            </w:r>
            <w:r w:rsidR="005C51D6">
              <w:t>.25</w:t>
            </w:r>
            <w:proofErr w:type="gramStart"/>
            <w:r w:rsidR="005C51D6">
              <w:t>%(</w:t>
            </w:r>
            <w:proofErr w:type="gramEnd"/>
            <w:r w:rsidR="005C51D6">
              <w:t>2.08%-2.43%)</w:t>
            </w:r>
          </w:p>
          <w:p w14:paraId="29A3F55B" w14:textId="77777777" w:rsidR="00CD2694" w:rsidRDefault="00CD2694" w:rsidP="00C3694C"/>
          <w:p w14:paraId="6707B7D9" w14:textId="4BC33C30" w:rsidR="00CD2694" w:rsidRPr="00C3694C" w:rsidRDefault="00CD2694" w:rsidP="00C3694C">
            <w:r w:rsidRPr="00122A22">
              <w:rPr>
                <w:rStyle w:val="normaltextrun"/>
                <w:color w:val="FF0000"/>
                <w:sz w:val="22"/>
                <w:szCs w:val="22"/>
              </w:rPr>
              <w:t>0.02 (0.01 - 0.043</w:t>
            </w:r>
            <w:proofErr w:type="gramStart"/>
            <w:r w:rsidRPr="00122A22">
              <w:rPr>
                <w:rStyle w:val="normaltextrun"/>
                <w:color w:val="FF0000"/>
                <w:sz w:val="22"/>
                <w:szCs w:val="22"/>
              </w:rPr>
              <w:t>)</w:t>
            </w:r>
            <w:r w:rsidRPr="00122A22">
              <w:rPr>
                <w:rStyle w:val="eop"/>
                <w:color w:val="FF0000"/>
                <w:sz w:val="22"/>
                <w:szCs w:val="22"/>
              </w:rPr>
              <w:t> </w:t>
            </w:r>
            <w:r w:rsidR="00324804">
              <w:rPr>
                <w:rStyle w:val="eop"/>
                <w:color w:val="FF0000"/>
                <w:sz w:val="22"/>
                <w:szCs w:val="22"/>
              </w:rPr>
              <w:t>?</w:t>
            </w:r>
            <w:proofErr w:type="gramEnd"/>
          </w:p>
        </w:tc>
        <w:tc>
          <w:tcPr>
            <w:tcW w:w="1770" w:type="dxa"/>
          </w:tcPr>
          <w:p w14:paraId="6A3389EB" w14:textId="77777777" w:rsidR="00C4657A" w:rsidRDefault="00C4657A" w:rsidP="06C2198C">
            <w:r>
              <w:t xml:space="preserve">d. </w:t>
            </w:r>
            <w:hyperlink r:id="rId19" w:anchor="S20" w:history="1">
              <w:r>
                <w:rPr>
                  <w:rStyle w:val="Hyperlink"/>
                </w:rPr>
                <w:t>Ka</w:t>
              </w:r>
              <w:r>
                <w:rPr>
                  <w:rStyle w:val="Hyperlink"/>
                </w:rPr>
                <w:t>n</w:t>
              </w:r>
              <w:r>
                <w:rPr>
                  <w:rStyle w:val="Hyperlink"/>
                </w:rPr>
                <w:t>wal 2018</w:t>
              </w:r>
            </w:hyperlink>
          </w:p>
          <w:p w14:paraId="47167FF9" w14:textId="77777777" w:rsidR="00CD2694" w:rsidRDefault="00CD2694" w:rsidP="06C2198C"/>
          <w:p w14:paraId="1DE2D84C" w14:textId="77777777" w:rsidR="00CD2694" w:rsidRDefault="00CD2694" w:rsidP="06C2198C"/>
          <w:p w14:paraId="6DEED6DC" w14:textId="38C81ADA" w:rsidR="00CD2694" w:rsidRPr="00CE2E32" w:rsidRDefault="00CD2694" w:rsidP="06C2198C">
            <w:r>
              <w:rPr>
                <w:rStyle w:val="findhit"/>
                <w:sz w:val="22"/>
                <w:szCs w:val="22"/>
              </w:rPr>
              <w:t>Bermingham</w:t>
            </w:r>
            <w:r>
              <w:rPr>
                <w:rStyle w:val="normaltextrun"/>
                <w:sz w:val="22"/>
                <w:szCs w:val="22"/>
              </w:rPr>
              <w:t xml:space="preserve"> (2015), Veenstra (2008), Crossan (2016)</w:t>
            </w:r>
            <w:r>
              <w:rPr>
                <w:rStyle w:val="eop"/>
                <w:sz w:val="22"/>
                <w:szCs w:val="22"/>
              </w:rPr>
              <w:t> </w:t>
            </w:r>
          </w:p>
        </w:tc>
      </w:tr>
    </w:tbl>
    <w:p w14:paraId="4823D549" w14:textId="28EECD79" w:rsidR="59961667" w:rsidRDefault="00971B99" w:rsidP="59961667">
      <w:pPr>
        <w:spacing w:line="259" w:lineRule="auto"/>
      </w:pPr>
      <w:r>
        <w:rPr>
          <w:b/>
          <w:bCs/>
        </w:rPr>
        <w:t>*</w:t>
      </w:r>
      <w:r w:rsidRPr="00971B99">
        <w:t xml:space="preserve"> </w:t>
      </w:r>
      <w:r>
        <w:t>We use this to account for undiagnosed cirrhosis cases in HCC incidence rate.</w:t>
      </w:r>
    </w:p>
    <w:p w14:paraId="2F0743E1" w14:textId="77777777" w:rsidR="006F3C86" w:rsidRDefault="006F3C86" w:rsidP="59961667">
      <w:pPr>
        <w:spacing w:line="259" w:lineRule="auto"/>
        <w:rPr>
          <w:b/>
          <w:bCs/>
        </w:rPr>
      </w:pPr>
    </w:p>
    <w:p w14:paraId="5F4C4252" w14:textId="07D5C585" w:rsidR="59961667" w:rsidRDefault="2D19C48D" w:rsidP="59961667">
      <w:pPr>
        <w:spacing w:line="259" w:lineRule="auto"/>
      </w:pPr>
      <w:r w:rsidRPr="2D19C48D">
        <w:rPr>
          <w:b/>
          <w:bCs/>
        </w:rPr>
        <w:t xml:space="preserve">HCC stage upon diagnosis: </w:t>
      </w:r>
    </w:p>
    <w:tbl>
      <w:tblPr>
        <w:tblStyle w:val="TableGrid"/>
        <w:tblW w:w="9360" w:type="dxa"/>
        <w:tblInd w:w="0" w:type="dxa"/>
        <w:tblLayout w:type="fixed"/>
        <w:tblLook w:val="06A0" w:firstRow="1" w:lastRow="0" w:firstColumn="1" w:lastColumn="0" w:noHBand="1" w:noVBand="1"/>
      </w:tblPr>
      <w:tblGrid>
        <w:gridCol w:w="3120"/>
        <w:gridCol w:w="3120"/>
        <w:gridCol w:w="3120"/>
      </w:tblGrid>
      <w:tr w:rsidR="59961667" w14:paraId="69CF91A0" w14:textId="77777777" w:rsidTr="00AC70F4">
        <w:trPr>
          <w:trHeight w:val="300"/>
        </w:trPr>
        <w:tc>
          <w:tcPr>
            <w:tcW w:w="3120" w:type="dxa"/>
          </w:tcPr>
          <w:p w14:paraId="64B23B2E" w14:textId="2C47C330" w:rsidR="59961667" w:rsidRDefault="59961667" w:rsidP="59961667">
            <w:pPr>
              <w:rPr>
                <w:b/>
                <w:bCs/>
              </w:rPr>
            </w:pPr>
          </w:p>
        </w:tc>
        <w:tc>
          <w:tcPr>
            <w:tcW w:w="3120" w:type="dxa"/>
          </w:tcPr>
          <w:p w14:paraId="41D6BC25" w14:textId="620D641C" w:rsidR="59961667" w:rsidRDefault="59961667" w:rsidP="59961667">
            <w:pPr>
              <w:rPr>
                <w:b/>
                <w:bCs/>
              </w:rPr>
            </w:pPr>
            <w:r w:rsidRPr="59961667">
              <w:rPr>
                <w:b/>
                <w:bCs/>
              </w:rPr>
              <w:t>% Value</w:t>
            </w:r>
          </w:p>
        </w:tc>
        <w:tc>
          <w:tcPr>
            <w:tcW w:w="3120" w:type="dxa"/>
          </w:tcPr>
          <w:p w14:paraId="4B8BDF65" w14:textId="5D89A588" w:rsidR="59961667" w:rsidRDefault="59961667" w:rsidP="59961667">
            <w:pPr>
              <w:rPr>
                <w:b/>
                <w:bCs/>
              </w:rPr>
            </w:pPr>
            <w:r w:rsidRPr="59961667">
              <w:rPr>
                <w:b/>
                <w:bCs/>
              </w:rPr>
              <w:t>Reference from literature</w:t>
            </w:r>
          </w:p>
        </w:tc>
      </w:tr>
      <w:tr w:rsidR="3CB5EE51" w14:paraId="38FAD768" w14:textId="77777777" w:rsidTr="00AC70F4">
        <w:trPr>
          <w:trHeight w:val="300"/>
        </w:trPr>
        <w:tc>
          <w:tcPr>
            <w:tcW w:w="9360" w:type="dxa"/>
            <w:gridSpan w:val="3"/>
          </w:tcPr>
          <w:p w14:paraId="6066399B" w14:textId="1858AD92" w:rsidR="3CB5EE51" w:rsidRDefault="3CB5EE51" w:rsidP="3CB5EE51">
            <w:pPr>
              <w:rPr>
                <w:b/>
                <w:bCs/>
              </w:rPr>
            </w:pPr>
            <w:r w:rsidRPr="3CB5EE51">
              <w:rPr>
                <w:b/>
                <w:bCs/>
              </w:rPr>
              <w:t>Without HCC screening</w:t>
            </w:r>
          </w:p>
        </w:tc>
      </w:tr>
      <w:tr w:rsidR="00CE2E32" w14:paraId="235872EB" w14:textId="77777777" w:rsidTr="00AC70F4">
        <w:trPr>
          <w:trHeight w:val="300"/>
        </w:trPr>
        <w:tc>
          <w:tcPr>
            <w:tcW w:w="3120" w:type="dxa"/>
          </w:tcPr>
          <w:p w14:paraId="367856C7" w14:textId="50F3237B" w:rsidR="00CE2E32" w:rsidRDefault="00CE2E32" w:rsidP="00CE2E32">
            <w:r>
              <w:t>% Early stage</w:t>
            </w:r>
          </w:p>
        </w:tc>
        <w:tc>
          <w:tcPr>
            <w:tcW w:w="3120" w:type="dxa"/>
          </w:tcPr>
          <w:p w14:paraId="69066958" w14:textId="105050EB" w:rsidR="00CE2E32" w:rsidRPr="00DF2EBD" w:rsidRDefault="00DF2EBD" w:rsidP="00CE2E32">
            <w:pPr>
              <w:rPr>
                <w:color w:val="FF0000"/>
                <w:vertAlign w:val="superscript"/>
              </w:rPr>
            </w:pPr>
            <w:r>
              <w:t>10</w:t>
            </w:r>
            <w:r>
              <w:t>%</w:t>
            </w:r>
            <w:r>
              <w:rPr>
                <w:vertAlign w:val="superscript"/>
              </w:rPr>
              <w:t>A</w:t>
            </w:r>
          </w:p>
        </w:tc>
        <w:tc>
          <w:tcPr>
            <w:tcW w:w="3120" w:type="dxa"/>
            <w:vMerge w:val="restart"/>
          </w:tcPr>
          <w:p w14:paraId="32AA6BB9" w14:textId="6BB8D00C" w:rsidR="00BD4E20" w:rsidRPr="00DF2EBD" w:rsidRDefault="00DF2EBD" w:rsidP="00CE2E32">
            <w:pPr>
              <w:rPr>
                <w:color w:val="0000FF"/>
                <w:u w:val="single"/>
              </w:rPr>
            </w:pPr>
            <w:hyperlink r:id="rId20" w:history="1">
              <w:r w:rsidRPr="00DF2EBD">
                <w:rPr>
                  <w:rStyle w:val="Hyperlink"/>
                </w:rPr>
                <w:t>Huang 2018</w:t>
              </w:r>
            </w:hyperlink>
          </w:p>
          <w:p w14:paraId="1433A697" w14:textId="080CF245" w:rsidR="00DF2EBD" w:rsidRPr="00A86B19" w:rsidRDefault="00DF2EBD" w:rsidP="00CE2E32">
            <w:pPr>
              <w:rPr>
                <w:color w:val="FF0000"/>
              </w:rPr>
            </w:pPr>
            <w:r>
              <w:t>(</w:t>
            </w:r>
            <w:proofErr w:type="spellStart"/>
            <w:proofErr w:type="gramStart"/>
            <w:r>
              <w:t>estimated</w:t>
            </w:r>
            <w:r>
              <w:rPr>
                <w:vertAlign w:val="superscript"/>
              </w:rPr>
              <w:t>A,B</w:t>
            </w:r>
            <w:proofErr w:type="spellEnd"/>
            <w:proofErr w:type="gramEnd"/>
            <w:r>
              <w:t>)</w:t>
            </w:r>
          </w:p>
        </w:tc>
      </w:tr>
      <w:tr w:rsidR="00CE2E32" w14:paraId="045ABCBC" w14:textId="77777777" w:rsidTr="00AC70F4">
        <w:trPr>
          <w:trHeight w:val="300"/>
        </w:trPr>
        <w:tc>
          <w:tcPr>
            <w:tcW w:w="3120" w:type="dxa"/>
          </w:tcPr>
          <w:p w14:paraId="128FEA0F" w14:textId="27BD3994" w:rsidR="00CE2E32" w:rsidRDefault="00CE2E32" w:rsidP="00CE2E32">
            <w:r>
              <w:t>% Intermediate stage</w:t>
            </w:r>
          </w:p>
        </w:tc>
        <w:tc>
          <w:tcPr>
            <w:tcW w:w="3120" w:type="dxa"/>
          </w:tcPr>
          <w:p w14:paraId="74B67A1B" w14:textId="720F0715" w:rsidR="00CE2E32" w:rsidRPr="00A86B19" w:rsidRDefault="00DF2EBD" w:rsidP="00CE2E32">
            <w:r>
              <w:t>30%</w:t>
            </w:r>
          </w:p>
        </w:tc>
        <w:tc>
          <w:tcPr>
            <w:tcW w:w="3120" w:type="dxa"/>
            <w:vMerge/>
          </w:tcPr>
          <w:p w14:paraId="16559948" w14:textId="034F8DF8" w:rsidR="00CE2E32" w:rsidRDefault="00CE2E32" w:rsidP="00CE2E32">
            <w:pPr>
              <w:rPr>
                <w:b/>
                <w:bCs/>
              </w:rPr>
            </w:pPr>
          </w:p>
        </w:tc>
      </w:tr>
      <w:tr w:rsidR="00CE2E32" w14:paraId="0831F1F2" w14:textId="77777777" w:rsidTr="00AC70F4">
        <w:trPr>
          <w:trHeight w:val="300"/>
        </w:trPr>
        <w:tc>
          <w:tcPr>
            <w:tcW w:w="3120" w:type="dxa"/>
          </w:tcPr>
          <w:p w14:paraId="062CD201" w14:textId="5A442109" w:rsidR="00CE2E32" w:rsidRDefault="00CE2E32" w:rsidP="00CE2E32">
            <w:r>
              <w:t>% Late stage</w:t>
            </w:r>
          </w:p>
        </w:tc>
        <w:tc>
          <w:tcPr>
            <w:tcW w:w="3120" w:type="dxa"/>
          </w:tcPr>
          <w:p w14:paraId="75F230EA" w14:textId="764D7BF4" w:rsidR="00CE2E32" w:rsidRPr="00DF2EBD" w:rsidRDefault="006469AB" w:rsidP="00CE2E32">
            <w:pPr>
              <w:rPr>
                <w:vertAlign w:val="superscript"/>
              </w:rPr>
            </w:pPr>
            <w:r>
              <w:t>6</w:t>
            </w:r>
            <w:r w:rsidR="00DF2EBD">
              <w:t>0%</w:t>
            </w:r>
            <w:r w:rsidR="00DF2EBD">
              <w:rPr>
                <w:vertAlign w:val="superscript"/>
              </w:rPr>
              <w:t>B</w:t>
            </w:r>
          </w:p>
        </w:tc>
        <w:tc>
          <w:tcPr>
            <w:tcW w:w="3120" w:type="dxa"/>
            <w:vMerge/>
          </w:tcPr>
          <w:p w14:paraId="6B8A0281" w14:textId="383DF556" w:rsidR="00CE2E32" w:rsidRDefault="00CE2E32" w:rsidP="00CE2E32">
            <w:pPr>
              <w:rPr>
                <w:b/>
                <w:bCs/>
              </w:rPr>
            </w:pPr>
          </w:p>
        </w:tc>
      </w:tr>
      <w:tr w:rsidR="00CE2E32" w14:paraId="7109E4A4" w14:textId="77777777" w:rsidTr="00AC70F4">
        <w:trPr>
          <w:trHeight w:val="300"/>
        </w:trPr>
        <w:tc>
          <w:tcPr>
            <w:tcW w:w="9360" w:type="dxa"/>
            <w:gridSpan w:val="3"/>
          </w:tcPr>
          <w:p w14:paraId="14D2A19D" w14:textId="7B55F8E5" w:rsidR="00CE2E32" w:rsidRDefault="00CE2E32" w:rsidP="00CE2E32">
            <w:pPr>
              <w:rPr>
                <w:b/>
                <w:bCs/>
              </w:rPr>
            </w:pPr>
            <w:r w:rsidRPr="3CB5EE51">
              <w:rPr>
                <w:b/>
                <w:bCs/>
              </w:rPr>
              <w:t>With HCC screening</w:t>
            </w:r>
          </w:p>
        </w:tc>
      </w:tr>
      <w:tr w:rsidR="00CE2E32" w14:paraId="109B4EF9" w14:textId="77777777" w:rsidTr="00AC70F4">
        <w:trPr>
          <w:trHeight w:val="300"/>
        </w:trPr>
        <w:tc>
          <w:tcPr>
            <w:tcW w:w="3120" w:type="dxa"/>
          </w:tcPr>
          <w:p w14:paraId="68DC0A51" w14:textId="50F3237B" w:rsidR="00CE2E32" w:rsidRDefault="00CE2E32" w:rsidP="00CE2E32">
            <w:r>
              <w:t>% Early stage</w:t>
            </w:r>
          </w:p>
        </w:tc>
        <w:tc>
          <w:tcPr>
            <w:tcW w:w="3120" w:type="dxa"/>
          </w:tcPr>
          <w:p w14:paraId="3CB5D30D" w14:textId="500CAC95" w:rsidR="00CE2E32" w:rsidRDefault="00DF2EBD" w:rsidP="00CE2E32">
            <w:r>
              <w:t>81%</w:t>
            </w:r>
          </w:p>
        </w:tc>
        <w:tc>
          <w:tcPr>
            <w:tcW w:w="3120" w:type="dxa"/>
            <w:vMerge w:val="restart"/>
          </w:tcPr>
          <w:p w14:paraId="79B1AA18" w14:textId="77777777" w:rsidR="00DF2EBD" w:rsidRDefault="00DF2EBD" w:rsidP="00DF2EBD">
            <w:pPr>
              <w:rPr>
                <w:rStyle w:val="Hyperlink"/>
              </w:rPr>
            </w:pPr>
            <w:hyperlink r:id="rId21" w:history="1">
              <w:r w:rsidRPr="00DF2EBD">
                <w:rPr>
                  <w:rStyle w:val="Hyperlink"/>
                </w:rPr>
                <w:t>Huang 2018</w:t>
              </w:r>
            </w:hyperlink>
          </w:p>
          <w:p w14:paraId="6EAC8EB7" w14:textId="1F57370F" w:rsidR="00DF2EBD" w:rsidRDefault="00DF2EBD" w:rsidP="00CE2E32"/>
        </w:tc>
      </w:tr>
      <w:tr w:rsidR="00CE2E32" w14:paraId="5E0597D9" w14:textId="77777777" w:rsidTr="00AC70F4">
        <w:trPr>
          <w:trHeight w:val="300"/>
        </w:trPr>
        <w:tc>
          <w:tcPr>
            <w:tcW w:w="3120" w:type="dxa"/>
          </w:tcPr>
          <w:p w14:paraId="755CA208" w14:textId="27BD3994" w:rsidR="00CE2E32" w:rsidRDefault="00CE2E32" w:rsidP="00CE2E32">
            <w:r>
              <w:t>% Intermediate stage</w:t>
            </w:r>
          </w:p>
        </w:tc>
        <w:tc>
          <w:tcPr>
            <w:tcW w:w="3120" w:type="dxa"/>
          </w:tcPr>
          <w:p w14:paraId="192FD756" w14:textId="5B2155FA" w:rsidR="00CE2E32" w:rsidRPr="00CF560B" w:rsidRDefault="00DF2EBD" w:rsidP="00CE2E32">
            <w:pPr>
              <w:rPr>
                <w:rFonts w:ascii="Times New Roman" w:hAnsi="Times New Roman" w:cs="Times New Roman"/>
              </w:rPr>
            </w:pPr>
            <w:r>
              <w:t>8</w:t>
            </w:r>
            <w:r w:rsidR="00CE2E32">
              <w:t>%</w:t>
            </w:r>
          </w:p>
        </w:tc>
        <w:tc>
          <w:tcPr>
            <w:tcW w:w="3120" w:type="dxa"/>
            <w:vMerge/>
          </w:tcPr>
          <w:p w14:paraId="397593C5" w14:textId="660F9099" w:rsidR="00CE2E32" w:rsidRDefault="00CE2E32" w:rsidP="00CE2E32">
            <w:pPr>
              <w:rPr>
                <w:b/>
                <w:bCs/>
              </w:rPr>
            </w:pPr>
          </w:p>
        </w:tc>
      </w:tr>
      <w:tr w:rsidR="00CE2E32" w14:paraId="41163C28" w14:textId="77777777" w:rsidTr="00AC70F4">
        <w:trPr>
          <w:trHeight w:val="300"/>
        </w:trPr>
        <w:tc>
          <w:tcPr>
            <w:tcW w:w="3120" w:type="dxa"/>
          </w:tcPr>
          <w:p w14:paraId="62384B55" w14:textId="5A442109" w:rsidR="00CE2E32" w:rsidRDefault="00CE2E32" w:rsidP="00CE2E32">
            <w:r>
              <w:t>% Late stage</w:t>
            </w:r>
          </w:p>
        </w:tc>
        <w:tc>
          <w:tcPr>
            <w:tcW w:w="3120" w:type="dxa"/>
          </w:tcPr>
          <w:p w14:paraId="2F4C6912" w14:textId="2B55FAD3" w:rsidR="00CE2E32" w:rsidRDefault="00DF2EBD" w:rsidP="00CE2E32">
            <w:r>
              <w:t>11</w:t>
            </w:r>
            <w:r w:rsidR="00CE2E32">
              <w:t>%</w:t>
            </w:r>
          </w:p>
        </w:tc>
        <w:tc>
          <w:tcPr>
            <w:tcW w:w="3120" w:type="dxa"/>
            <w:vMerge/>
          </w:tcPr>
          <w:p w14:paraId="33E60B4E" w14:textId="3F6068C2" w:rsidR="00CE2E32" w:rsidRDefault="00CE2E32" w:rsidP="00CE2E32">
            <w:pPr>
              <w:rPr>
                <w:b/>
                <w:bCs/>
              </w:rPr>
            </w:pPr>
          </w:p>
        </w:tc>
      </w:tr>
    </w:tbl>
    <w:p w14:paraId="38E62F7E" w14:textId="0431E898" w:rsidR="00DF2EBD" w:rsidRPr="00DF2EBD" w:rsidRDefault="00DF2EBD" w:rsidP="00DF2EBD">
      <w:r>
        <w:rPr>
          <w:vertAlign w:val="superscript"/>
        </w:rPr>
        <w:t>A:</w:t>
      </w:r>
      <w:r w:rsidR="006469AB">
        <w:rPr>
          <w:vertAlign w:val="superscript"/>
        </w:rPr>
        <w:t xml:space="preserve"> </w:t>
      </w:r>
      <w:r>
        <w:t>Professional opinion</w:t>
      </w:r>
    </w:p>
    <w:p w14:paraId="184DBAD1" w14:textId="79A48DF0" w:rsidR="59961667" w:rsidRDefault="00DF2EBD" w:rsidP="00DF2EBD">
      <w:r>
        <w:rPr>
          <w:vertAlign w:val="superscript"/>
        </w:rPr>
        <w:t xml:space="preserve">B: </w:t>
      </w:r>
      <w:r>
        <w:t xml:space="preserve">Huang 2018 </w:t>
      </w:r>
      <w:r>
        <w:t>cites another study that showed “patients who did not have HCC surveillance were 8 times more likely to have advanced HCC at diagnosis compared with those with HCC surveillance</w:t>
      </w:r>
    </w:p>
    <w:p w14:paraId="3C7E2A2F" w14:textId="77777777" w:rsidR="008C58C0" w:rsidRDefault="008C58C0" w:rsidP="59961667">
      <w:pPr>
        <w:rPr>
          <w:b/>
          <w:bCs/>
        </w:rPr>
      </w:pPr>
    </w:p>
    <w:p w14:paraId="58C318A7" w14:textId="051A3906" w:rsidR="00FC63E7" w:rsidRDefault="1890523D" w:rsidP="59961667">
      <w:r w:rsidRPr="008C58C0">
        <w:rPr>
          <w:b/>
          <w:bCs/>
        </w:rPr>
        <w:t>Breakdown of HCC treatment received by HCC stage</w:t>
      </w:r>
      <w:r w:rsidRPr="008C58C0">
        <w:t xml:space="preserve"> </w:t>
      </w:r>
      <w:r>
        <w:t xml:space="preserve"> </w:t>
      </w:r>
    </w:p>
    <w:p w14:paraId="063D2B2C" w14:textId="41293C2B" w:rsidR="00E46242" w:rsidRDefault="00971B99" w:rsidP="50448BAA">
      <w:pPr>
        <w:spacing w:line="259" w:lineRule="auto"/>
      </w:pPr>
      <w:r>
        <w:t xml:space="preserve">We use this data to calculate different survival rates by HCC stage, depending on what treatment patients receive. </w:t>
      </w:r>
      <w:r w:rsidR="1890523D">
        <w:t xml:space="preserve">These values are </w:t>
      </w:r>
      <w:r>
        <w:t>derived</w:t>
      </w:r>
      <w:r w:rsidR="1890523D">
        <w:t xml:space="preserve"> from SEER-Medicare, 201</w:t>
      </w:r>
      <w:r>
        <w:t>1</w:t>
      </w:r>
      <w:r w:rsidR="1890523D">
        <w:t xml:space="preserve">-2015 data by </w:t>
      </w:r>
      <w:r w:rsidR="1890523D">
        <w:lastRenderedPageBreak/>
        <w:t>HCC diagnosis date. I limited the data to these 5 years to account for the introduction of sorafenib after 2007</w:t>
      </w:r>
      <w:r>
        <w:t xml:space="preserve"> (the systemic chemotherapy receipt % stabilized around 2010)</w:t>
      </w:r>
      <w:r w:rsidR="1890523D">
        <w:t xml:space="preserve">. </w:t>
      </w:r>
    </w:p>
    <w:p w14:paraId="2031124A" w14:textId="1D5DDAB4" w:rsidR="6DC8D1A1" w:rsidRDefault="6DC8D1A1" w:rsidP="1890523D">
      <w:pPr>
        <w:spacing w:line="259" w:lineRule="auto"/>
      </w:pPr>
    </w:p>
    <w:p w14:paraId="7380AC0C" w14:textId="41516A42" w:rsidR="6DC8D1A1" w:rsidRDefault="1890523D" w:rsidP="1890523D">
      <w:pPr>
        <w:pStyle w:val="ListParagraph"/>
        <w:numPr>
          <w:ilvl w:val="0"/>
          <w:numId w:val="5"/>
        </w:numPr>
        <w:spacing w:line="259" w:lineRule="auto"/>
      </w:pPr>
      <w:commentRangeStart w:id="7"/>
      <w:r>
        <w:t xml:space="preserve">Out of </w:t>
      </w:r>
      <w:r w:rsidR="0072162A">
        <w:t xml:space="preserve">MASLD </w:t>
      </w:r>
      <w:r>
        <w:t>patients without cirrhosis (we will use this one first</w:t>
      </w:r>
      <w:r w:rsidR="0072162A">
        <w:t>. Update 3/5/25: we will further weigh by data for cirrhotic patients</w:t>
      </w:r>
      <w:r>
        <w:t>)</w:t>
      </w:r>
      <w:commentRangeEnd w:id="7"/>
      <w:r w:rsidR="00780036">
        <w:rPr>
          <w:rStyle w:val="CommentReference"/>
          <w:rFonts w:eastAsiaTheme="minorHAnsi"/>
          <w:lang w:eastAsia="en-US"/>
        </w:rPr>
        <w:commentReference w:id="7"/>
      </w:r>
    </w:p>
    <w:p w14:paraId="015850BF" w14:textId="77777777" w:rsidR="00580068" w:rsidRDefault="00580068" w:rsidP="00971B99">
      <w:pPr>
        <w:pStyle w:val="CommentText"/>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316"/>
        <w:gridCol w:w="1158"/>
        <w:gridCol w:w="1158"/>
        <w:gridCol w:w="1158"/>
        <w:gridCol w:w="1158"/>
        <w:gridCol w:w="1158"/>
        <w:gridCol w:w="1159"/>
      </w:tblGrid>
      <w:tr w:rsidR="00580068" w:rsidRPr="00580068" w14:paraId="5A449024" w14:textId="77777777" w:rsidTr="6CD0E11C">
        <w:trPr>
          <w:trHeight w:val="300"/>
        </w:trPr>
        <w:tc>
          <w:tcPr>
            <w:tcW w:w="2316" w:type="dxa"/>
            <w:vAlign w:val="bottom"/>
          </w:tcPr>
          <w:p w14:paraId="314D3E0B" w14:textId="77777777" w:rsidR="00580068" w:rsidRPr="00580068" w:rsidRDefault="00580068" w:rsidP="006A37B7">
            <w:r w:rsidRPr="00580068">
              <w:rPr>
                <w:rFonts w:ascii="Calibri" w:eastAsia="Calibri" w:hAnsi="Calibri" w:cs="Calibri"/>
                <w:color w:val="000000" w:themeColor="text1"/>
              </w:rPr>
              <w:t>First Treatment Type</w:t>
            </w:r>
          </w:p>
        </w:tc>
        <w:tc>
          <w:tcPr>
            <w:tcW w:w="2316" w:type="dxa"/>
            <w:gridSpan w:val="2"/>
            <w:tcMar>
              <w:top w:w="15" w:type="dxa"/>
              <w:left w:w="15" w:type="dxa"/>
              <w:right w:w="15" w:type="dxa"/>
            </w:tcMar>
          </w:tcPr>
          <w:p w14:paraId="7B51FF6D" w14:textId="3163EF11" w:rsidR="00580068" w:rsidRDefault="00580068" w:rsidP="001D78F7">
            <w:pPr>
              <w:rPr>
                <w:rFonts w:ascii="Calibri" w:eastAsia="Calibri" w:hAnsi="Calibri" w:cs="Calibri"/>
                <w:color w:val="000000" w:themeColor="text1"/>
              </w:rPr>
            </w:pPr>
            <w:r w:rsidRPr="00580068">
              <w:rPr>
                <w:rFonts w:ascii="Calibri" w:eastAsia="Calibri" w:hAnsi="Calibri" w:cs="Calibri"/>
                <w:color w:val="000000" w:themeColor="text1"/>
              </w:rPr>
              <w:t>Early</w:t>
            </w:r>
            <w:r>
              <w:rPr>
                <w:rFonts w:ascii="Calibri" w:eastAsia="Calibri" w:hAnsi="Calibri" w:cs="Calibri"/>
                <w:color w:val="000000" w:themeColor="text1"/>
              </w:rPr>
              <w:t xml:space="preserve"> </w:t>
            </w:r>
            <w:r w:rsidR="001D78F7">
              <w:rPr>
                <w:rFonts w:ascii="Calibri" w:eastAsia="Calibri" w:hAnsi="Calibri" w:cs="Calibri"/>
                <w:color w:val="000000" w:themeColor="text1"/>
              </w:rPr>
              <w:t>(TNM stage1)</w:t>
            </w:r>
          </w:p>
          <w:p w14:paraId="05E8BCE4" w14:textId="77777777" w:rsidR="00580068" w:rsidRDefault="00580068" w:rsidP="001D78F7">
            <w:pPr>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450</w:t>
            </w:r>
            <w:r w:rsidR="00914835">
              <w:rPr>
                <w:rFonts w:ascii="Calibri" w:eastAsia="Calibri" w:hAnsi="Calibri" w:cs="Calibri"/>
                <w:color w:val="000000" w:themeColor="text1"/>
              </w:rPr>
              <w:t>, 212 treated</w:t>
            </w:r>
            <w:r>
              <w:rPr>
                <w:rFonts w:ascii="Calibri" w:eastAsia="Calibri" w:hAnsi="Calibri" w:cs="Calibri"/>
                <w:color w:val="000000" w:themeColor="text1"/>
              </w:rPr>
              <w:t>)</w:t>
            </w:r>
          </w:p>
          <w:p w14:paraId="13C0EF79" w14:textId="0B8C2FAB" w:rsidR="00125C25" w:rsidRPr="00580068" w:rsidRDefault="00125C25" w:rsidP="001D78F7">
            <w:pPr>
              <w:pStyle w:val="ListParagraph"/>
              <w:numPr>
                <w:ilvl w:val="0"/>
                <w:numId w:val="18"/>
              </w:numPr>
            </w:pPr>
            <w:r>
              <w:t>47.1% treated</w:t>
            </w:r>
          </w:p>
        </w:tc>
        <w:tc>
          <w:tcPr>
            <w:tcW w:w="2316" w:type="dxa"/>
            <w:gridSpan w:val="2"/>
            <w:tcMar>
              <w:top w:w="15" w:type="dxa"/>
              <w:left w:w="15" w:type="dxa"/>
              <w:right w:w="15" w:type="dxa"/>
            </w:tcMar>
          </w:tcPr>
          <w:p w14:paraId="6BAFC25B" w14:textId="6196F8B9" w:rsidR="00580068" w:rsidRDefault="00580068" w:rsidP="001D78F7">
            <w:pPr>
              <w:spacing w:line="259" w:lineRule="auto"/>
              <w:rPr>
                <w:rFonts w:ascii="Calibri" w:eastAsia="Calibri" w:hAnsi="Calibri" w:cs="Calibri"/>
                <w:color w:val="000000" w:themeColor="text1"/>
              </w:rPr>
            </w:pPr>
            <w:r w:rsidRPr="00580068">
              <w:rPr>
                <w:rFonts w:ascii="Calibri" w:eastAsia="Calibri" w:hAnsi="Calibri" w:cs="Calibri"/>
                <w:color w:val="000000" w:themeColor="text1"/>
              </w:rPr>
              <w:t>Intermediate</w:t>
            </w:r>
            <w:r w:rsidR="001D78F7">
              <w:rPr>
                <w:rFonts w:ascii="Calibri" w:eastAsia="Calibri" w:hAnsi="Calibri" w:cs="Calibri"/>
                <w:color w:val="000000" w:themeColor="text1"/>
              </w:rPr>
              <w:t xml:space="preserve"> (TNM sage 2/3A)</w:t>
            </w:r>
          </w:p>
          <w:p w14:paraId="480EF9CC" w14:textId="77777777" w:rsidR="00580068" w:rsidRDefault="00580068" w:rsidP="001D78F7">
            <w:pPr>
              <w:spacing w:line="259" w:lineRule="auto"/>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376</w:t>
            </w:r>
            <w:r w:rsidR="00914835">
              <w:rPr>
                <w:rFonts w:ascii="Calibri" w:eastAsia="Calibri" w:hAnsi="Calibri" w:cs="Calibri"/>
                <w:color w:val="000000" w:themeColor="text1"/>
              </w:rPr>
              <w:t>, 180 treated</w:t>
            </w:r>
            <w:r>
              <w:rPr>
                <w:rFonts w:ascii="Calibri" w:eastAsia="Calibri" w:hAnsi="Calibri" w:cs="Calibri"/>
                <w:color w:val="000000" w:themeColor="text1"/>
              </w:rPr>
              <w:t>)</w:t>
            </w:r>
          </w:p>
          <w:p w14:paraId="50C00F40" w14:textId="6E61C7FF" w:rsidR="00125C25" w:rsidRPr="00580068" w:rsidRDefault="00125C25" w:rsidP="001D78F7">
            <w:pPr>
              <w:pStyle w:val="ListParagraph"/>
              <w:numPr>
                <w:ilvl w:val="0"/>
                <w:numId w:val="18"/>
              </w:numPr>
              <w:spacing w:line="259" w:lineRule="auto"/>
            </w:pPr>
            <w:r>
              <w:t>47.9% treated</w:t>
            </w:r>
          </w:p>
        </w:tc>
        <w:tc>
          <w:tcPr>
            <w:tcW w:w="2317" w:type="dxa"/>
            <w:gridSpan w:val="2"/>
            <w:tcMar>
              <w:top w:w="15" w:type="dxa"/>
              <w:left w:w="15" w:type="dxa"/>
              <w:right w:w="15" w:type="dxa"/>
            </w:tcMar>
          </w:tcPr>
          <w:p w14:paraId="7315DD31" w14:textId="27278953" w:rsidR="00580068" w:rsidRDefault="00580068" w:rsidP="001D78F7">
            <w:pPr>
              <w:spacing w:line="259" w:lineRule="auto"/>
              <w:rPr>
                <w:rFonts w:ascii="Calibri" w:eastAsia="Calibri" w:hAnsi="Calibri" w:cs="Calibri"/>
                <w:color w:val="000000" w:themeColor="text1"/>
              </w:rPr>
            </w:pPr>
            <w:r w:rsidRPr="00580068">
              <w:rPr>
                <w:rFonts w:ascii="Calibri" w:eastAsia="Calibri" w:hAnsi="Calibri" w:cs="Calibri"/>
                <w:color w:val="000000" w:themeColor="text1"/>
              </w:rPr>
              <w:t>Late</w:t>
            </w:r>
            <w:r w:rsidR="001D78F7">
              <w:rPr>
                <w:rFonts w:ascii="Calibri" w:eastAsia="Calibri" w:hAnsi="Calibri" w:cs="Calibri"/>
                <w:color w:val="000000" w:themeColor="text1"/>
              </w:rPr>
              <w:t xml:space="preserve"> (TNM stage 3B/3C/4)</w:t>
            </w:r>
          </w:p>
          <w:p w14:paraId="696AD310" w14:textId="77777777" w:rsidR="00580068" w:rsidRDefault="00580068" w:rsidP="001D78F7">
            <w:pPr>
              <w:spacing w:line="259" w:lineRule="auto"/>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372</w:t>
            </w:r>
            <w:r w:rsidR="00914835">
              <w:rPr>
                <w:rFonts w:ascii="Calibri" w:eastAsia="Calibri" w:hAnsi="Calibri" w:cs="Calibri"/>
                <w:color w:val="000000" w:themeColor="text1"/>
              </w:rPr>
              <w:t>, 140 treated</w:t>
            </w:r>
            <w:r>
              <w:rPr>
                <w:rFonts w:ascii="Calibri" w:eastAsia="Calibri" w:hAnsi="Calibri" w:cs="Calibri"/>
                <w:color w:val="000000" w:themeColor="text1"/>
              </w:rPr>
              <w:t>)</w:t>
            </w:r>
          </w:p>
          <w:p w14:paraId="28D3A3ED" w14:textId="6F9D8959" w:rsidR="00125C25" w:rsidRPr="00580068" w:rsidRDefault="00125C25" w:rsidP="001D78F7">
            <w:pPr>
              <w:pStyle w:val="ListParagraph"/>
              <w:numPr>
                <w:ilvl w:val="0"/>
                <w:numId w:val="18"/>
              </w:numPr>
              <w:spacing w:line="259" w:lineRule="auto"/>
            </w:pPr>
            <w:r>
              <w:t>37.6% treated</w:t>
            </w:r>
          </w:p>
        </w:tc>
      </w:tr>
      <w:tr w:rsidR="005F3021" w:rsidRPr="00580068" w14:paraId="5DC95D2E" w14:textId="77777777" w:rsidTr="6CD0E11C">
        <w:trPr>
          <w:trHeight w:val="300"/>
        </w:trPr>
        <w:tc>
          <w:tcPr>
            <w:tcW w:w="2316" w:type="dxa"/>
            <w:tcMar>
              <w:top w:w="15" w:type="dxa"/>
              <w:left w:w="15" w:type="dxa"/>
              <w:right w:w="15" w:type="dxa"/>
            </w:tcMar>
            <w:vAlign w:val="bottom"/>
          </w:tcPr>
          <w:p w14:paraId="135A9524" w14:textId="77777777" w:rsidR="005F3021" w:rsidRPr="00580068" w:rsidRDefault="005F3021" w:rsidP="00580068">
            <w:r w:rsidRPr="00580068">
              <w:rPr>
                <w:rFonts w:ascii="Calibri" w:eastAsia="Calibri" w:hAnsi="Calibri" w:cs="Calibri"/>
                <w:color w:val="000000" w:themeColor="text1"/>
              </w:rPr>
              <w:t>Ablation</w:t>
            </w:r>
          </w:p>
        </w:tc>
        <w:tc>
          <w:tcPr>
            <w:tcW w:w="1158" w:type="dxa"/>
            <w:tcMar>
              <w:top w:w="15" w:type="dxa"/>
              <w:left w:w="15" w:type="dxa"/>
              <w:right w:w="15" w:type="dxa"/>
            </w:tcMar>
            <w:vAlign w:val="bottom"/>
          </w:tcPr>
          <w:p w14:paraId="70C314F2" w14:textId="06CE6EB3" w:rsidR="005F3021" w:rsidRPr="00580068" w:rsidRDefault="005F3021" w:rsidP="00580068">
            <w:r w:rsidRPr="50448BAA">
              <w:rPr>
                <w:rFonts w:ascii="Calibri" w:eastAsia="Calibri" w:hAnsi="Calibri" w:cs="Calibri"/>
                <w:color w:val="000000" w:themeColor="text1"/>
                <w:sz w:val="22"/>
                <w:szCs w:val="22"/>
              </w:rPr>
              <w:t>18 (4.0)</w:t>
            </w:r>
            <w:r>
              <w:rPr>
                <w:rFonts w:ascii="Calibri" w:eastAsia="Calibri" w:hAnsi="Calibri" w:cs="Calibri"/>
                <w:color w:val="000000" w:themeColor="text1"/>
                <w:sz w:val="22"/>
                <w:szCs w:val="22"/>
              </w:rPr>
              <w:t xml:space="preserve">  </w:t>
            </w:r>
          </w:p>
        </w:tc>
        <w:tc>
          <w:tcPr>
            <w:tcW w:w="1158" w:type="dxa"/>
            <w:vAlign w:val="bottom"/>
          </w:tcPr>
          <w:p w14:paraId="15183450" w14:textId="38797037"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8.5%</w:t>
            </w:r>
          </w:p>
        </w:tc>
        <w:tc>
          <w:tcPr>
            <w:tcW w:w="1158" w:type="dxa"/>
            <w:tcMar>
              <w:top w:w="15" w:type="dxa"/>
              <w:left w:w="15" w:type="dxa"/>
              <w:right w:w="15" w:type="dxa"/>
            </w:tcMar>
            <w:vAlign w:val="bottom"/>
          </w:tcPr>
          <w:p w14:paraId="6A8C04EC" w14:textId="5DAEF0D3" w:rsidR="005F3021" w:rsidRPr="00580068" w:rsidRDefault="005F3021" w:rsidP="00580068">
            <w:r w:rsidRPr="50448BAA">
              <w:rPr>
                <w:rFonts w:ascii="Calibri" w:eastAsia="Calibri" w:hAnsi="Calibri" w:cs="Calibri"/>
                <w:color w:val="000000" w:themeColor="text1"/>
                <w:sz w:val="22"/>
                <w:szCs w:val="22"/>
              </w:rPr>
              <w:t>12 (3.2)</w:t>
            </w:r>
            <w:r>
              <w:rPr>
                <w:rFonts w:ascii="Calibri" w:eastAsia="Calibri" w:hAnsi="Calibri" w:cs="Calibri"/>
                <w:color w:val="000000" w:themeColor="text1"/>
                <w:sz w:val="22"/>
                <w:szCs w:val="22"/>
              </w:rPr>
              <w:t xml:space="preserve">   </w:t>
            </w:r>
          </w:p>
        </w:tc>
        <w:tc>
          <w:tcPr>
            <w:tcW w:w="1158" w:type="dxa"/>
            <w:vAlign w:val="bottom"/>
          </w:tcPr>
          <w:p w14:paraId="5C9B974F" w14:textId="1B59C1AB"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6.6%</w:t>
            </w:r>
          </w:p>
        </w:tc>
        <w:tc>
          <w:tcPr>
            <w:tcW w:w="1158" w:type="dxa"/>
            <w:tcMar>
              <w:top w:w="15" w:type="dxa"/>
              <w:left w:w="15" w:type="dxa"/>
              <w:right w:w="15" w:type="dxa"/>
            </w:tcMar>
            <w:vAlign w:val="bottom"/>
          </w:tcPr>
          <w:p w14:paraId="158892D6" w14:textId="15083736" w:rsidR="005F3021" w:rsidRPr="00580068" w:rsidRDefault="005F3021" w:rsidP="00580068">
            <w:r w:rsidRPr="50448BAA">
              <w:rPr>
                <w:rFonts w:ascii="Calibri" w:eastAsia="Calibri" w:hAnsi="Calibri" w:cs="Calibri"/>
                <w:color w:val="000000" w:themeColor="text1"/>
                <w:sz w:val="22"/>
                <w:szCs w:val="22"/>
              </w:rPr>
              <w:t>1 (0.3)</w:t>
            </w:r>
            <w:r>
              <w:rPr>
                <w:rFonts w:ascii="Calibri" w:eastAsia="Calibri" w:hAnsi="Calibri" w:cs="Calibri"/>
                <w:color w:val="000000" w:themeColor="text1"/>
                <w:sz w:val="22"/>
                <w:szCs w:val="22"/>
              </w:rPr>
              <w:t xml:space="preserve">  </w:t>
            </w:r>
          </w:p>
        </w:tc>
        <w:tc>
          <w:tcPr>
            <w:tcW w:w="1159" w:type="dxa"/>
            <w:vAlign w:val="bottom"/>
          </w:tcPr>
          <w:p w14:paraId="58089F05" w14:textId="773AE1AA"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0.7%</w:t>
            </w:r>
          </w:p>
        </w:tc>
      </w:tr>
      <w:tr w:rsidR="005F3021" w:rsidRPr="00580068" w14:paraId="2DCDF0E2" w14:textId="77777777" w:rsidTr="6CD0E11C">
        <w:trPr>
          <w:trHeight w:val="300"/>
        </w:trPr>
        <w:tc>
          <w:tcPr>
            <w:tcW w:w="2316" w:type="dxa"/>
            <w:tcMar>
              <w:top w:w="15" w:type="dxa"/>
              <w:left w:w="15" w:type="dxa"/>
              <w:right w:w="15" w:type="dxa"/>
            </w:tcMar>
            <w:vAlign w:val="bottom"/>
          </w:tcPr>
          <w:p w14:paraId="110889CD" w14:textId="77777777" w:rsidR="005F3021" w:rsidRPr="00580068" w:rsidRDefault="005F3021" w:rsidP="00580068">
            <w:r w:rsidRPr="00580068">
              <w:rPr>
                <w:rFonts w:ascii="Calibri" w:eastAsia="Calibri" w:hAnsi="Calibri" w:cs="Calibri"/>
                <w:color w:val="000000" w:themeColor="text1"/>
              </w:rPr>
              <w:t>Radiotherapy</w:t>
            </w:r>
          </w:p>
        </w:tc>
        <w:tc>
          <w:tcPr>
            <w:tcW w:w="1158" w:type="dxa"/>
            <w:tcMar>
              <w:top w:w="15" w:type="dxa"/>
              <w:left w:w="15" w:type="dxa"/>
              <w:right w:w="15" w:type="dxa"/>
            </w:tcMar>
            <w:vAlign w:val="bottom"/>
          </w:tcPr>
          <w:p w14:paraId="66BAB502" w14:textId="674110DD" w:rsidR="005F3021" w:rsidRPr="00580068" w:rsidRDefault="005F3021" w:rsidP="00580068">
            <w:r w:rsidRPr="50448BAA">
              <w:rPr>
                <w:rFonts w:ascii="Calibri" w:eastAsia="Calibri" w:hAnsi="Calibri" w:cs="Calibri"/>
                <w:color w:val="000000" w:themeColor="text1"/>
                <w:sz w:val="22"/>
                <w:szCs w:val="22"/>
              </w:rPr>
              <w:t>2 (0.4)</w:t>
            </w:r>
            <w:r>
              <w:rPr>
                <w:rFonts w:ascii="Calibri" w:eastAsia="Calibri" w:hAnsi="Calibri" w:cs="Calibri"/>
                <w:color w:val="000000" w:themeColor="text1"/>
                <w:sz w:val="22"/>
                <w:szCs w:val="22"/>
              </w:rPr>
              <w:t xml:space="preserve">   </w:t>
            </w:r>
          </w:p>
        </w:tc>
        <w:tc>
          <w:tcPr>
            <w:tcW w:w="1158" w:type="dxa"/>
            <w:vAlign w:val="bottom"/>
          </w:tcPr>
          <w:p w14:paraId="0F9B3A05" w14:textId="4630E280"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0.9%</w:t>
            </w:r>
          </w:p>
        </w:tc>
        <w:tc>
          <w:tcPr>
            <w:tcW w:w="1158" w:type="dxa"/>
            <w:tcMar>
              <w:top w:w="15" w:type="dxa"/>
              <w:left w:w="15" w:type="dxa"/>
              <w:right w:w="15" w:type="dxa"/>
            </w:tcMar>
            <w:vAlign w:val="bottom"/>
          </w:tcPr>
          <w:p w14:paraId="656E3892" w14:textId="06933A32" w:rsidR="005F3021" w:rsidRPr="00580068" w:rsidRDefault="005F3021" w:rsidP="00580068">
            <w:r w:rsidRPr="50448BAA">
              <w:rPr>
                <w:rFonts w:ascii="Calibri" w:eastAsia="Calibri" w:hAnsi="Calibri" w:cs="Calibri"/>
                <w:color w:val="000000" w:themeColor="text1"/>
                <w:sz w:val="22"/>
                <w:szCs w:val="22"/>
              </w:rPr>
              <w:t>0 (0.0)</w:t>
            </w:r>
            <w:r>
              <w:rPr>
                <w:rFonts w:ascii="Calibri" w:eastAsia="Calibri" w:hAnsi="Calibri" w:cs="Calibri"/>
                <w:color w:val="000000" w:themeColor="text1"/>
                <w:sz w:val="22"/>
                <w:szCs w:val="22"/>
              </w:rPr>
              <w:t xml:space="preserve">   </w:t>
            </w:r>
          </w:p>
        </w:tc>
        <w:tc>
          <w:tcPr>
            <w:tcW w:w="1158" w:type="dxa"/>
            <w:vAlign w:val="bottom"/>
          </w:tcPr>
          <w:p w14:paraId="510D7C4D" w14:textId="592C3B8C"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w:t>
            </w:r>
          </w:p>
        </w:tc>
        <w:tc>
          <w:tcPr>
            <w:tcW w:w="1158" w:type="dxa"/>
            <w:tcMar>
              <w:top w:w="15" w:type="dxa"/>
              <w:left w:w="15" w:type="dxa"/>
              <w:right w:w="15" w:type="dxa"/>
            </w:tcMar>
            <w:vAlign w:val="bottom"/>
          </w:tcPr>
          <w:p w14:paraId="1C3CB5FF" w14:textId="3896E46E" w:rsidR="005F3021" w:rsidRPr="00580068" w:rsidRDefault="005F3021" w:rsidP="00580068">
            <w:r w:rsidRPr="50448BAA">
              <w:rPr>
                <w:rFonts w:ascii="Calibri" w:eastAsia="Calibri" w:hAnsi="Calibri" w:cs="Calibri"/>
                <w:color w:val="000000" w:themeColor="text1"/>
                <w:sz w:val="22"/>
                <w:szCs w:val="22"/>
              </w:rPr>
              <w:t>5 (1.3)</w:t>
            </w:r>
            <w:r>
              <w:rPr>
                <w:rFonts w:ascii="Calibri" w:eastAsia="Calibri" w:hAnsi="Calibri" w:cs="Calibri"/>
                <w:color w:val="000000" w:themeColor="text1"/>
                <w:sz w:val="22"/>
                <w:szCs w:val="22"/>
              </w:rPr>
              <w:t xml:space="preserve">   </w:t>
            </w:r>
          </w:p>
        </w:tc>
        <w:tc>
          <w:tcPr>
            <w:tcW w:w="1159" w:type="dxa"/>
            <w:vAlign w:val="bottom"/>
          </w:tcPr>
          <w:p w14:paraId="0D666F71" w14:textId="0FC61BDE"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3.6%</w:t>
            </w:r>
          </w:p>
        </w:tc>
      </w:tr>
      <w:tr w:rsidR="005F3021" w:rsidRPr="00580068" w14:paraId="255AF287" w14:textId="77777777" w:rsidTr="6CD0E11C">
        <w:trPr>
          <w:trHeight w:val="300"/>
        </w:trPr>
        <w:tc>
          <w:tcPr>
            <w:tcW w:w="2316" w:type="dxa"/>
            <w:tcMar>
              <w:top w:w="15" w:type="dxa"/>
              <w:left w:w="15" w:type="dxa"/>
              <w:right w:w="15" w:type="dxa"/>
            </w:tcMar>
            <w:vAlign w:val="bottom"/>
          </w:tcPr>
          <w:p w14:paraId="509ED5BB" w14:textId="77777777" w:rsidR="005F3021" w:rsidRPr="00580068" w:rsidRDefault="005F3021" w:rsidP="00580068">
            <w:r w:rsidRPr="00580068">
              <w:rPr>
                <w:rFonts w:ascii="Calibri" w:eastAsia="Calibri" w:hAnsi="Calibri" w:cs="Calibri"/>
                <w:color w:val="000000" w:themeColor="text1"/>
              </w:rPr>
              <w:t>Resection</w:t>
            </w:r>
          </w:p>
        </w:tc>
        <w:tc>
          <w:tcPr>
            <w:tcW w:w="1158" w:type="dxa"/>
            <w:tcMar>
              <w:top w:w="15" w:type="dxa"/>
              <w:left w:w="15" w:type="dxa"/>
              <w:right w:w="15" w:type="dxa"/>
            </w:tcMar>
            <w:vAlign w:val="bottom"/>
          </w:tcPr>
          <w:p w14:paraId="46F3F383" w14:textId="4CC86B99" w:rsidR="005F3021" w:rsidRPr="00580068" w:rsidRDefault="005F3021" w:rsidP="00580068">
            <w:r w:rsidRPr="50448BAA">
              <w:rPr>
                <w:rFonts w:ascii="Calibri" w:eastAsia="Calibri" w:hAnsi="Calibri" w:cs="Calibri"/>
                <w:color w:val="000000" w:themeColor="text1"/>
                <w:sz w:val="22"/>
                <w:szCs w:val="22"/>
              </w:rPr>
              <w:t>72 (16.0)</w:t>
            </w:r>
            <w:r>
              <w:rPr>
                <w:rFonts w:ascii="Calibri" w:eastAsia="Calibri" w:hAnsi="Calibri" w:cs="Calibri"/>
                <w:color w:val="000000" w:themeColor="text1"/>
                <w:sz w:val="22"/>
                <w:szCs w:val="22"/>
              </w:rPr>
              <w:t xml:space="preserve">  </w:t>
            </w:r>
          </w:p>
        </w:tc>
        <w:tc>
          <w:tcPr>
            <w:tcW w:w="1158" w:type="dxa"/>
            <w:vAlign w:val="bottom"/>
          </w:tcPr>
          <w:p w14:paraId="787A59A5" w14:textId="3FD4B2B6"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34.0%</w:t>
            </w:r>
          </w:p>
        </w:tc>
        <w:tc>
          <w:tcPr>
            <w:tcW w:w="1158" w:type="dxa"/>
            <w:tcMar>
              <w:top w:w="15" w:type="dxa"/>
              <w:left w:w="15" w:type="dxa"/>
              <w:right w:w="15" w:type="dxa"/>
            </w:tcMar>
            <w:vAlign w:val="bottom"/>
          </w:tcPr>
          <w:p w14:paraId="47D2C973" w14:textId="34DCD7E8" w:rsidR="005F3021" w:rsidRPr="00580068" w:rsidRDefault="005F3021" w:rsidP="00580068">
            <w:r w:rsidRPr="50448BAA">
              <w:rPr>
                <w:rFonts w:ascii="Calibri" w:eastAsia="Calibri" w:hAnsi="Calibri" w:cs="Calibri"/>
                <w:color w:val="000000" w:themeColor="text1"/>
                <w:sz w:val="22"/>
                <w:szCs w:val="22"/>
              </w:rPr>
              <w:t>36 (9.6)</w:t>
            </w:r>
            <w:r>
              <w:rPr>
                <w:rFonts w:ascii="Calibri" w:eastAsia="Calibri" w:hAnsi="Calibri" w:cs="Calibri"/>
                <w:color w:val="000000" w:themeColor="text1"/>
                <w:sz w:val="22"/>
                <w:szCs w:val="22"/>
              </w:rPr>
              <w:t xml:space="preserve">   </w:t>
            </w:r>
          </w:p>
        </w:tc>
        <w:tc>
          <w:tcPr>
            <w:tcW w:w="1158" w:type="dxa"/>
            <w:vAlign w:val="bottom"/>
          </w:tcPr>
          <w:p w14:paraId="08CE12AB" w14:textId="1753A7BD"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20%</w:t>
            </w:r>
          </w:p>
        </w:tc>
        <w:tc>
          <w:tcPr>
            <w:tcW w:w="1158" w:type="dxa"/>
            <w:shd w:val="clear" w:color="auto" w:fill="auto"/>
            <w:tcMar>
              <w:top w:w="15" w:type="dxa"/>
              <w:left w:w="15" w:type="dxa"/>
              <w:right w:w="15" w:type="dxa"/>
            </w:tcMar>
            <w:vAlign w:val="bottom"/>
          </w:tcPr>
          <w:p w14:paraId="0BBC56AC" w14:textId="2038EEE4" w:rsidR="005F3021" w:rsidRPr="00580068" w:rsidRDefault="005F3021" w:rsidP="00580068">
            <w:r w:rsidRPr="00971B99">
              <w:rPr>
                <w:rFonts w:ascii="Calibri" w:eastAsia="Calibri" w:hAnsi="Calibri" w:cs="Calibri"/>
                <w:color w:val="FF0000"/>
                <w:sz w:val="22"/>
                <w:szCs w:val="22"/>
              </w:rPr>
              <w:t>5 (</w:t>
            </w:r>
            <w:proofErr w:type="gramStart"/>
            <w:r w:rsidRPr="00971B99">
              <w:rPr>
                <w:rFonts w:ascii="Calibri" w:eastAsia="Calibri" w:hAnsi="Calibri" w:cs="Calibri"/>
                <w:color w:val="FF0000"/>
                <w:sz w:val="22"/>
                <w:szCs w:val="22"/>
              </w:rPr>
              <w:t>1.3)*</w:t>
            </w:r>
            <w:proofErr w:type="gramEnd"/>
            <w:r w:rsidRPr="00971B99">
              <w:rPr>
                <w:rFonts w:ascii="Calibri" w:eastAsia="Calibri" w:hAnsi="Calibri" w:cs="Calibri"/>
                <w:color w:val="FF0000"/>
                <w:sz w:val="22"/>
                <w:szCs w:val="22"/>
              </w:rPr>
              <w:t xml:space="preserve"> </w:t>
            </w:r>
            <w:r>
              <w:rPr>
                <w:rFonts w:ascii="Calibri" w:eastAsia="Calibri" w:hAnsi="Calibri" w:cs="Calibri"/>
                <w:color w:val="FF0000"/>
                <w:sz w:val="22"/>
                <w:szCs w:val="22"/>
              </w:rPr>
              <w:t xml:space="preserve">  </w:t>
            </w:r>
          </w:p>
        </w:tc>
        <w:tc>
          <w:tcPr>
            <w:tcW w:w="1159" w:type="dxa"/>
            <w:shd w:val="clear" w:color="auto" w:fill="auto"/>
            <w:vAlign w:val="bottom"/>
          </w:tcPr>
          <w:p w14:paraId="64AEEA2F" w14:textId="43316F6E" w:rsidR="005F3021" w:rsidRPr="005A7FC2" w:rsidRDefault="005F3021" w:rsidP="00580068">
            <w:pPr>
              <w:rPr>
                <w:highlight w:val="cyan"/>
              </w:rPr>
            </w:pPr>
            <w:r w:rsidRPr="005A7FC2">
              <w:rPr>
                <w:rFonts w:ascii="Calibri" w:eastAsia="Calibri" w:hAnsi="Calibri" w:cs="Calibri"/>
                <w:color w:val="FF0000"/>
                <w:sz w:val="22"/>
                <w:szCs w:val="22"/>
                <w:highlight w:val="cyan"/>
              </w:rPr>
              <w:t>0%</w:t>
            </w:r>
          </w:p>
        </w:tc>
      </w:tr>
      <w:tr w:rsidR="005F3021" w:rsidRPr="00580068" w14:paraId="670E1622" w14:textId="77777777" w:rsidTr="6CD0E11C">
        <w:trPr>
          <w:trHeight w:val="300"/>
        </w:trPr>
        <w:tc>
          <w:tcPr>
            <w:tcW w:w="2316" w:type="dxa"/>
            <w:tcMar>
              <w:top w:w="15" w:type="dxa"/>
              <w:left w:w="15" w:type="dxa"/>
              <w:right w:w="15" w:type="dxa"/>
            </w:tcMar>
            <w:vAlign w:val="bottom"/>
          </w:tcPr>
          <w:p w14:paraId="2D16FCA3" w14:textId="77777777" w:rsidR="005F3021" w:rsidRPr="00580068" w:rsidRDefault="005F3021" w:rsidP="00580068">
            <w:r w:rsidRPr="00580068">
              <w:rPr>
                <w:rFonts w:ascii="Calibri" w:eastAsia="Calibri" w:hAnsi="Calibri" w:cs="Calibri"/>
                <w:color w:val="000000" w:themeColor="text1"/>
              </w:rPr>
              <w:t>Systemic</w:t>
            </w:r>
          </w:p>
        </w:tc>
        <w:tc>
          <w:tcPr>
            <w:tcW w:w="1158" w:type="dxa"/>
            <w:tcMar>
              <w:top w:w="15" w:type="dxa"/>
              <w:left w:w="15" w:type="dxa"/>
              <w:right w:w="15" w:type="dxa"/>
            </w:tcMar>
            <w:vAlign w:val="bottom"/>
          </w:tcPr>
          <w:p w14:paraId="6FE672AD" w14:textId="0F403CF7" w:rsidR="005F3021" w:rsidRPr="00580068" w:rsidRDefault="005F3021" w:rsidP="2E48956A">
            <w:pPr>
              <w:rPr>
                <w:rFonts w:ascii="Calibri" w:eastAsia="Calibri" w:hAnsi="Calibri" w:cs="Calibri"/>
                <w:color w:val="000000" w:themeColor="text1"/>
                <w:sz w:val="22"/>
                <w:szCs w:val="22"/>
              </w:rPr>
            </w:pPr>
            <w:r w:rsidRPr="2E48956A">
              <w:rPr>
                <w:rFonts w:ascii="Calibri" w:eastAsia="Calibri" w:hAnsi="Calibri" w:cs="Calibri"/>
                <w:color w:val="000000" w:themeColor="text1"/>
                <w:sz w:val="22"/>
                <w:szCs w:val="22"/>
              </w:rPr>
              <w:t>50 (11.1)</w:t>
            </w:r>
            <w:r>
              <w:rPr>
                <w:rFonts w:ascii="Calibri" w:eastAsia="Calibri" w:hAnsi="Calibri" w:cs="Calibri"/>
                <w:color w:val="000000" w:themeColor="text1"/>
                <w:sz w:val="22"/>
                <w:szCs w:val="22"/>
              </w:rPr>
              <w:t xml:space="preserve">   </w:t>
            </w:r>
          </w:p>
        </w:tc>
        <w:tc>
          <w:tcPr>
            <w:tcW w:w="1158" w:type="dxa"/>
            <w:vAlign w:val="bottom"/>
          </w:tcPr>
          <w:p w14:paraId="65E6B9A7" w14:textId="2E6F9963" w:rsidR="005F3021" w:rsidRPr="005A7FC2" w:rsidRDefault="005F3021" w:rsidP="2E48956A">
            <w:pPr>
              <w:rPr>
                <w:rFonts w:ascii="Calibri" w:eastAsia="Calibri" w:hAnsi="Calibri" w:cs="Calibri"/>
                <w:color w:val="000000" w:themeColor="text1"/>
                <w:sz w:val="22"/>
                <w:szCs w:val="22"/>
                <w:highlight w:val="cyan"/>
              </w:rPr>
            </w:pPr>
            <w:r w:rsidRPr="005A7FC2">
              <w:rPr>
                <w:rFonts w:ascii="Calibri" w:eastAsia="Calibri" w:hAnsi="Calibri" w:cs="Calibri"/>
                <w:color w:val="000000" w:themeColor="text1"/>
                <w:sz w:val="22"/>
                <w:szCs w:val="22"/>
                <w:highlight w:val="cyan"/>
              </w:rPr>
              <w:t>23.6%</w:t>
            </w:r>
          </w:p>
        </w:tc>
        <w:tc>
          <w:tcPr>
            <w:tcW w:w="1158" w:type="dxa"/>
            <w:tcMar>
              <w:top w:w="15" w:type="dxa"/>
              <w:left w:w="15" w:type="dxa"/>
              <w:right w:w="15" w:type="dxa"/>
            </w:tcMar>
            <w:vAlign w:val="bottom"/>
          </w:tcPr>
          <w:p w14:paraId="6AA8BF47" w14:textId="3ED4623D" w:rsidR="005F3021" w:rsidRPr="00580068" w:rsidRDefault="005F3021" w:rsidP="00580068">
            <w:r w:rsidRPr="50448BAA">
              <w:rPr>
                <w:rFonts w:ascii="Calibri" w:eastAsia="Calibri" w:hAnsi="Calibri" w:cs="Calibri"/>
                <w:color w:val="000000" w:themeColor="text1"/>
                <w:sz w:val="22"/>
                <w:szCs w:val="22"/>
              </w:rPr>
              <w:t>68 (18.1)</w:t>
            </w:r>
            <w:r>
              <w:rPr>
                <w:rFonts w:ascii="Calibri" w:eastAsia="Calibri" w:hAnsi="Calibri" w:cs="Calibri"/>
                <w:color w:val="000000" w:themeColor="text1"/>
                <w:sz w:val="22"/>
                <w:szCs w:val="22"/>
              </w:rPr>
              <w:t xml:space="preserve">   </w:t>
            </w:r>
          </w:p>
        </w:tc>
        <w:tc>
          <w:tcPr>
            <w:tcW w:w="1158" w:type="dxa"/>
            <w:vAlign w:val="bottom"/>
          </w:tcPr>
          <w:p w14:paraId="5F6D1D99" w14:textId="74C99C44"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37.8%</w:t>
            </w:r>
          </w:p>
        </w:tc>
        <w:tc>
          <w:tcPr>
            <w:tcW w:w="1158" w:type="dxa"/>
            <w:tcMar>
              <w:top w:w="15" w:type="dxa"/>
              <w:left w:w="15" w:type="dxa"/>
              <w:right w:w="15" w:type="dxa"/>
            </w:tcMar>
            <w:vAlign w:val="bottom"/>
          </w:tcPr>
          <w:p w14:paraId="7CC0D21F" w14:textId="7E343A86" w:rsidR="005F3021" w:rsidRPr="00580068" w:rsidRDefault="005F3021" w:rsidP="00580068">
            <w:r w:rsidRPr="50448BAA">
              <w:rPr>
                <w:rFonts w:ascii="Calibri" w:eastAsia="Calibri" w:hAnsi="Calibri" w:cs="Calibri"/>
                <w:color w:val="000000" w:themeColor="text1"/>
                <w:sz w:val="22"/>
                <w:szCs w:val="22"/>
              </w:rPr>
              <w:t>94 (25.3)</w:t>
            </w:r>
            <w:r>
              <w:rPr>
                <w:rFonts w:ascii="Calibri" w:eastAsia="Calibri" w:hAnsi="Calibri" w:cs="Calibri"/>
                <w:color w:val="000000" w:themeColor="text1"/>
                <w:sz w:val="22"/>
                <w:szCs w:val="22"/>
              </w:rPr>
              <w:t xml:space="preserve">   </w:t>
            </w:r>
          </w:p>
        </w:tc>
        <w:tc>
          <w:tcPr>
            <w:tcW w:w="1159" w:type="dxa"/>
            <w:vAlign w:val="bottom"/>
          </w:tcPr>
          <w:p w14:paraId="78155FEE" w14:textId="34B60FF4"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67.1%</w:t>
            </w:r>
          </w:p>
        </w:tc>
      </w:tr>
      <w:tr w:rsidR="005F3021" w:rsidRPr="00580068" w14:paraId="1BC3DA49" w14:textId="77777777" w:rsidTr="6CD0E11C">
        <w:trPr>
          <w:trHeight w:val="300"/>
        </w:trPr>
        <w:tc>
          <w:tcPr>
            <w:tcW w:w="2316" w:type="dxa"/>
            <w:tcMar>
              <w:top w:w="15" w:type="dxa"/>
              <w:left w:w="15" w:type="dxa"/>
              <w:right w:w="15" w:type="dxa"/>
            </w:tcMar>
            <w:vAlign w:val="bottom"/>
          </w:tcPr>
          <w:p w14:paraId="22740D1D" w14:textId="77777777" w:rsidR="005F3021" w:rsidRPr="00580068" w:rsidRDefault="005F3021" w:rsidP="00580068">
            <w:r w:rsidRPr="00580068">
              <w:rPr>
                <w:rFonts w:ascii="Calibri" w:eastAsia="Calibri" w:hAnsi="Calibri" w:cs="Calibri"/>
                <w:color w:val="000000" w:themeColor="text1"/>
              </w:rPr>
              <w:t>TACE</w:t>
            </w:r>
          </w:p>
        </w:tc>
        <w:tc>
          <w:tcPr>
            <w:tcW w:w="1158" w:type="dxa"/>
            <w:tcMar>
              <w:top w:w="15" w:type="dxa"/>
              <w:left w:w="15" w:type="dxa"/>
              <w:right w:w="15" w:type="dxa"/>
            </w:tcMar>
            <w:vAlign w:val="bottom"/>
          </w:tcPr>
          <w:p w14:paraId="2ACA7BD4" w14:textId="4DC7EFA7" w:rsidR="005F3021" w:rsidRPr="00580068" w:rsidRDefault="005F3021" w:rsidP="00580068">
            <w:r w:rsidRPr="50448BAA">
              <w:rPr>
                <w:rFonts w:ascii="Calibri" w:eastAsia="Calibri" w:hAnsi="Calibri" w:cs="Calibri"/>
                <w:color w:val="000000" w:themeColor="text1"/>
                <w:sz w:val="22"/>
                <w:szCs w:val="22"/>
              </w:rPr>
              <w:t>65 (14.4)</w:t>
            </w:r>
            <w:r>
              <w:rPr>
                <w:rFonts w:ascii="Calibri" w:eastAsia="Calibri" w:hAnsi="Calibri" w:cs="Calibri"/>
                <w:color w:val="000000" w:themeColor="text1"/>
                <w:sz w:val="22"/>
                <w:szCs w:val="22"/>
              </w:rPr>
              <w:t xml:space="preserve">    </w:t>
            </w:r>
          </w:p>
        </w:tc>
        <w:tc>
          <w:tcPr>
            <w:tcW w:w="1158" w:type="dxa"/>
            <w:vAlign w:val="bottom"/>
          </w:tcPr>
          <w:p w14:paraId="5927E78D" w14:textId="0A41C532"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30.7%</w:t>
            </w:r>
          </w:p>
        </w:tc>
        <w:tc>
          <w:tcPr>
            <w:tcW w:w="1158" w:type="dxa"/>
            <w:tcMar>
              <w:top w:w="15" w:type="dxa"/>
              <w:left w:w="15" w:type="dxa"/>
              <w:right w:w="15" w:type="dxa"/>
            </w:tcMar>
            <w:vAlign w:val="bottom"/>
          </w:tcPr>
          <w:p w14:paraId="67457676" w14:textId="67F54CC3" w:rsidR="005F3021" w:rsidRPr="00580068" w:rsidRDefault="005F3021" w:rsidP="00580068">
            <w:r w:rsidRPr="50448BAA">
              <w:rPr>
                <w:rFonts w:ascii="Calibri" w:eastAsia="Calibri" w:hAnsi="Calibri" w:cs="Calibri"/>
                <w:color w:val="000000" w:themeColor="text1"/>
                <w:sz w:val="22"/>
                <w:szCs w:val="22"/>
              </w:rPr>
              <w:t>59 (15.7)</w:t>
            </w:r>
            <w:r>
              <w:rPr>
                <w:rFonts w:ascii="Calibri" w:eastAsia="Calibri" w:hAnsi="Calibri" w:cs="Calibri"/>
                <w:color w:val="000000" w:themeColor="text1"/>
                <w:sz w:val="22"/>
                <w:szCs w:val="22"/>
              </w:rPr>
              <w:t xml:space="preserve">   </w:t>
            </w:r>
          </w:p>
        </w:tc>
        <w:tc>
          <w:tcPr>
            <w:tcW w:w="1158" w:type="dxa"/>
            <w:vAlign w:val="bottom"/>
          </w:tcPr>
          <w:p w14:paraId="6AEAFA24" w14:textId="488ED0B2"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32.8%</w:t>
            </w:r>
          </w:p>
        </w:tc>
        <w:tc>
          <w:tcPr>
            <w:tcW w:w="1158" w:type="dxa"/>
            <w:tcMar>
              <w:top w:w="15" w:type="dxa"/>
              <w:left w:w="15" w:type="dxa"/>
              <w:right w:w="15" w:type="dxa"/>
            </w:tcMar>
            <w:vAlign w:val="bottom"/>
          </w:tcPr>
          <w:p w14:paraId="24033263" w14:textId="4D7119DC" w:rsidR="005F3021" w:rsidRPr="00580068" w:rsidRDefault="005F3021" w:rsidP="00580068">
            <w:r w:rsidRPr="50448BAA">
              <w:rPr>
                <w:rFonts w:ascii="Calibri" w:eastAsia="Calibri" w:hAnsi="Calibri" w:cs="Calibri"/>
                <w:color w:val="000000" w:themeColor="text1"/>
                <w:sz w:val="22"/>
                <w:szCs w:val="22"/>
              </w:rPr>
              <w:t>40 (10.8)</w:t>
            </w:r>
            <w:r>
              <w:rPr>
                <w:rFonts w:ascii="Calibri" w:eastAsia="Calibri" w:hAnsi="Calibri" w:cs="Calibri"/>
                <w:color w:val="000000" w:themeColor="text1"/>
                <w:sz w:val="22"/>
                <w:szCs w:val="22"/>
              </w:rPr>
              <w:t xml:space="preserve">   </w:t>
            </w:r>
          </w:p>
        </w:tc>
        <w:tc>
          <w:tcPr>
            <w:tcW w:w="1159" w:type="dxa"/>
            <w:vAlign w:val="bottom"/>
          </w:tcPr>
          <w:p w14:paraId="538B22D3" w14:textId="06F9DC80"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28.6%</w:t>
            </w:r>
          </w:p>
        </w:tc>
      </w:tr>
      <w:tr w:rsidR="005F3021" w:rsidRPr="00580068" w14:paraId="596989EC" w14:textId="77777777" w:rsidTr="6CD0E11C">
        <w:trPr>
          <w:trHeight w:val="300"/>
        </w:trPr>
        <w:tc>
          <w:tcPr>
            <w:tcW w:w="2316" w:type="dxa"/>
            <w:tcBorders>
              <w:bottom w:val="single" w:sz="8" w:space="0" w:color="000000" w:themeColor="text1"/>
            </w:tcBorders>
            <w:tcMar>
              <w:top w:w="15" w:type="dxa"/>
              <w:left w:w="15" w:type="dxa"/>
              <w:right w:w="15" w:type="dxa"/>
            </w:tcMar>
            <w:vAlign w:val="bottom"/>
          </w:tcPr>
          <w:p w14:paraId="4399EFFF" w14:textId="77777777" w:rsidR="005F3021" w:rsidRPr="00580068" w:rsidRDefault="005F3021" w:rsidP="00580068">
            <w:r w:rsidRPr="00580068">
              <w:rPr>
                <w:rFonts w:ascii="Calibri" w:eastAsia="Calibri" w:hAnsi="Calibri" w:cs="Calibri"/>
                <w:color w:val="000000" w:themeColor="text1"/>
              </w:rPr>
              <w:t>Transplant</w:t>
            </w:r>
          </w:p>
        </w:tc>
        <w:tc>
          <w:tcPr>
            <w:tcW w:w="1158" w:type="dxa"/>
            <w:tcBorders>
              <w:bottom w:val="single" w:sz="8" w:space="0" w:color="000000" w:themeColor="text1"/>
            </w:tcBorders>
            <w:tcMar>
              <w:top w:w="15" w:type="dxa"/>
              <w:left w:w="15" w:type="dxa"/>
              <w:right w:w="15" w:type="dxa"/>
            </w:tcMar>
            <w:vAlign w:val="bottom"/>
          </w:tcPr>
          <w:p w14:paraId="79DDE478" w14:textId="74333CFD" w:rsidR="005F3021" w:rsidRPr="00580068" w:rsidRDefault="005F3021" w:rsidP="00580068">
            <w:r w:rsidRPr="50448BAA">
              <w:rPr>
                <w:rFonts w:ascii="Calibri" w:eastAsia="Calibri" w:hAnsi="Calibri" w:cs="Calibri"/>
                <w:color w:val="000000" w:themeColor="text1"/>
                <w:sz w:val="22"/>
                <w:szCs w:val="22"/>
              </w:rPr>
              <w:t>5 (1.1)</w:t>
            </w:r>
            <w:r>
              <w:rPr>
                <w:rFonts w:ascii="Calibri" w:eastAsia="Calibri" w:hAnsi="Calibri" w:cs="Calibri"/>
                <w:color w:val="000000" w:themeColor="text1"/>
                <w:sz w:val="22"/>
                <w:szCs w:val="22"/>
              </w:rPr>
              <w:t xml:space="preserve">    </w:t>
            </w:r>
          </w:p>
        </w:tc>
        <w:tc>
          <w:tcPr>
            <w:tcW w:w="1158" w:type="dxa"/>
            <w:tcBorders>
              <w:bottom w:val="single" w:sz="8" w:space="0" w:color="000000" w:themeColor="text1"/>
            </w:tcBorders>
            <w:vAlign w:val="bottom"/>
          </w:tcPr>
          <w:p w14:paraId="0398DC70" w14:textId="6CB7B4E9"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2.3%</w:t>
            </w:r>
          </w:p>
        </w:tc>
        <w:tc>
          <w:tcPr>
            <w:tcW w:w="1158" w:type="dxa"/>
            <w:tcBorders>
              <w:bottom w:val="single" w:sz="8" w:space="0" w:color="000000" w:themeColor="text1"/>
            </w:tcBorders>
            <w:tcMar>
              <w:top w:w="15" w:type="dxa"/>
              <w:left w:w="15" w:type="dxa"/>
              <w:right w:w="15" w:type="dxa"/>
            </w:tcMar>
            <w:vAlign w:val="bottom"/>
          </w:tcPr>
          <w:p w14:paraId="2E196B92" w14:textId="342ED10E" w:rsidR="005F3021" w:rsidRPr="00580068" w:rsidRDefault="005F3021" w:rsidP="00580068">
            <w:r w:rsidRPr="50448BAA">
              <w:rPr>
                <w:rFonts w:ascii="Calibri" w:eastAsia="Calibri" w:hAnsi="Calibri" w:cs="Calibri"/>
                <w:color w:val="000000" w:themeColor="text1"/>
                <w:sz w:val="22"/>
                <w:szCs w:val="22"/>
              </w:rPr>
              <w:t>5 (1.3)</w:t>
            </w:r>
            <w:r>
              <w:rPr>
                <w:rFonts w:ascii="Calibri" w:eastAsia="Calibri" w:hAnsi="Calibri" w:cs="Calibri"/>
                <w:color w:val="000000" w:themeColor="text1"/>
                <w:sz w:val="22"/>
                <w:szCs w:val="22"/>
              </w:rPr>
              <w:t xml:space="preserve">   </w:t>
            </w:r>
          </w:p>
        </w:tc>
        <w:tc>
          <w:tcPr>
            <w:tcW w:w="1158" w:type="dxa"/>
            <w:tcBorders>
              <w:bottom w:val="single" w:sz="8" w:space="0" w:color="000000" w:themeColor="text1"/>
            </w:tcBorders>
            <w:vAlign w:val="bottom"/>
          </w:tcPr>
          <w:p w14:paraId="1A4D5D27" w14:textId="0316DE6E"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2.8%</w:t>
            </w:r>
          </w:p>
        </w:tc>
        <w:tc>
          <w:tcPr>
            <w:tcW w:w="1158" w:type="dxa"/>
            <w:tcBorders>
              <w:bottom w:val="single" w:sz="8" w:space="0" w:color="000000" w:themeColor="text1"/>
            </w:tcBorders>
            <w:shd w:val="clear" w:color="auto" w:fill="auto"/>
            <w:tcMar>
              <w:top w:w="15" w:type="dxa"/>
              <w:left w:w="15" w:type="dxa"/>
              <w:right w:w="15" w:type="dxa"/>
            </w:tcMar>
            <w:vAlign w:val="bottom"/>
          </w:tcPr>
          <w:p w14:paraId="7F0C0129" w14:textId="483929A1" w:rsidR="005F3021" w:rsidRPr="00580068" w:rsidRDefault="005F3021" w:rsidP="00580068">
            <w:r w:rsidRPr="50448BAA">
              <w:rPr>
                <w:rFonts w:ascii="Calibri" w:eastAsia="Calibri" w:hAnsi="Calibri" w:cs="Calibri"/>
                <w:color w:val="000000" w:themeColor="text1"/>
                <w:sz w:val="22"/>
                <w:szCs w:val="22"/>
              </w:rPr>
              <w:t>0 (0.0)</w:t>
            </w:r>
            <w:r>
              <w:rPr>
                <w:rFonts w:ascii="Calibri" w:eastAsia="Calibri" w:hAnsi="Calibri" w:cs="Calibri"/>
                <w:color w:val="000000" w:themeColor="text1"/>
                <w:sz w:val="22"/>
                <w:szCs w:val="22"/>
              </w:rPr>
              <w:t xml:space="preserve">   </w:t>
            </w:r>
          </w:p>
        </w:tc>
        <w:tc>
          <w:tcPr>
            <w:tcW w:w="1159" w:type="dxa"/>
            <w:tcBorders>
              <w:bottom w:val="single" w:sz="8" w:space="0" w:color="000000" w:themeColor="text1"/>
            </w:tcBorders>
            <w:shd w:val="clear" w:color="auto" w:fill="auto"/>
            <w:vAlign w:val="bottom"/>
          </w:tcPr>
          <w:p w14:paraId="24FB57F1" w14:textId="53FEE758"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w:t>
            </w:r>
          </w:p>
        </w:tc>
      </w:tr>
      <w:tr w:rsidR="00580068" w:rsidRPr="00580068" w14:paraId="1A71431A" w14:textId="77777777" w:rsidTr="6CD0E11C">
        <w:trPr>
          <w:trHeight w:val="300"/>
        </w:trPr>
        <w:tc>
          <w:tcPr>
            <w:tcW w:w="23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15" w:type="dxa"/>
              <w:left w:w="15" w:type="dxa"/>
              <w:right w:w="15" w:type="dxa"/>
            </w:tcMar>
            <w:vAlign w:val="bottom"/>
          </w:tcPr>
          <w:p w14:paraId="40DD069D" w14:textId="77777777" w:rsidR="00580068" w:rsidRPr="00580068" w:rsidRDefault="00580068" w:rsidP="00580068">
            <w:pPr>
              <w:spacing w:line="259" w:lineRule="auto"/>
            </w:pPr>
            <w:r w:rsidRPr="00580068">
              <w:rPr>
                <w:rFonts w:ascii="Calibri" w:eastAsia="Calibri" w:hAnsi="Calibri" w:cs="Calibri"/>
                <w:color w:val="000000" w:themeColor="text1"/>
              </w:rPr>
              <w:t>No treatment</w:t>
            </w:r>
          </w:p>
        </w:tc>
        <w:tc>
          <w:tcPr>
            <w:tcW w:w="231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15" w:type="dxa"/>
              <w:left w:w="15" w:type="dxa"/>
              <w:right w:w="15" w:type="dxa"/>
            </w:tcMar>
            <w:vAlign w:val="bottom"/>
          </w:tcPr>
          <w:p w14:paraId="7A5393BE" w14:textId="01E3BD73" w:rsidR="00580068" w:rsidRPr="00580068" w:rsidRDefault="00580068" w:rsidP="00580068">
            <w:r w:rsidRPr="50448BAA">
              <w:rPr>
                <w:rFonts w:ascii="Calibri" w:eastAsia="Calibri" w:hAnsi="Calibri" w:cs="Calibri"/>
                <w:color w:val="000000" w:themeColor="text1"/>
                <w:sz w:val="22"/>
                <w:szCs w:val="22"/>
              </w:rPr>
              <w:t>238 (52.9</w:t>
            </w:r>
            <w:r w:rsidR="00125C25">
              <w:rPr>
                <w:rFonts w:ascii="Calibri" w:eastAsia="Calibri" w:hAnsi="Calibri" w:cs="Calibri"/>
                <w:color w:val="000000" w:themeColor="text1"/>
                <w:sz w:val="22"/>
                <w:szCs w:val="22"/>
              </w:rPr>
              <w:t>)</w:t>
            </w:r>
          </w:p>
        </w:tc>
        <w:tc>
          <w:tcPr>
            <w:tcW w:w="231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15" w:type="dxa"/>
              <w:left w:w="15" w:type="dxa"/>
              <w:right w:w="15" w:type="dxa"/>
            </w:tcMar>
            <w:vAlign w:val="bottom"/>
          </w:tcPr>
          <w:p w14:paraId="7357D0A3" w14:textId="48499FCA" w:rsidR="00580068" w:rsidRPr="00580068" w:rsidRDefault="00580068" w:rsidP="00580068">
            <w:r w:rsidRPr="50448BAA">
              <w:rPr>
                <w:rFonts w:ascii="Calibri" w:eastAsia="Calibri" w:hAnsi="Calibri" w:cs="Calibri"/>
                <w:color w:val="000000" w:themeColor="text1"/>
                <w:sz w:val="22"/>
                <w:szCs w:val="22"/>
              </w:rPr>
              <w:t>196 (52.1)</w:t>
            </w:r>
          </w:p>
        </w:tc>
        <w:tc>
          <w:tcPr>
            <w:tcW w:w="231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15" w:type="dxa"/>
              <w:left w:w="15" w:type="dxa"/>
              <w:right w:w="15" w:type="dxa"/>
            </w:tcMar>
            <w:vAlign w:val="bottom"/>
          </w:tcPr>
          <w:p w14:paraId="0AEBFDB8" w14:textId="3E25EB90" w:rsidR="00580068" w:rsidRPr="00580068" w:rsidRDefault="00580068" w:rsidP="00580068">
            <w:r w:rsidRPr="50448BAA">
              <w:rPr>
                <w:rFonts w:ascii="Calibri" w:eastAsia="Calibri" w:hAnsi="Calibri" w:cs="Calibri"/>
                <w:color w:val="000000" w:themeColor="text1"/>
                <w:sz w:val="22"/>
                <w:szCs w:val="22"/>
              </w:rPr>
              <w:t>227 (61.0)</w:t>
            </w:r>
            <w:r w:rsidR="00914835">
              <w:rPr>
                <w:rFonts w:ascii="Calibri" w:eastAsia="Calibri" w:hAnsi="Calibri" w:cs="Calibri"/>
                <w:color w:val="000000" w:themeColor="text1"/>
                <w:sz w:val="22"/>
                <w:szCs w:val="22"/>
              </w:rPr>
              <w:t xml:space="preserve"> </w:t>
            </w:r>
            <w:r w:rsidR="000F2BD7" w:rsidRPr="000F2BD7">
              <w:rPr>
                <w:rFonts w:ascii="Wingdings" w:eastAsia="Wingdings" w:hAnsi="Wingdings" w:cs="Wingdings"/>
                <w:color w:val="000000" w:themeColor="text1"/>
                <w:sz w:val="22"/>
                <w:szCs w:val="22"/>
              </w:rPr>
              <w:t>à</w:t>
            </w:r>
            <w:r w:rsidR="000F2BD7" w:rsidRPr="000F2BD7">
              <w:rPr>
                <w:rFonts w:ascii="Calibri" w:eastAsia="Calibri" w:hAnsi="Calibri" w:cs="Calibri"/>
                <w:color w:val="FF0000"/>
                <w:sz w:val="22"/>
                <w:szCs w:val="22"/>
              </w:rPr>
              <w:t>232 (62.</w:t>
            </w:r>
            <w:r w:rsidR="0041608C">
              <w:rPr>
                <w:rFonts w:ascii="Calibri" w:eastAsia="Calibri" w:hAnsi="Calibri" w:cs="Calibri"/>
                <w:color w:val="FF0000"/>
                <w:sz w:val="22"/>
                <w:szCs w:val="22"/>
              </w:rPr>
              <w:t>4</w:t>
            </w:r>
            <w:r w:rsidR="000F2BD7" w:rsidRPr="000F2BD7">
              <w:rPr>
                <w:rFonts w:ascii="Calibri" w:eastAsia="Calibri" w:hAnsi="Calibri" w:cs="Calibri"/>
                <w:color w:val="FF0000"/>
                <w:sz w:val="22"/>
                <w:szCs w:val="22"/>
              </w:rPr>
              <w:t>%)</w:t>
            </w:r>
          </w:p>
        </w:tc>
      </w:tr>
    </w:tbl>
    <w:p w14:paraId="7B3C9D16" w14:textId="45D1C0D9" w:rsidR="00971B99" w:rsidRDefault="00971B99" w:rsidP="00914835">
      <w:pPr>
        <w:pStyle w:val="CommentText"/>
      </w:pPr>
      <w:r>
        <w:t xml:space="preserve">*Will add this to the untreated group because it is unlikely that </w:t>
      </w:r>
      <w:proofErr w:type="gramStart"/>
      <w:r>
        <w:t>late stage</w:t>
      </w:r>
      <w:proofErr w:type="gramEnd"/>
      <w:r>
        <w:t xml:space="preserve"> HCC would be treated with resection and transplant. Also, we can't find data on survival after resection/transplant in late HCC patients.</w:t>
      </w:r>
    </w:p>
    <w:p w14:paraId="1AE017C8" w14:textId="1ACA4914" w:rsidR="00914835" w:rsidRDefault="00914835" w:rsidP="00914835">
      <w:pPr>
        <w:pStyle w:val="CommentText"/>
      </w:pPr>
      <w:r w:rsidRPr="005A7FC2">
        <w:rPr>
          <w:highlight w:val="cyan"/>
        </w:rPr>
        <w:t xml:space="preserve">Percent out of those treated are highlighted in </w:t>
      </w:r>
      <w:r w:rsidR="005A7FC2" w:rsidRPr="005A7FC2">
        <w:rPr>
          <w:highlight w:val="cyan"/>
        </w:rPr>
        <w:t>blue</w:t>
      </w:r>
      <w:r w:rsidRPr="005A7FC2">
        <w:rPr>
          <w:highlight w:val="cyan"/>
        </w:rPr>
        <w:t xml:space="preserve"> (these percentages exclude the untreated patients</w:t>
      </w:r>
      <w:r w:rsidR="0053211B" w:rsidRPr="005A7FC2">
        <w:rPr>
          <w:highlight w:val="cyan"/>
        </w:rPr>
        <w:t>)</w:t>
      </w:r>
    </w:p>
    <w:p w14:paraId="580C142D" w14:textId="77777777" w:rsidR="00914835" w:rsidRDefault="00914835" w:rsidP="00914835">
      <w:pPr>
        <w:pStyle w:val="CommentText"/>
      </w:pPr>
    </w:p>
    <w:p w14:paraId="33C635E1" w14:textId="11B8E462" w:rsidR="007B2E65" w:rsidRPr="0072162A" w:rsidRDefault="0072162A" w:rsidP="007B2E65">
      <w:pPr>
        <w:pStyle w:val="ListParagraph"/>
        <w:numPr>
          <w:ilvl w:val="0"/>
          <w:numId w:val="5"/>
        </w:numPr>
        <w:spacing w:line="259" w:lineRule="auto"/>
      </w:pPr>
      <w:r>
        <w:t xml:space="preserve">MASLD with </w:t>
      </w:r>
      <w:r w:rsidR="1890523D" w:rsidRPr="0072162A">
        <w:t>Compensated cirrhosis (</w:t>
      </w:r>
      <w:r w:rsidR="00971B99" w:rsidRPr="0072162A">
        <w:t>U</w:t>
      </w:r>
      <w:r w:rsidR="1890523D" w:rsidRPr="0072162A">
        <w:t xml:space="preserve">se if we want to adjust for % of undiagnosed </w:t>
      </w:r>
      <w:r w:rsidR="00971B99" w:rsidRPr="0072162A">
        <w:t xml:space="preserve">cirrhosis </w:t>
      </w:r>
      <w:r w:rsidR="1890523D" w:rsidRPr="0072162A">
        <w:t>patients</w:t>
      </w:r>
      <w:r w:rsidR="00971B99" w:rsidRPr="0072162A">
        <w:t xml:space="preserve">. </w:t>
      </w:r>
    </w:p>
    <w:tbl>
      <w:tblPr>
        <w:tblW w:w="946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335"/>
        <w:gridCol w:w="1188"/>
        <w:gridCol w:w="1188"/>
        <w:gridCol w:w="1188"/>
        <w:gridCol w:w="1188"/>
        <w:gridCol w:w="1188"/>
        <w:gridCol w:w="1189"/>
      </w:tblGrid>
      <w:tr w:rsidR="005A7FC2" w:rsidRPr="00580068" w14:paraId="5166D876" w14:textId="25ECB624" w:rsidTr="6CD0E11C">
        <w:trPr>
          <w:trHeight w:val="265"/>
        </w:trPr>
        <w:tc>
          <w:tcPr>
            <w:tcW w:w="2335" w:type="dxa"/>
            <w:shd w:val="clear" w:color="auto" w:fill="auto"/>
            <w:vAlign w:val="bottom"/>
          </w:tcPr>
          <w:p w14:paraId="299EE074" w14:textId="593CE7A3" w:rsidR="005A7FC2" w:rsidRPr="0072162A" w:rsidRDefault="005A7FC2" w:rsidP="50448BAA">
            <w:r w:rsidRPr="0072162A">
              <w:rPr>
                <w:rFonts w:ascii="Calibri" w:eastAsia="Calibri" w:hAnsi="Calibri" w:cs="Calibri"/>
                <w:color w:val="000000" w:themeColor="text1"/>
              </w:rPr>
              <w:t>First Treatment Type</w:t>
            </w:r>
          </w:p>
        </w:tc>
        <w:tc>
          <w:tcPr>
            <w:tcW w:w="2376" w:type="dxa"/>
            <w:gridSpan w:val="2"/>
            <w:shd w:val="clear" w:color="auto" w:fill="auto"/>
            <w:tcMar>
              <w:top w:w="15" w:type="dxa"/>
              <w:left w:w="15" w:type="dxa"/>
              <w:right w:w="15" w:type="dxa"/>
            </w:tcMar>
            <w:vAlign w:val="bottom"/>
          </w:tcPr>
          <w:p w14:paraId="37381E7C" w14:textId="77777777" w:rsidR="005A7FC2" w:rsidRPr="0072162A" w:rsidRDefault="005A7FC2" w:rsidP="50448BAA">
            <w:pPr>
              <w:rPr>
                <w:rFonts w:ascii="Calibri" w:eastAsia="Calibri" w:hAnsi="Calibri" w:cs="Calibri"/>
                <w:color w:val="000000" w:themeColor="text1"/>
              </w:rPr>
            </w:pPr>
            <w:r w:rsidRPr="0072162A">
              <w:rPr>
                <w:rFonts w:ascii="Calibri" w:eastAsia="Calibri" w:hAnsi="Calibri" w:cs="Calibri"/>
                <w:color w:val="000000" w:themeColor="text1"/>
              </w:rPr>
              <w:t xml:space="preserve">Early </w:t>
            </w:r>
          </w:p>
          <w:p w14:paraId="317051FE" w14:textId="34948A3B" w:rsidR="005A7FC2" w:rsidRPr="0072162A"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(N=668</w:t>
            </w:r>
            <w:r w:rsidR="000F2BD7" w:rsidRPr="0072162A">
              <w:rPr>
                <w:rFonts w:ascii="Calibri" w:eastAsia="Calibri" w:hAnsi="Calibri" w:cs="Calibri"/>
                <w:color w:val="000000" w:themeColor="text1"/>
              </w:rPr>
              <w:t xml:space="preserve">, 485 </w:t>
            </w:r>
            <w:proofErr w:type="spellStart"/>
            <w:r w:rsidR="000F2BD7" w:rsidRPr="0072162A">
              <w:rPr>
                <w:rFonts w:ascii="Calibri" w:eastAsia="Calibri" w:hAnsi="Calibri" w:cs="Calibri"/>
                <w:color w:val="000000" w:themeColor="text1"/>
              </w:rPr>
              <w:t>treated</w:t>
            </w:r>
            <w:r w:rsidR="000F2BD7" w:rsidRPr="0072162A">
              <w:rPr>
                <w:rFonts w:ascii="Wingdings" w:eastAsia="Wingdings" w:hAnsi="Wingdings" w:cs="Wingdings"/>
                <w:color w:val="000000" w:themeColor="text1"/>
              </w:rPr>
              <w:t>à</w:t>
            </w:r>
            <w:proofErr w:type="spellEnd"/>
            <w:r w:rsidR="000F2BD7" w:rsidRPr="0072162A">
              <w:rPr>
                <w:rFonts w:ascii="Calibri" w:eastAsia="Calibri" w:hAnsi="Calibri" w:cs="Calibri"/>
                <w:color w:val="000000" w:themeColor="text1"/>
              </w:rPr>
              <w:t xml:space="preserve"> 72.6% treated</w:t>
            </w:r>
            <w:r w:rsidRPr="0072162A">
              <w:rPr>
                <w:rFonts w:ascii="Calibri" w:eastAsia="Calibri" w:hAnsi="Calibri" w:cs="Calibri"/>
                <w:color w:val="000000" w:themeColor="text1"/>
              </w:rPr>
              <w:t>)</w:t>
            </w:r>
          </w:p>
        </w:tc>
        <w:tc>
          <w:tcPr>
            <w:tcW w:w="2376" w:type="dxa"/>
            <w:gridSpan w:val="2"/>
            <w:shd w:val="clear" w:color="auto" w:fill="auto"/>
            <w:tcMar>
              <w:top w:w="15" w:type="dxa"/>
              <w:left w:w="15" w:type="dxa"/>
              <w:right w:w="15" w:type="dxa"/>
            </w:tcMar>
            <w:vAlign w:val="bottom"/>
          </w:tcPr>
          <w:p w14:paraId="2D2DDE20" w14:textId="77777777" w:rsidR="005A7FC2" w:rsidRPr="0072162A"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Intermediate</w:t>
            </w:r>
          </w:p>
          <w:p w14:paraId="2A3E5159" w14:textId="0AC55463" w:rsidR="005A7FC2" w:rsidRPr="0072162A"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(N=549</w:t>
            </w:r>
            <w:r w:rsidR="000F2BD7" w:rsidRPr="0072162A">
              <w:rPr>
                <w:rFonts w:ascii="Calibri" w:eastAsia="Calibri" w:hAnsi="Calibri" w:cs="Calibri"/>
                <w:color w:val="000000" w:themeColor="text1"/>
              </w:rPr>
              <w:t xml:space="preserve">, 386 treated </w:t>
            </w:r>
            <w:r w:rsidR="000F2BD7" w:rsidRPr="0072162A">
              <w:rPr>
                <w:rFonts w:ascii="Wingdings" w:eastAsia="Wingdings" w:hAnsi="Wingdings" w:cs="Wingdings"/>
                <w:color w:val="000000" w:themeColor="text1"/>
              </w:rPr>
              <w:t>à</w:t>
            </w:r>
            <w:r w:rsidR="000F2BD7" w:rsidRPr="0072162A">
              <w:rPr>
                <w:rFonts w:ascii="Calibri" w:eastAsia="Calibri" w:hAnsi="Calibri" w:cs="Calibri"/>
                <w:color w:val="000000" w:themeColor="text1"/>
              </w:rPr>
              <w:t xml:space="preserve"> 70.3% treated</w:t>
            </w:r>
            <w:r w:rsidRPr="0072162A">
              <w:rPr>
                <w:rFonts w:ascii="Calibri" w:eastAsia="Calibri" w:hAnsi="Calibri" w:cs="Calibri"/>
                <w:color w:val="000000" w:themeColor="text1"/>
              </w:rPr>
              <w:t>)</w:t>
            </w:r>
          </w:p>
        </w:tc>
        <w:tc>
          <w:tcPr>
            <w:tcW w:w="2377" w:type="dxa"/>
            <w:gridSpan w:val="2"/>
            <w:shd w:val="clear" w:color="auto" w:fill="auto"/>
            <w:tcMar>
              <w:top w:w="15" w:type="dxa"/>
              <w:left w:w="15" w:type="dxa"/>
              <w:right w:w="15" w:type="dxa"/>
            </w:tcMar>
            <w:vAlign w:val="bottom"/>
          </w:tcPr>
          <w:p w14:paraId="73BA6B57" w14:textId="77777777" w:rsidR="005A7FC2" w:rsidRPr="0072162A"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Late</w:t>
            </w:r>
          </w:p>
          <w:p w14:paraId="05144E76" w14:textId="50C42F60" w:rsidR="005A7FC2" w:rsidRPr="00580068"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(N=269</w:t>
            </w:r>
            <w:r w:rsidR="000F2BD7" w:rsidRPr="0072162A">
              <w:rPr>
                <w:rFonts w:ascii="Calibri" w:eastAsia="Calibri" w:hAnsi="Calibri" w:cs="Calibri"/>
                <w:color w:val="000000" w:themeColor="text1"/>
              </w:rPr>
              <w:t>, 115 treated, 42.8% treated</w:t>
            </w:r>
            <w:r w:rsidRPr="0072162A">
              <w:rPr>
                <w:rFonts w:ascii="Calibri" w:eastAsia="Calibri" w:hAnsi="Calibri" w:cs="Calibri"/>
                <w:color w:val="000000" w:themeColor="text1"/>
              </w:rPr>
              <w:t>)</w:t>
            </w:r>
          </w:p>
        </w:tc>
      </w:tr>
      <w:tr w:rsidR="005A7FC2" w:rsidRPr="00580068" w14:paraId="2F28ABF1" w14:textId="7712AE00" w:rsidTr="6CD0E11C">
        <w:trPr>
          <w:trHeight w:val="265"/>
        </w:trPr>
        <w:tc>
          <w:tcPr>
            <w:tcW w:w="2335" w:type="dxa"/>
            <w:shd w:val="clear" w:color="auto" w:fill="auto"/>
            <w:tcMar>
              <w:top w:w="15" w:type="dxa"/>
              <w:left w:w="15" w:type="dxa"/>
              <w:right w:w="15" w:type="dxa"/>
            </w:tcMar>
            <w:vAlign w:val="bottom"/>
          </w:tcPr>
          <w:p w14:paraId="4A77C2DD" w14:textId="79DC60AD" w:rsidR="005A7FC2" w:rsidRPr="00580068" w:rsidRDefault="005A7FC2" w:rsidP="50448BAA">
            <w:r w:rsidRPr="00580068">
              <w:rPr>
                <w:rFonts w:ascii="Calibri" w:eastAsia="Calibri" w:hAnsi="Calibri" w:cs="Calibri"/>
                <w:color w:val="000000" w:themeColor="text1"/>
              </w:rPr>
              <w:t>Ablation</w:t>
            </w:r>
          </w:p>
        </w:tc>
        <w:tc>
          <w:tcPr>
            <w:tcW w:w="1188" w:type="dxa"/>
            <w:shd w:val="clear" w:color="auto" w:fill="auto"/>
            <w:tcMar>
              <w:top w:w="15" w:type="dxa"/>
              <w:left w:w="15" w:type="dxa"/>
              <w:right w:w="15" w:type="dxa"/>
            </w:tcMar>
            <w:vAlign w:val="bottom"/>
          </w:tcPr>
          <w:p w14:paraId="5874D06E" w14:textId="05202BCC" w:rsidR="005A7FC2" w:rsidRPr="00580068" w:rsidRDefault="005A7FC2" w:rsidP="50448BAA">
            <w:r w:rsidRPr="00580068">
              <w:rPr>
                <w:rFonts w:ascii="Calibri" w:eastAsia="Calibri" w:hAnsi="Calibri" w:cs="Calibri"/>
                <w:color w:val="000000" w:themeColor="text1"/>
              </w:rPr>
              <w:t>79 (11.8)</w:t>
            </w:r>
          </w:p>
        </w:tc>
        <w:tc>
          <w:tcPr>
            <w:tcW w:w="1188" w:type="dxa"/>
          </w:tcPr>
          <w:p w14:paraId="3631F1C1" w14:textId="7261740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16.3%</w:t>
            </w:r>
          </w:p>
        </w:tc>
        <w:tc>
          <w:tcPr>
            <w:tcW w:w="1188" w:type="dxa"/>
            <w:shd w:val="clear" w:color="auto" w:fill="auto"/>
            <w:tcMar>
              <w:top w:w="15" w:type="dxa"/>
              <w:left w:w="15" w:type="dxa"/>
              <w:right w:w="15" w:type="dxa"/>
            </w:tcMar>
            <w:vAlign w:val="bottom"/>
          </w:tcPr>
          <w:p w14:paraId="749F38EE" w14:textId="3D064FD8" w:rsidR="005A7FC2" w:rsidRPr="00580068" w:rsidRDefault="005A7FC2" w:rsidP="50448BAA">
            <w:r w:rsidRPr="00580068">
              <w:rPr>
                <w:rFonts w:ascii="Calibri" w:eastAsia="Calibri" w:hAnsi="Calibri" w:cs="Calibri"/>
                <w:color w:val="000000" w:themeColor="text1"/>
              </w:rPr>
              <w:t>43 (7.8)</w:t>
            </w:r>
          </w:p>
        </w:tc>
        <w:tc>
          <w:tcPr>
            <w:tcW w:w="1188" w:type="dxa"/>
          </w:tcPr>
          <w:p w14:paraId="713540E1" w14:textId="7B6DFF1D"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11.1%</w:t>
            </w:r>
          </w:p>
        </w:tc>
        <w:tc>
          <w:tcPr>
            <w:tcW w:w="1188" w:type="dxa"/>
            <w:shd w:val="clear" w:color="auto" w:fill="auto"/>
            <w:tcMar>
              <w:top w:w="15" w:type="dxa"/>
              <w:left w:w="15" w:type="dxa"/>
              <w:right w:w="15" w:type="dxa"/>
            </w:tcMar>
            <w:vAlign w:val="bottom"/>
          </w:tcPr>
          <w:p w14:paraId="504B5AE8" w14:textId="33C394EE" w:rsidR="005A7FC2" w:rsidRPr="00580068" w:rsidRDefault="005A7FC2" w:rsidP="50448BAA">
            <w:r w:rsidRPr="00580068">
              <w:rPr>
                <w:rFonts w:ascii="Calibri" w:eastAsia="Calibri" w:hAnsi="Calibri" w:cs="Calibri"/>
                <w:color w:val="000000" w:themeColor="text1"/>
              </w:rPr>
              <w:t>4 (1.5)</w:t>
            </w:r>
          </w:p>
        </w:tc>
        <w:tc>
          <w:tcPr>
            <w:tcW w:w="1189" w:type="dxa"/>
          </w:tcPr>
          <w:p w14:paraId="22AA2B7D" w14:textId="2ECE54FC"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3.5</w:t>
            </w:r>
          </w:p>
        </w:tc>
      </w:tr>
      <w:tr w:rsidR="005A7FC2" w:rsidRPr="00580068" w14:paraId="45074588" w14:textId="75532D0E" w:rsidTr="6CD0E11C">
        <w:trPr>
          <w:trHeight w:val="265"/>
        </w:trPr>
        <w:tc>
          <w:tcPr>
            <w:tcW w:w="2335" w:type="dxa"/>
            <w:shd w:val="clear" w:color="auto" w:fill="auto"/>
            <w:tcMar>
              <w:top w:w="15" w:type="dxa"/>
              <w:left w:w="15" w:type="dxa"/>
              <w:right w:w="15" w:type="dxa"/>
            </w:tcMar>
            <w:vAlign w:val="bottom"/>
          </w:tcPr>
          <w:p w14:paraId="3B8CD362" w14:textId="337E34A1" w:rsidR="005A7FC2" w:rsidRPr="00580068" w:rsidRDefault="005A7FC2" w:rsidP="50448BAA">
            <w:r w:rsidRPr="00580068">
              <w:rPr>
                <w:rFonts w:ascii="Calibri" w:eastAsia="Calibri" w:hAnsi="Calibri" w:cs="Calibri"/>
                <w:color w:val="000000" w:themeColor="text1"/>
              </w:rPr>
              <w:t>Radiotherapy</w:t>
            </w:r>
          </w:p>
        </w:tc>
        <w:tc>
          <w:tcPr>
            <w:tcW w:w="1188" w:type="dxa"/>
            <w:shd w:val="clear" w:color="auto" w:fill="auto"/>
            <w:tcMar>
              <w:top w:w="15" w:type="dxa"/>
              <w:left w:w="15" w:type="dxa"/>
              <w:right w:w="15" w:type="dxa"/>
            </w:tcMar>
            <w:vAlign w:val="bottom"/>
          </w:tcPr>
          <w:p w14:paraId="7C0C5A8C" w14:textId="17F41EBF" w:rsidR="005A7FC2" w:rsidRPr="00580068" w:rsidRDefault="005A7FC2" w:rsidP="50448BAA">
            <w:r w:rsidRPr="00580068">
              <w:rPr>
                <w:rFonts w:ascii="Calibri" w:eastAsia="Calibri" w:hAnsi="Calibri" w:cs="Calibri"/>
                <w:color w:val="000000" w:themeColor="text1"/>
              </w:rPr>
              <w:t>1 (0.1)</w:t>
            </w:r>
          </w:p>
        </w:tc>
        <w:tc>
          <w:tcPr>
            <w:tcW w:w="1188" w:type="dxa"/>
          </w:tcPr>
          <w:p w14:paraId="6458337F" w14:textId="23579CA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0.2%</w:t>
            </w:r>
          </w:p>
        </w:tc>
        <w:tc>
          <w:tcPr>
            <w:tcW w:w="1188" w:type="dxa"/>
            <w:shd w:val="clear" w:color="auto" w:fill="auto"/>
            <w:tcMar>
              <w:top w:w="15" w:type="dxa"/>
              <w:left w:w="15" w:type="dxa"/>
              <w:right w:w="15" w:type="dxa"/>
            </w:tcMar>
            <w:vAlign w:val="bottom"/>
          </w:tcPr>
          <w:p w14:paraId="4B62F849" w14:textId="35143C40" w:rsidR="005A7FC2" w:rsidRPr="00580068" w:rsidRDefault="005A7FC2" w:rsidP="50448BAA">
            <w:r w:rsidRPr="00580068">
              <w:rPr>
                <w:rFonts w:ascii="Calibri" w:eastAsia="Calibri" w:hAnsi="Calibri" w:cs="Calibri"/>
                <w:color w:val="000000" w:themeColor="text1"/>
              </w:rPr>
              <w:t>0 (0.0)</w:t>
            </w:r>
          </w:p>
        </w:tc>
        <w:tc>
          <w:tcPr>
            <w:tcW w:w="1188" w:type="dxa"/>
          </w:tcPr>
          <w:p w14:paraId="5C43373B" w14:textId="02518008"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w:t>
            </w:r>
          </w:p>
        </w:tc>
        <w:tc>
          <w:tcPr>
            <w:tcW w:w="1188" w:type="dxa"/>
            <w:shd w:val="clear" w:color="auto" w:fill="auto"/>
            <w:tcMar>
              <w:top w:w="15" w:type="dxa"/>
              <w:left w:w="15" w:type="dxa"/>
              <w:right w:w="15" w:type="dxa"/>
            </w:tcMar>
            <w:vAlign w:val="bottom"/>
          </w:tcPr>
          <w:p w14:paraId="495671CC" w14:textId="2306F073" w:rsidR="005A7FC2" w:rsidRPr="00580068" w:rsidRDefault="005A7FC2" w:rsidP="50448BAA">
            <w:r w:rsidRPr="00580068">
              <w:rPr>
                <w:rFonts w:ascii="Calibri" w:eastAsia="Calibri" w:hAnsi="Calibri" w:cs="Calibri"/>
                <w:color w:val="000000" w:themeColor="text1"/>
              </w:rPr>
              <w:t>1 (0.4)</w:t>
            </w:r>
          </w:p>
        </w:tc>
        <w:tc>
          <w:tcPr>
            <w:tcW w:w="1189" w:type="dxa"/>
          </w:tcPr>
          <w:p w14:paraId="12F45957" w14:textId="24C894CB"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0.9</w:t>
            </w:r>
          </w:p>
        </w:tc>
      </w:tr>
      <w:tr w:rsidR="005A7FC2" w:rsidRPr="00580068" w14:paraId="581BD383" w14:textId="43141DC5" w:rsidTr="6CD0E11C">
        <w:trPr>
          <w:trHeight w:val="265"/>
        </w:trPr>
        <w:tc>
          <w:tcPr>
            <w:tcW w:w="2335" w:type="dxa"/>
            <w:shd w:val="clear" w:color="auto" w:fill="auto"/>
            <w:tcMar>
              <w:top w:w="15" w:type="dxa"/>
              <w:left w:w="15" w:type="dxa"/>
              <w:right w:w="15" w:type="dxa"/>
            </w:tcMar>
            <w:vAlign w:val="bottom"/>
          </w:tcPr>
          <w:p w14:paraId="5D82FD1D" w14:textId="0B1C673B" w:rsidR="005A7FC2" w:rsidRPr="00580068" w:rsidRDefault="005A7FC2" w:rsidP="50448BAA">
            <w:r w:rsidRPr="00580068">
              <w:rPr>
                <w:rFonts w:ascii="Calibri" w:eastAsia="Calibri" w:hAnsi="Calibri" w:cs="Calibri"/>
                <w:color w:val="000000" w:themeColor="text1"/>
              </w:rPr>
              <w:t>Resection</w:t>
            </w:r>
          </w:p>
        </w:tc>
        <w:tc>
          <w:tcPr>
            <w:tcW w:w="1188" w:type="dxa"/>
            <w:shd w:val="clear" w:color="auto" w:fill="auto"/>
            <w:tcMar>
              <w:top w:w="15" w:type="dxa"/>
              <w:left w:w="15" w:type="dxa"/>
              <w:right w:w="15" w:type="dxa"/>
            </w:tcMar>
            <w:vAlign w:val="bottom"/>
          </w:tcPr>
          <w:p w14:paraId="2F46455F" w14:textId="421578E7" w:rsidR="005A7FC2" w:rsidRPr="00580068" w:rsidRDefault="005A7FC2" w:rsidP="50448BAA">
            <w:r w:rsidRPr="00580068">
              <w:rPr>
                <w:rFonts w:ascii="Calibri" w:eastAsia="Calibri" w:hAnsi="Calibri" w:cs="Calibri"/>
                <w:color w:val="000000" w:themeColor="text1"/>
              </w:rPr>
              <w:t>88 (13.2)</w:t>
            </w:r>
          </w:p>
        </w:tc>
        <w:tc>
          <w:tcPr>
            <w:tcW w:w="1188" w:type="dxa"/>
          </w:tcPr>
          <w:p w14:paraId="282A8CEE" w14:textId="14158313"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18.1%</w:t>
            </w:r>
          </w:p>
        </w:tc>
        <w:tc>
          <w:tcPr>
            <w:tcW w:w="1188" w:type="dxa"/>
            <w:shd w:val="clear" w:color="auto" w:fill="auto"/>
            <w:tcMar>
              <w:top w:w="15" w:type="dxa"/>
              <w:left w:w="15" w:type="dxa"/>
              <w:right w:w="15" w:type="dxa"/>
            </w:tcMar>
            <w:vAlign w:val="bottom"/>
          </w:tcPr>
          <w:p w14:paraId="5A92E679" w14:textId="26BC7D95" w:rsidR="005A7FC2" w:rsidRPr="00580068" w:rsidRDefault="005A7FC2" w:rsidP="50448BAA">
            <w:r w:rsidRPr="00580068">
              <w:rPr>
                <w:rFonts w:ascii="Calibri" w:eastAsia="Calibri" w:hAnsi="Calibri" w:cs="Calibri"/>
                <w:color w:val="000000" w:themeColor="text1"/>
              </w:rPr>
              <w:t>40 (7.3)</w:t>
            </w:r>
          </w:p>
        </w:tc>
        <w:tc>
          <w:tcPr>
            <w:tcW w:w="1188" w:type="dxa"/>
          </w:tcPr>
          <w:p w14:paraId="431E70EC" w14:textId="2BCA134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10.4%</w:t>
            </w:r>
          </w:p>
        </w:tc>
        <w:tc>
          <w:tcPr>
            <w:tcW w:w="1188" w:type="dxa"/>
            <w:shd w:val="clear" w:color="auto" w:fill="auto"/>
            <w:tcMar>
              <w:top w:w="15" w:type="dxa"/>
              <w:left w:w="15" w:type="dxa"/>
              <w:right w:w="15" w:type="dxa"/>
            </w:tcMar>
            <w:vAlign w:val="bottom"/>
          </w:tcPr>
          <w:p w14:paraId="30F44675" w14:textId="19AAA8E7" w:rsidR="005A7FC2" w:rsidRPr="00580068" w:rsidRDefault="005A7FC2" w:rsidP="50448BAA">
            <w:r w:rsidRPr="000F2BD7">
              <w:rPr>
                <w:rFonts w:ascii="Calibri" w:eastAsia="Calibri" w:hAnsi="Calibri" w:cs="Calibri"/>
                <w:color w:val="FF0000"/>
              </w:rPr>
              <w:t>7 (2.6)</w:t>
            </w:r>
          </w:p>
        </w:tc>
        <w:tc>
          <w:tcPr>
            <w:tcW w:w="1189" w:type="dxa"/>
          </w:tcPr>
          <w:p w14:paraId="75C6ED1F" w14:textId="14ABF8ED" w:rsidR="005A7FC2" w:rsidRPr="000F2BD7" w:rsidRDefault="000F2BD7" w:rsidP="50448BAA">
            <w:pPr>
              <w:rPr>
                <w:rFonts w:ascii="Calibri" w:eastAsia="Calibri" w:hAnsi="Calibri" w:cs="Calibri"/>
                <w:color w:val="FF0000"/>
                <w:highlight w:val="cyan"/>
              </w:rPr>
            </w:pPr>
            <w:r w:rsidRPr="000F2BD7">
              <w:rPr>
                <w:rFonts w:ascii="Calibri" w:eastAsia="Calibri" w:hAnsi="Calibri" w:cs="Calibri"/>
                <w:color w:val="FF0000"/>
                <w:highlight w:val="cyan"/>
              </w:rPr>
              <w:t>0%</w:t>
            </w:r>
          </w:p>
        </w:tc>
      </w:tr>
      <w:tr w:rsidR="005A7FC2" w:rsidRPr="00580068" w14:paraId="1CE3B765" w14:textId="6B83C74E" w:rsidTr="6CD0E11C">
        <w:trPr>
          <w:trHeight w:val="265"/>
        </w:trPr>
        <w:tc>
          <w:tcPr>
            <w:tcW w:w="2335" w:type="dxa"/>
            <w:shd w:val="clear" w:color="auto" w:fill="auto"/>
            <w:tcMar>
              <w:top w:w="15" w:type="dxa"/>
              <w:left w:w="15" w:type="dxa"/>
              <w:right w:w="15" w:type="dxa"/>
            </w:tcMar>
            <w:vAlign w:val="bottom"/>
          </w:tcPr>
          <w:p w14:paraId="3634BA0F" w14:textId="0010141C" w:rsidR="005A7FC2" w:rsidRPr="00580068" w:rsidRDefault="005A7FC2" w:rsidP="50448BAA">
            <w:r w:rsidRPr="00580068">
              <w:rPr>
                <w:rFonts w:ascii="Calibri" w:eastAsia="Calibri" w:hAnsi="Calibri" w:cs="Calibri"/>
                <w:color w:val="000000" w:themeColor="text1"/>
              </w:rPr>
              <w:t>Systemic</w:t>
            </w:r>
          </w:p>
        </w:tc>
        <w:tc>
          <w:tcPr>
            <w:tcW w:w="1188" w:type="dxa"/>
            <w:shd w:val="clear" w:color="auto" w:fill="auto"/>
            <w:tcMar>
              <w:top w:w="15" w:type="dxa"/>
              <w:left w:w="15" w:type="dxa"/>
              <w:right w:w="15" w:type="dxa"/>
            </w:tcMar>
            <w:vAlign w:val="bottom"/>
          </w:tcPr>
          <w:p w14:paraId="1D9FD463" w14:textId="26174B3C" w:rsidR="005A7FC2" w:rsidRPr="00580068" w:rsidRDefault="005A7FC2" w:rsidP="50448BAA">
            <w:r w:rsidRPr="00580068">
              <w:rPr>
                <w:rFonts w:ascii="Calibri" w:eastAsia="Calibri" w:hAnsi="Calibri" w:cs="Calibri"/>
                <w:color w:val="000000" w:themeColor="text1"/>
              </w:rPr>
              <w:t>41 (6.1)</w:t>
            </w:r>
          </w:p>
        </w:tc>
        <w:tc>
          <w:tcPr>
            <w:tcW w:w="1188" w:type="dxa"/>
          </w:tcPr>
          <w:p w14:paraId="12E6C03F" w14:textId="51FA0E6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8.5%</w:t>
            </w:r>
          </w:p>
        </w:tc>
        <w:tc>
          <w:tcPr>
            <w:tcW w:w="1188" w:type="dxa"/>
            <w:shd w:val="clear" w:color="auto" w:fill="auto"/>
            <w:tcMar>
              <w:top w:w="15" w:type="dxa"/>
              <w:left w:w="15" w:type="dxa"/>
              <w:right w:w="15" w:type="dxa"/>
            </w:tcMar>
            <w:vAlign w:val="bottom"/>
          </w:tcPr>
          <w:p w14:paraId="6CDBB2B3" w14:textId="036D4B19" w:rsidR="005A7FC2" w:rsidRPr="00580068" w:rsidRDefault="005A7FC2" w:rsidP="50448BAA">
            <w:r w:rsidRPr="00580068">
              <w:rPr>
                <w:rFonts w:ascii="Calibri" w:eastAsia="Calibri" w:hAnsi="Calibri" w:cs="Calibri"/>
                <w:color w:val="000000" w:themeColor="text1"/>
              </w:rPr>
              <w:t>77 (14.0)</w:t>
            </w:r>
          </w:p>
        </w:tc>
        <w:tc>
          <w:tcPr>
            <w:tcW w:w="1188" w:type="dxa"/>
          </w:tcPr>
          <w:p w14:paraId="5E612FD7" w14:textId="0F1ECDC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19.9%</w:t>
            </w:r>
          </w:p>
        </w:tc>
        <w:tc>
          <w:tcPr>
            <w:tcW w:w="1188" w:type="dxa"/>
            <w:shd w:val="clear" w:color="auto" w:fill="auto"/>
            <w:tcMar>
              <w:top w:w="15" w:type="dxa"/>
              <w:left w:w="15" w:type="dxa"/>
              <w:right w:w="15" w:type="dxa"/>
            </w:tcMar>
            <w:vAlign w:val="bottom"/>
          </w:tcPr>
          <w:p w14:paraId="7D07EF4E" w14:textId="01DEE0C2" w:rsidR="005A7FC2" w:rsidRPr="00580068" w:rsidRDefault="005A7FC2" w:rsidP="50448BAA">
            <w:r w:rsidRPr="00580068">
              <w:rPr>
                <w:rFonts w:ascii="Calibri" w:eastAsia="Calibri" w:hAnsi="Calibri" w:cs="Calibri"/>
                <w:color w:val="000000" w:themeColor="text1"/>
              </w:rPr>
              <w:t>76 (28.3)</w:t>
            </w:r>
          </w:p>
        </w:tc>
        <w:tc>
          <w:tcPr>
            <w:tcW w:w="1189" w:type="dxa"/>
          </w:tcPr>
          <w:p w14:paraId="3981DDB8" w14:textId="014DB7D4"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66.1</w:t>
            </w:r>
          </w:p>
        </w:tc>
      </w:tr>
      <w:tr w:rsidR="005A7FC2" w:rsidRPr="00580068" w14:paraId="55615D2B" w14:textId="4623A25A" w:rsidTr="6CD0E11C">
        <w:trPr>
          <w:trHeight w:val="265"/>
        </w:trPr>
        <w:tc>
          <w:tcPr>
            <w:tcW w:w="2335" w:type="dxa"/>
            <w:shd w:val="clear" w:color="auto" w:fill="auto"/>
            <w:tcMar>
              <w:top w:w="15" w:type="dxa"/>
              <w:left w:w="15" w:type="dxa"/>
              <w:right w:w="15" w:type="dxa"/>
            </w:tcMar>
            <w:vAlign w:val="bottom"/>
          </w:tcPr>
          <w:p w14:paraId="12D653EE" w14:textId="55E85065" w:rsidR="005A7FC2" w:rsidRPr="00580068" w:rsidRDefault="005A7FC2" w:rsidP="50448BAA">
            <w:r w:rsidRPr="00580068">
              <w:rPr>
                <w:rFonts w:ascii="Calibri" w:eastAsia="Calibri" w:hAnsi="Calibri" w:cs="Calibri"/>
                <w:color w:val="000000" w:themeColor="text1"/>
              </w:rPr>
              <w:t>TACE</w:t>
            </w:r>
          </w:p>
        </w:tc>
        <w:tc>
          <w:tcPr>
            <w:tcW w:w="1188" w:type="dxa"/>
            <w:shd w:val="clear" w:color="auto" w:fill="auto"/>
            <w:tcMar>
              <w:top w:w="15" w:type="dxa"/>
              <w:left w:w="15" w:type="dxa"/>
              <w:right w:w="15" w:type="dxa"/>
            </w:tcMar>
            <w:vAlign w:val="bottom"/>
          </w:tcPr>
          <w:p w14:paraId="6DB47238" w14:textId="493A28F4" w:rsidR="005A7FC2" w:rsidRPr="00580068" w:rsidRDefault="005A7FC2" w:rsidP="50448BAA">
            <w:r w:rsidRPr="00580068">
              <w:rPr>
                <w:rFonts w:ascii="Calibri" w:eastAsia="Calibri" w:hAnsi="Calibri" w:cs="Calibri"/>
                <w:color w:val="000000" w:themeColor="text1"/>
              </w:rPr>
              <w:t>217 (32.5)</w:t>
            </w:r>
          </w:p>
        </w:tc>
        <w:tc>
          <w:tcPr>
            <w:tcW w:w="1188" w:type="dxa"/>
          </w:tcPr>
          <w:p w14:paraId="30A69BB9" w14:textId="45667C2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44.7%</w:t>
            </w:r>
          </w:p>
        </w:tc>
        <w:tc>
          <w:tcPr>
            <w:tcW w:w="1188" w:type="dxa"/>
            <w:shd w:val="clear" w:color="auto" w:fill="auto"/>
            <w:tcMar>
              <w:top w:w="15" w:type="dxa"/>
              <w:left w:w="15" w:type="dxa"/>
              <w:right w:w="15" w:type="dxa"/>
            </w:tcMar>
            <w:vAlign w:val="bottom"/>
          </w:tcPr>
          <w:p w14:paraId="4F09076B" w14:textId="3969F346" w:rsidR="005A7FC2" w:rsidRPr="00580068" w:rsidRDefault="005A7FC2" w:rsidP="50448BAA">
            <w:r w:rsidRPr="00580068">
              <w:rPr>
                <w:rFonts w:ascii="Calibri" w:eastAsia="Calibri" w:hAnsi="Calibri" w:cs="Calibri"/>
                <w:color w:val="000000" w:themeColor="text1"/>
              </w:rPr>
              <w:t>201 (36.6)</w:t>
            </w:r>
          </w:p>
        </w:tc>
        <w:tc>
          <w:tcPr>
            <w:tcW w:w="1188" w:type="dxa"/>
          </w:tcPr>
          <w:p w14:paraId="1A7B2E06" w14:textId="4A393122"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52.1%</w:t>
            </w:r>
          </w:p>
        </w:tc>
        <w:tc>
          <w:tcPr>
            <w:tcW w:w="1188" w:type="dxa"/>
            <w:shd w:val="clear" w:color="auto" w:fill="auto"/>
            <w:tcMar>
              <w:top w:w="15" w:type="dxa"/>
              <w:left w:w="15" w:type="dxa"/>
              <w:right w:w="15" w:type="dxa"/>
            </w:tcMar>
            <w:vAlign w:val="bottom"/>
          </w:tcPr>
          <w:p w14:paraId="43623565" w14:textId="5175423E" w:rsidR="005A7FC2" w:rsidRPr="00580068" w:rsidRDefault="005A7FC2" w:rsidP="50448BAA">
            <w:r w:rsidRPr="00580068">
              <w:rPr>
                <w:rFonts w:ascii="Calibri" w:eastAsia="Calibri" w:hAnsi="Calibri" w:cs="Calibri"/>
                <w:color w:val="000000" w:themeColor="text1"/>
              </w:rPr>
              <w:t>34 (12.6)</w:t>
            </w:r>
          </w:p>
        </w:tc>
        <w:tc>
          <w:tcPr>
            <w:tcW w:w="1189" w:type="dxa"/>
          </w:tcPr>
          <w:p w14:paraId="60182D9C" w14:textId="1498CC9F"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29.5</w:t>
            </w:r>
          </w:p>
        </w:tc>
      </w:tr>
      <w:tr w:rsidR="005A7FC2" w:rsidRPr="00580068" w14:paraId="79CA8C54" w14:textId="1A9AAE7D" w:rsidTr="6CD0E11C">
        <w:trPr>
          <w:trHeight w:val="265"/>
        </w:trPr>
        <w:tc>
          <w:tcPr>
            <w:tcW w:w="2335" w:type="dxa"/>
            <w:shd w:val="clear" w:color="auto" w:fill="auto"/>
            <w:tcMar>
              <w:top w:w="15" w:type="dxa"/>
              <w:left w:w="15" w:type="dxa"/>
              <w:right w:w="15" w:type="dxa"/>
            </w:tcMar>
            <w:vAlign w:val="bottom"/>
          </w:tcPr>
          <w:p w14:paraId="5234E8E0" w14:textId="1DBDF6C4" w:rsidR="005A7FC2" w:rsidRPr="00580068" w:rsidRDefault="005A7FC2" w:rsidP="50448BAA">
            <w:r w:rsidRPr="00580068">
              <w:rPr>
                <w:rFonts w:ascii="Calibri" w:eastAsia="Calibri" w:hAnsi="Calibri" w:cs="Calibri"/>
                <w:color w:val="000000" w:themeColor="text1"/>
              </w:rPr>
              <w:t>Transplant</w:t>
            </w:r>
          </w:p>
        </w:tc>
        <w:tc>
          <w:tcPr>
            <w:tcW w:w="1188" w:type="dxa"/>
            <w:shd w:val="clear" w:color="auto" w:fill="auto"/>
            <w:tcMar>
              <w:top w:w="15" w:type="dxa"/>
              <w:left w:w="15" w:type="dxa"/>
              <w:right w:w="15" w:type="dxa"/>
            </w:tcMar>
            <w:vAlign w:val="bottom"/>
          </w:tcPr>
          <w:p w14:paraId="1AF7ABA0" w14:textId="26906A0E" w:rsidR="005A7FC2" w:rsidRPr="00580068" w:rsidRDefault="005A7FC2" w:rsidP="50448BAA">
            <w:r w:rsidRPr="00580068">
              <w:rPr>
                <w:rFonts w:ascii="Calibri" w:eastAsia="Calibri" w:hAnsi="Calibri" w:cs="Calibri"/>
                <w:color w:val="000000" w:themeColor="text1"/>
              </w:rPr>
              <w:t>59 (8.8)</w:t>
            </w:r>
          </w:p>
        </w:tc>
        <w:tc>
          <w:tcPr>
            <w:tcW w:w="1188" w:type="dxa"/>
          </w:tcPr>
          <w:p w14:paraId="54A0B1C4" w14:textId="75B2B396"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12.2%</w:t>
            </w:r>
          </w:p>
        </w:tc>
        <w:tc>
          <w:tcPr>
            <w:tcW w:w="1188" w:type="dxa"/>
            <w:shd w:val="clear" w:color="auto" w:fill="auto"/>
            <w:tcMar>
              <w:top w:w="15" w:type="dxa"/>
              <w:left w:w="15" w:type="dxa"/>
              <w:right w:w="15" w:type="dxa"/>
            </w:tcMar>
            <w:vAlign w:val="bottom"/>
          </w:tcPr>
          <w:p w14:paraId="0F8E1BC0" w14:textId="02B0D324" w:rsidR="005A7FC2" w:rsidRPr="00580068" w:rsidRDefault="005A7FC2" w:rsidP="50448BAA">
            <w:r w:rsidRPr="00580068">
              <w:rPr>
                <w:rFonts w:ascii="Calibri" w:eastAsia="Calibri" w:hAnsi="Calibri" w:cs="Calibri"/>
                <w:color w:val="000000" w:themeColor="text1"/>
              </w:rPr>
              <w:t>25 (4.6)</w:t>
            </w:r>
          </w:p>
        </w:tc>
        <w:tc>
          <w:tcPr>
            <w:tcW w:w="1188" w:type="dxa"/>
          </w:tcPr>
          <w:p w14:paraId="05C9800C" w14:textId="3884659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6.5%</w:t>
            </w:r>
          </w:p>
        </w:tc>
        <w:tc>
          <w:tcPr>
            <w:tcW w:w="1188" w:type="dxa"/>
            <w:shd w:val="clear" w:color="auto" w:fill="auto"/>
            <w:tcMar>
              <w:top w:w="15" w:type="dxa"/>
              <w:left w:w="15" w:type="dxa"/>
              <w:right w:w="15" w:type="dxa"/>
            </w:tcMar>
            <w:vAlign w:val="bottom"/>
          </w:tcPr>
          <w:p w14:paraId="4C2E64B7" w14:textId="02A16C6F" w:rsidR="005A7FC2" w:rsidRPr="00580068" w:rsidRDefault="005A7FC2" w:rsidP="50448BAA">
            <w:r w:rsidRPr="000F2BD7">
              <w:rPr>
                <w:rFonts w:ascii="Calibri" w:eastAsia="Calibri" w:hAnsi="Calibri" w:cs="Calibri"/>
                <w:color w:val="FF0000"/>
              </w:rPr>
              <w:t>1 (0.4)</w:t>
            </w:r>
          </w:p>
        </w:tc>
        <w:tc>
          <w:tcPr>
            <w:tcW w:w="1189" w:type="dxa"/>
          </w:tcPr>
          <w:p w14:paraId="3B24ABB4" w14:textId="5C36945A" w:rsidR="005A7FC2" w:rsidRPr="000F2BD7" w:rsidRDefault="000F2BD7" w:rsidP="50448BAA">
            <w:pPr>
              <w:rPr>
                <w:rFonts w:ascii="Calibri" w:eastAsia="Calibri" w:hAnsi="Calibri" w:cs="Calibri"/>
                <w:color w:val="FF0000"/>
                <w:highlight w:val="cyan"/>
              </w:rPr>
            </w:pPr>
            <w:r w:rsidRPr="000F2BD7">
              <w:rPr>
                <w:rFonts w:ascii="Calibri" w:eastAsia="Calibri" w:hAnsi="Calibri" w:cs="Calibri"/>
                <w:color w:val="FF0000"/>
                <w:highlight w:val="cyan"/>
              </w:rPr>
              <w:t>0%</w:t>
            </w:r>
          </w:p>
        </w:tc>
      </w:tr>
      <w:tr w:rsidR="005A7FC2" w:rsidRPr="00580068" w14:paraId="13254FE7" w14:textId="08DBFE5F" w:rsidTr="6CD0E11C">
        <w:trPr>
          <w:trHeight w:val="265"/>
        </w:trPr>
        <w:tc>
          <w:tcPr>
            <w:tcW w:w="2335" w:type="dxa"/>
            <w:shd w:val="clear" w:color="auto" w:fill="E7E6E6" w:themeFill="background2"/>
            <w:tcMar>
              <w:top w:w="15" w:type="dxa"/>
              <w:left w:w="15" w:type="dxa"/>
              <w:right w:w="15" w:type="dxa"/>
            </w:tcMar>
            <w:vAlign w:val="bottom"/>
          </w:tcPr>
          <w:p w14:paraId="473973B3" w14:textId="5DB6A8E1" w:rsidR="005A7FC2" w:rsidRPr="00580068" w:rsidRDefault="005A7FC2" w:rsidP="50448BAA">
            <w:pPr>
              <w:spacing w:line="259" w:lineRule="auto"/>
            </w:pPr>
            <w:r w:rsidRPr="00580068">
              <w:rPr>
                <w:rFonts w:ascii="Calibri" w:eastAsia="Calibri" w:hAnsi="Calibri" w:cs="Calibri"/>
                <w:color w:val="000000" w:themeColor="text1"/>
              </w:rPr>
              <w:t>No treatment</w:t>
            </w:r>
          </w:p>
        </w:tc>
        <w:tc>
          <w:tcPr>
            <w:tcW w:w="2376" w:type="dxa"/>
            <w:gridSpan w:val="2"/>
            <w:shd w:val="clear" w:color="auto" w:fill="E7E6E6" w:themeFill="background2"/>
            <w:tcMar>
              <w:top w:w="15" w:type="dxa"/>
              <w:left w:w="15" w:type="dxa"/>
              <w:right w:w="15" w:type="dxa"/>
            </w:tcMar>
            <w:vAlign w:val="bottom"/>
          </w:tcPr>
          <w:p w14:paraId="63CCC47C" w14:textId="791C7319"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183 (27.4)</w:t>
            </w:r>
          </w:p>
        </w:tc>
        <w:tc>
          <w:tcPr>
            <w:tcW w:w="2376" w:type="dxa"/>
            <w:gridSpan w:val="2"/>
            <w:shd w:val="clear" w:color="auto" w:fill="E7E6E6" w:themeFill="background2"/>
            <w:tcMar>
              <w:top w:w="15" w:type="dxa"/>
              <w:left w:w="15" w:type="dxa"/>
              <w:right w:w="15" w:type="dxa"/>
            </w:tcMar>
            <w:vAlign w:val="bottom"/>
          </w:tcPr>
          <w:p w14:paraId="637F6EBC" w14:textId="4A4F1FD1"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163 (29.7)</w:t>
            </w:r>
          </w:p>
        </w:tc>
        <w:tc>
          <w:tcPr>
            <w:tcW w:w="2377" w:type="dxa"/>
            <w:gridSpan w:val="2"/>
            <w:shd w:val="clear" w:color="auto" w:fill="E7E6E6" w:themeFill="background2"/>
            <w:tcMar>
              <w:top w:w="15" w:type="dxa"/>
              <w:left w:w="15" w:type="dxa"/>
              <w:right w:w="15" w:type="dxa"/>
            </w:tcMar>
            <w:vAlign w:val="bottom"/>
          </w:tcPr>
          <w:p w14:paraId="7ABA3E27" w14:textId="2099CACD"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146 (</w:t>
            </w:r>
            <w:proofErr w:type="gramStart"/>
            <w:r w:rsidRPr="00580068">
              <w:rPr>
                <w:rFonts w:ascii="Calibri" w:eastAsia="Calibri" w:hAnsi="Calibri" w:cs="Calibri"/>
                <w:color w:val="000000" w:themeColor="text1"/>
              </w:rPr>
              <w:t>54.3)</w:t>
            </w:r>
            <w:r w:rsidR="000F2BD7" w:rsidRPr="000F2BD7">
              <w:rPr>
                <w:rFonts w:ascii="Wingdings" w:eastAsia="Wingdings" w:hAnsi="Wingdings" w:cs="Wingdings"/>
                <w:color w:val="000000" w:themeColor="text1"/>
              </w:rPr>
              <w:t>à</w:t>
            </w:r>
            <w:proofErr w:type="gramEnd"/>
            <w:r w:rsidR="000F2BD7" w:rsidRPr="000F2BD7">
              <w:rPr>
                <w:rFonts w:ascii="Calibri" w:eastAsia="Calibri" w:hAnsi="Calibri" w:cs="Calibri"/>
                <w:color w:val="FF0000"/>
              </w:rPr>
              <w:t>154(57.2%)</w:t>
            </w:r>
          </w:p>
        </w:tc>
      </w:tr>
    </w:tbl>
    <w:p w14:paraId="7EBFA8C3" w14:textId="77777777" w:rsidR="005A7FC2" w:rsidRDefault="005A7FC2" w:rsidP="005A7FC2">
      <w:pPr>
        <w:pStyle w:val="CommentText"/>
      </w:pPr>
      <w:r w:rsidRPr="005A7FC2">
        <w:rPr>
          <w:highlight w:val="cyan"/>
        </w:rPr>
        <w:t>Percent out of those treated are highlighted in blue (these percentages exclude the untreated patients)</w:t>
      </w:r>
    </w:p>
    <w:p w14:paraId="69ED2848" w14:textId="725AF413" w:rsidR="50448BAA" w:rsidRDefault="50448BAA" w:rsidP="50448BAA">
      <w:pPr>
        <w:spacing w:line="259" w:lineRule="auto"/>
      </w:pPr>
    </w:p>
    <w:p w14:paraId="24FBBAE5" w14:textId="77777777" w:rsidR="00FC63E7" w:rsidRDefault="00FC63E7" w:rsidP="59961667">
      <w:pPr>
        <w:rPr>
          <w:b/>
          <w:bCs/>
        </w:rPr>
      </w:pPr>
    </w:p>
    <w:p w14:paraId="7C374A63" w14:textId="0613FCF5" w:rsidR="15CC1F5B" w:rsidRDefault="3CB5EE51" w:rsidP="59961667">
      <w:pPr>
        <w:rPr>
          <w:b/>
        </w:rPr>
      </w:pPr>
      <w:r w:rsidRPr="509B0EFC">
        <w:rPr>
          <w:b/>
        </w:rPr>
        <w:t>Annual rate of death in MASLD patients:</w:t>
      </w:r>
      <w:r w:rsidR="00645343">
        <w:rPr>
          <w:b/>
          <w:bCs/>
        </w:rPr>
        <w:t xml:space="preserve"> </w:t>
      </w:r>
    </w:p>
    <w:tbl>
      <w:tblPr>
        <w:tblStyle w:val="TableGrid"/>
        <w:tblW w:w="9360" w:type="dxa"/>
        <w:tblInd w:w="0" w:type="dxa"/>
        <w:tblLayout w:type="fixed"/>
        <w:tblLook w:val="06A0" w:firstRow="1" w:lastRow="0" w:firstColumn="1" w:lastColumn="0" w:noHBand="1" w:noVBand="1"/>
      </w:tblPr>
      <w:tblGrid>
        <w:gridCol w:w="2695"/>
        <w:gridCol w:w="2610"/>
        <w:gridCol w:w="1715"/>
        <w:gridCol w:w="2340"/>
      </w:tblGrid>
      <w:tr w:rsidR="59961667" w14:paraId="4F236453" w14:textId="77777777" w:rsidTr="597E9ACB">
        <w:trPr>
          <w:trHeight w:val="300"/>
        </w:trPr>
        <w:tc>
          <w:tcPr>
            <w:tcW w:w="2695" w:type="dxa"/>
          </w:tcPr>
          <w:p w14:paraId="0D7D3B5B" w14:textId="34A6D31E" w:rsidR="59961667" w:rsidRDefault="59961667" w:rsidP="59961667">
            <w:pPr>
              <w:rPr>
                <w:b/>
                <w:bCs/>
              </w:rPr>
            </w:pPr>
          </w:p>
        </w:tc>
        <w:tc>
          <w:tcPr>
            <w:tcW w:w="2610" w:type="dxa"/>
          </w:tcPr>
          <w:p w14:paraId="3A9B1268" w14:textId="7472E544" w:rsidR="59961667" w:rsidRDefault="7AD62870" w:rsidP="59961667">
            <w:pPr>
              <w:rPr>
                <w:b/>
                <w:bCs/>
              </w:rPr>
            </w:pPr>
            <w:r w:rsidRPr="509B0EFC">
              <w:rPr>
                <w:b/>
                <w:bCs/>
              </w:rPr>
              <w:t>Original data</w:t>
            </w:r>
            <w:r w:rsidR="00971B99">
              <w:rPr>
                <w:b/>
                <w:bCs/>
              </w:rPr>
              <w:t xml:space="preserve"> from </w:t>
            </w:r>
            <w:r w:rsidR="007F7254">
              <w:rPr>
                <w:b/>
                <w:bCs/>
              </w:rPr>
              <w:t>reference</w:t>
            </w:r>
          </w:p>
        </w:tc>
        <w:tc>
          <w:tcPr>
            <w:tcW w:w="1715" w:type="dxa"/>
          </w:tcPr>
          <w:p w14:paraId="0DE2A65A" w14:textId="63513920" w:rsidR="24D0A102" w:rsidRPr="50448BAA" w:rsidRDefault="24D0A102" w:rsidP="509B0EFC">
            <w:pPr>
              <w:rPr>
                <w:b/>
                <w:bCs/>
              </w:rPr>
            </w:pPr>
            <w:r w:rsidRPr="50448BAA">
              <w:rPr>
                <w:b/>
                <w:bCs/>
              </w:rPr>
              <w:t xml:space="preserve">Calculated </w:t>
            </w:r>
            <w:r w:rsidR="09EFB4FC" w:rsidRPr="50448BAA">
              <w:rPr>
                <w:b/>
                <w:bCs/>
              </w:rPr>
              <w:t>Annual death rate</w:t>
            </w:r>
          </w:p>
        </w:tc>
        <w:tc>
          <w:tcPr>
            <w:tcW w:w="2340" w:type="dxa"/>
          </w:tcPr>
          <w:p w14:paraId="75E2853C" w14:textId="7649DF8A" w:rsidR="59961667" w:rsidRDefault="59961667" w:rsidP="59961667">
            <w:pPr>
              <w:rPr>
                <w:b/>
                <w:bCs/>
              </w:rPr>
            </w:pPr>
            <w:r w:rsidRPr="59961667">
              <w:rPr>
                <w:b/>
                <w:bCs/>
              </w:rPr>
              <w:t xml:space="preserve">Reference </w:t>
            </w:r>
          </w:p>
        </w:tc>
      </w:tr>
      <w:tr w:rsidR="59961667" w14:paraId="46E96B83" w14:textId="77777777" w:rsidTr="597E9ACB">
        <w:trPr>
          <w:trHeight w:val="300"/>
        </w:trPr>
        <w:tc>
          <w:tcPr>
            <w:tcW w:w="2695" w:type="dxa"/>
          </w:tcPr>
          <w:p w14:paraId="4C257650" w14:textId="77777777" w:rsidR="59961667" w:rsidRDefault="59961667" w:rsidP="59961667">
            <w:r>
              <w:lastRenderedPageBreak/>
              <w:t>No cirrhosis</w:t>
            </w:r>
            <w:r w:rsidR="007136B4">
              <w:t xml:space="preserve"> (MASLD)</w:t>
            </w:r>
          </w:p>
          <w:p w14:paraId="1F8947B2" w14:textId="77777777" w:rsidR="007539BC" w:rsidRDefault="007539BC" w:rsidP="59961667"/>
          <w:p w14:paraId="46F7BFE4" w14:textId="55F8A505" w:rsidR="007539BC" w:rsidRPr="007539BC" w:rsidRDefault="007539BC" w:rsidP="59961667">
            <w:pPr>
              <w:rPr>
                <w:i/>
                <w:iCs/>
              </w:rPr>
            </w:pPr>
            <w:r>
              <w:rPr>
                <w:i/>
                <w:iCs/>
              </w:rPr>
              <w:t xml:space="preserve">Limit to liver related death only </w:t>
            </w:r>
            <w:proofErr w:type="spellStart"/>
            <w:r>
              <w:rPr>
                <w:i/>
                <w:iCs/>
              </w:rPr>
              <w:t>bc</w:t>
            </w:r>
            <w:proofErr w:type="spellEnd"/>
            <w:r>
              <w:rPr>
                <w:i/>
                <w:iCs/>
              </w:rPr>
              <w:t xml:space="preserve"> MASLD </w:t>
            </w:r>
            <w:r w:rsidRPr="007539BC">
              <w:rPr>
                <w:rFonts w:ascii="Wingdings" w:eastAsia="Wingdings" w:hAnsi="Wingdings" w:cs="Wingdings"/>
                <w:i/>
                <w:iCs/>
              </w:rPr>
              <w:t>à</w:t>
            </w:r>
            <w:r>
              <w:rPr>
                <w:i/>
                <w:iCs/>
              </w:rPr>
              <w:t xml:space="preserve"> death rate is adjusted by age specific death rate as well. We want this death rate to be the combined probability of death due to age AND MASLD </w:t>
            </w:r>
          </w:p>
        </w:tc>
        <w:tc>
          <w:tcPr>
            <w:tcW w:w="2610" w:type="dxa"/>
          </w:tcPr>
          <w:p w14:paraId="16FB284C" w14:textId="5638DCB7" w:rsidR="00EF6FDA" w:rsidRPr="00E663A0" w:rsidRDefault="00E47122" w:rsidP="005C51D6">
            <w:r w:rsidRPr="00852781">
              <w:rPr>
                <w:highlight w:val="cyan"/>
              </w:rPr>
              <w:t>c</w:t>
            </w:r>
            <w:r w:rsidR="06C2198C" w:rsidRPr="00852781">
              <w:rPr>
                <w:highlight w:val="cyan"/>
              </w:rPr>
              <w:t>. 1.75</w:t>
            </w:r>
            <w:r w:rsidR="007D316C" w:rsidRPr="00852781">
              <w:rPr>
                <w:highlight w:val="cyan"/>
              </w:rPr>
              <w:t>(0.58–2.91)</w:t>
            </w:r>
            <w:r w:rsidR="06C2198C" w:rsidRPr="00852781">
              <w:rPr>
                <w:highlight w:val="cyan"/>
              </w:rPr>
              <w:t xml:space="preserve"> per 1000 PYs for liver related all NAFLD</w:t>
            </w:r>
          </w:p>
        </w:tc>
        <w:tc>
          <w:tcPr>
            <w:tcW w:w="1715" w:type="dxa"/>
          </w:tcPr>
          <w:p w14:paraId="5ABBC080" w14:textId="31E93B2C" w:rsidR="00EE14F1" w:rsidRPr="00EC66C5" w:rsidRDefault="005C51D6" w:rsidP="005C51D6">
            <w:r>
              <w:t>0.175% (0.058%-0.291%)</w:t>
            </w:r>
          </w:p>
        </w:tc>
        <w:tc>
          <w:tcPr>
            <w:tcW w:w="2340" w:type="dxa"/>
          </w:tcPr>
          <w:p w14:paraId="0CAE21BA" w14:textId="0AC0EB92" w:rsidR="00EF6FDA" w:rsidRPr="00F51D0F" w:rsidRDefault="597E9ACB" w:rsidP="06C2198C">
            <w:r w:rsidRPr="597E9ACB">
              <w:rPr>
                <w:rFonts w:ascii="Calibri" w:eastAsia="Calibri" w:hAnsi="Calibri" w:cs="Calibri"/>
              </w:rPr>
              <w:t xml:space="preserve">c. </w:t>
            </w:r>
            <w:hyperlink r:id="rId22" w:anchor="sec12">
              <w:r w:rsidRPr="597E9ACB">
                <w:rPr>
                  <w:rStyle w:val="Hyperlink"/>
                  <w:rFonts w:ascii="Calibri" w:eastAsia="Calibri" w:hAnsi="Calibri" w:cs="Calibri"/>
                </w:rPr>
                <w:t>Younossi 2023</w:t>
              </w:r>
            </w:hyperlink>
          </w:p>
        </w:tc>
      </w:tr>
      <w:tr w:rsidR="2D19C48D" w14:paraId="274154E3" w14:textId="77777777" w:rsidTr="597E9ACB">
        <w:trPr>
          <w:trHeight w:val="300"/>
        </w:trPr>
        <w:tc>
          <w:tcPr>
            <w:tcW w:w="2695" w:type="dxa"/>
          </w:tcPr>
          <w:p w14:paraId="12322CB8" w14:textId="7A1F740B" w:rsidR="2D19C48D" w:rsidRDefault="00A14B5F" w:rsidP="2D19C48D">
            <w:r>
              <w:t>C</w:t>
            </w:r>
            <w:r w:rsidR="00266CC2">
              <w:t>ompensated c</w:t>
            </w:r>
            <w:r w:rsidR="2D19C48D">
              <w:t>irrhosis</w:t>
            </w:r>
            <w:r w:rsidR="00971B99">
              <w:t>*</w:t>
            </w:r>
          </w:p>
        </w:tc>
        <w:tc>
          <w:tcPr>
            <w:tcW w:w="2610" w:type="dxa"/>
          </w:tcPr>
          <w:p w14:paraId="0B1012C1" w14:textId="25871F29" w:rsidR="00D048A7" w:rsidRDefault="491C2487" w:rsidP="00280FD5">
            <w:r>
              <w:t>b</w:t>
            </w:r>
            <w:r w:rsidRPr="00324804">
              <w:t>. 1.7% 1y liver related mortality</w:t>
            </w:r>
            <w:r w:rsidR="00324804" w:rsidRPr="00324804">
              <w:t>, 3.3% 10-year</w:t>
            </w:r>
            <w:r>
              <w:t xml:space="preserve"> </w:t>
            </w:r>
          </w:p>
          <w:p w14:paraId="5AA7D0A8" w14:textId="0D1EC5C0" w:rsidR="00324804" w:rsidRPr="000F4930" w:rsidRDefault="00324804" w:rsidP="00280FD5"/>
        </w:tc>
        <w:tc>
          <w:tcPr>
            <w:tcW w:w="1715" w:type="dxa"/>
          </w:tcPr>
          <w:p w14:paraId="31986E5F" w14:textId="77777777" w:rsidR="621F2DB3" w:rsidRDefault="00122A22" w:rsidP="5562F424">
            <w:r w:rsidRPr="00122A22">
              <w:t>1.7% (1.3-2.1)</w:t>
            </w:r>
          </w:p>
          <w:p w14:paraId="00AD1D53" w14:textId="77777777" w:rsidR="00122A22" w:rsidRDefault="00122A22" w:rsidP="5562F424"/>
          <w:p w14:paraId="33E6B972" w14:textId="249224C5" w:rsidR="00122A22" w:rsidRDefault="00122A22" w:rsidP="5562F424">
            <w:r w:rsidRPr="00122A22">
              <w:rPr>
                <w:rStyle w:val="normaltextrun"/>
                <w:color w:val="FF0000"/>
                <w:sz w:val="22"/>
                <w:szCs w:val="22"/>
              </w:rPr>
              <w:t>0.0034 (0.0034 – 0.0364)</w:t>
            </w:r>
            <w:r w:rsidRPr="00122A22">
              <w:rPr>
                <w:rStyle w:val="eop"/>
                <w:color w:val="FF0000"/>
                <w:sz w:val="22"/>
                <w:szCs w:val="22"/>
              </w:rPr>
              <w:t> </w:t>
            </w:r>
          </w:p>
        </w:tc>
        <w:tc>
          <w:tcPr>
            <w:tcW w:w="2340" w:type="dxa"/>
          </w:tcPr>
          <w:p w14:paraId="513653C1" w14:textId="70A6D52B" w:rsidR="00A14B5F" w:rsidRPr="000E241A" w:rsidRDefault="06C2198C" w:rsidP="00A14B5F">
            <w:pPr>
              <w:rPr>
                <w:color w:val="0000FF"/>
                <w:u w:val="single"/>
              </w:rPr>
            </w:pPr>
            <w:r>
              <w:t xml:space="preserve">b. </w:t>
            </w:r>
            <w:hyperlink r:id="rId23">
              <w:r w:rsidRPr="06C2198C">
                <w:rPr>
                  <w:rStyle w:val="Hyperlink"/>
                </w:rPr>
                <w:t>Wan</w:t>
              </w:r>
              <w:r w:rsidRPr="06C2198C">
                <w:rPr>
                  <w:rStyle w:val="Hyperlink"/>
                </w:rPr>
                <w:t>g</w:t>
              </w:r>
              <w:r w:rsidRPr="06C2198C">
                <w:rPr>
                  <w:rStyle w:val="Hyperlink"/>
                </w:rPr>
                <w:t xml:space="preserve"> 2023</w:t>
              </w:r>
            </w:hyperlink>
            <w:r w:rsidR="009C0019">
              <w:rPr>
                <w:rStyle w:val="Hyperlink"/>
              </w:rPr>
              <w:t xml:space="preserve"> (figure 4)</w:t>
            </w:r>
          </w:p>
          <w:p w14:paraId="11EF9F3F" w14:textId="77777777" w:rsidR="00A14B5F" w:rsidRDefault="00A14B5F" w:rsidP="06C2198C"/>
          <w:p w14:paraId="10E1B050" w14:textId="77777777" w:rsidR="00122A22" w:rsidRDefault="00122A22" w:rsidP="00122A22">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Wang (2023)</w:t>
            </w:r>
            <w:r>
              <w:rPr>
                <w:rStyle w:val="eop"/>
                <w:sz w:val="22"/>
                <w:szCs w:val="22"/>
              </w:rPr>
              <w:t> </w:t>
            </w:r>
          </w:p>
          <w:p w14:paraId="3D35A137" w14:textId="77777777" w:rsidR="00122A22" w:rsidRDefault="00122A22" w:rsidP="00122A22">
            <w:pPr>
              <w:pStyle w:val="paragraph"/>
              <w:spacing w:before="0" w:beforeAutospacing="0" w:after="0" w:afterAutospacing="0"/>
              <w:jc w:val="both"/>
              <w:textAlignment w:val="baseline"/>
              <w:rPr>
                <w:rFonts w:ascii="Segoe UI" w:hAnsi="Segoe UI" w:cs="Segoe UI"/>
                <w:sz w:val="18"/>
                <w:szCs w:val="18"/>
              </w:rPr>
            </w:pPr>
            <w:r>
              <w:rPr>
                <w:rStyle w:val="findhit"/>
                <w:sz w:val="22"/>
                <w:szCs w:val="22"/>
              </w:rPr>
              <w:t>Bermingham</w:t>
            </w:r>
            <w:r>
              <w:rPr>
                <w:rStyle w:val="normaltextrun"/>
                <w:sz w:val="22"/>
                <w:szCs w:val="22"/>
              </w:rPr>
              <w:t xml:space="preserve"> (2015)</w:t>
            </w:r>
            <w:r>
              <w:rPr>
                <w:rStyle w:val="eop"/>
                <w:sz w:val="22"/>
                <w:szCs w:val="22"/>
              </w:rPr>
              <w:t> </w:t>
            </w:r>
          </w:p>
          <w:p w14:paraId="675BF3E9" w14:textId="0A012E67" w:rsidR="00122A22" w:rsidRPr="00883002" w:rsidRDefault="00122A22" w:rsidP="06C2198C"/>
        </w:tc>
      </w:tr>
      <w:tr w:rsidR="59961667" w14:paraId="0415F01C" w14:textId="77777777" w:rsidTr="597E9ACB">
        <w:trPr>
          <w:trHeight w:val="300"/>
        </w:trPr>
        <w:tc>
          <w:tcPr>
            <w:tcW w:w="2695" w:type="dxa"/>
          </w:tcPr>
          <w:p w14:paraId="048F433E" w14:textId="31CDBD6E" w:rsidR="59961667" w:rsidRDefault="59961667" w:rsidP="59961667">
            <w:pPr>
              <w:rPr>
                <w:b/>
                <w:bCs/>
              </w:rPr>
            </w:pPr>
            <w:commentRangeStart w:id="8"/>
            <w:proofErr w:type="gramStart"/>
            <w:r>
              <w:t>Early stage</w:t>
            </w:r>
            <w:proofErr w:type="gramEnd"/>
            <w:r>
              <w:t xml:space="preserve"> HCC</w:t>
            </w:r>
            <w:commentRangeEnd w:id="8"/>
            <w:r w:rsidR="009F2990">
              <w:rPr>
                <w:rStyle w:val="CommentReference"/>
                <w:rFonts w:eastAsiaTheme="minorHAnsi"/>
                <w:lang w:eastAsia="en-US"/>
              </w:rPr>
              <w:commentReference w:id="8"/>
            </w:r>
          </w:p>
        </w:tc>
        <w:tc>
          <w:tcPr>
            <w:tcW w:w="2610" w:type="dxa"/>
          </w:tcPr>
          <w:p w14:paraId="2768D25F" w14:textId="29055C5D" w:rsidR="59961667" w:rsidRDefault="59961667" w:rsidP="59961667">
            <w:pPr>
              <w:rPr>
                <w:b/>
                <w:bCs/>
              </w:rPr>
            </w:pPr>
          </w:p>
        </w:tc>
        <w:tc>
          <w:tcPr>
            <w:tcW w:w="1715" w:type="dxa"/>
          </w:tcPr>
          <w:p w14:paraId="18FE86F5" w14:textId="1AB6DB10" w:rsidR="509B0EFC" w:rsidRDefault="509B0EFC" w:rsidP="509B0EFC">
            <w:pPr>
              <w:rPr>
                <w:b/>
                <w:bCs/>
              </w:rPr>
            </w:pPr>
          </w:p>
        </w:tc>
        <w:tc>
          <w:tcPr>
            <w:tcW w:w="2340" w:type="dxa"/>
          </w:tcPr>
          <w:p w14:paraId="7B98AFB1" w14:textId="29055C5D" w:rsidR="59961667" w:rsidRDefault="59961667" w:rsidP="59961667">
            <w:pPr>
              <w:rPr>
                <w:b/>
                <w:bCs/>
              </w:rPr>
            </w:pPr>
          </w:p>
        </w:tc>
      </w:tr>
      <w:tr w:rsidR="59961667" w14:paraId="26F929C8" w14:textId="77777777" w:rsidTr="597E9ACB">
        <w:trPr>
          <w:trHeight w:val="300"/>
        </w:trPr>
        <w:tc>
          <w:tcPr>
            <w:tcW w:w="2695" w:type="dxa"/>
          </w:tcPr>
          <w:p w14:paraId="06ED1FB5" w14:textId="01942F8F" w:rsidR="59961667" w:rsidRDefault="59961667" w:rsidP="59961667">
            <w:pPr>
              <w:ind w:left="720"/>
              <w:rPr>
                <w:color w:val="000000" w:themeColor="text1"/>
              </w:rPr>
            </w:pPr>
            <w:r w:rsidRPr="59961667">
              <w:rPr>
                <w:color w:val="000000" w:themeColor="text1"/>
              </w:rPr>
              <w:t>Transplant</w:t>
            </w:r>
          </w:p>
        </w:tc>
        <w:tc>
          <w:tcPr>
            <w:tcW w:w="2610" w:type="dxa"/>
          </w:tcPr>
          <w:p w14:paraId="245C41B3" w14:textId="4F418370" w:rsidR="59961667" w:rsidRPr="00DA606C" w:rsidRDefault="008408E0" w:rsidP="59961667">
            <w:r>
              <w:t xml:space="preserve">60%-70% </w:t>
            </w:r>
            <w:r w:rsidRPr="008408E0">
              <w:t xml:space="preserve">5-year </w:t>
            </w:r>
            <w:r w:rsidR="00583245">
              <w:t>OS</w:t>
            </w:r>
            <w:r w:rsidRPr="008408E0">
              <w:t xml:space="preserve"> rate</w:t>
            </w:r>
          </w:p>
        </w:tc>
        <w:tc>
          <w:tcPr>
            <w:tcW w:w="1715" w:type="dxa"/>
          </w:tcPr>
          <w:p w14:paraId="37184288" w14:textId="1FD23FB1" w:rsidR="182B865A" w:rsidRDefault="182B865A" w:rsidP="509B0EFC">
            <w:r>
              <w:t xml:space="preserve">8.25% </w:t>
            </w:r>
            <w:r w:rsidRPr="50448BAA">
              <w:rPr>
                <w:rFonts w:ascii="Calibri" w:eastAsia="Calibri" w:hAnsi="Calibri" w:cs="Calibri"/>
                <w:sz w:val="22"/>
                <w:szCs w:val="22"/>
              </w:rPr>
              <w:t xml:space="preserve"> </w:t>
            </w:r>
          </w:p>
        </w:tc>
        <w:tc>
          <w:tcPr>
            <w:tcW w:w="2340" w:type="dxa"/>
          </w:tcPr>
          <w:p w14:paraId="71F691A6" w14:textId="2F694FF4" w:rsidR="59961667" w:rsidRPr="001B1AD6" w:rsidRDefault="001B1AD6" w:rsidP="59961667">
            <w:hyperlink r:id="rId24" w:history="1">
              <w:r w:rsidRPr="00971B99">
                <w:rPr>
                  <w:rStyle w:val="Hyperlink"/>
                </w:rPr>
                <w:t>American cancer society data</w:t>
              </w:r>
            </w:hyperlink>
          </w:p>
        </w:tc>
      </w:tr>
      <w:tr w:rsidR="59961667" w14:paraId="6DF0CE9E" w14:textId="77777777" w:rsidTr="597E9ACB">
        <w:trPr>
          <w:trHeight w:val="300"/>
        </w:trPr>
        <w:tc>
          <w:tcPr>
            <w:tcW w:w="2695" w:type="dxa"/>
          </w:tcPr>
          <w:p w14:paraId="64EFEE62" w14:textId="4F92D5B2" w:rsidR="59961667" w:rsidRDefault="00AF634C" w:rsidP="59961667">
            <w:pPr>
              <w:ind w:left="720"/>
            </w:pPr>
            <w:r>
              <w:t>R</w:t>
            </w:r>
            <w:r w:rsidR="59961667">
              <w:t>esection</w:t>
            </w:r>
          </w:p>
        </w:tc>
        <w:tc>
          <w:tcPr>
            <w:tcW w:w="2610" w:type="dxa"/>
          </w:tcPr>
          <w:p w14:paraId="4C6B36B3" w14:textId="3A74BB26" w:rsidR="59961667" w:rsidRPr="005B64C4" w:rsidRDefault="00E2529E" w:rsidP="59961667">
            <w:r w:rsidRPr="00E2529E">
              <w:t>88.9%</w:t>
            </w:r>
            <w:r>
              <w:t xml:space="preserve"> </w:t>
            </w:r>
            <w:r w:rsidRPr="00E2529E">
              <w:t>1-year</w:t>
            </w:r>
            <w:r>
              <w:t xml:space="preserve"> </w:t>
            </w:r>
            <w:r w:rsidR="00583245">
              <w:t>OS</w:t>
            </w:r>
            <w:r w:rsidRPr="00E2529E">
              <w:t xml:space="preserve"> rate</w:t>
            </w:r>
          </w:p>
        </w:tc>
        <w:tc>
          <w:tcPr>
            <w:tcW w:w="1715" w:type="dxa"/>
          </w:tcPr>
          <w:p w14:paraId="542F26B5" w14:textId="26CCC038" w:rsidR="79F40E49" w:rsidRDefault="79F40E49" w:rsidP="509B0EFC">
            <w:r>
              <w:t>11.1%</w:t>
            </w:r>
          </w:p>
        </w:tc>
        <w:tc>
          <w:tcPr>
            <w:tcW w:w="2340" w:type="dxa"/>
          </w:tcPr>
          <w:p w14:paraId="0F7CBD50" w14:textId="417F648E" w:rsidR="59961667" w:rsidRPr="00535861" w:rsidRDefault="00535861" w:rsidP="59961667">
            <w:hyperlink r:id="rId25" w:history="1">
              <w:r w:rsidRPr="00971B99">
                <w:rPr>
                  <w:rStyle w:val="Hyperlink"/>
                </w:rPr>
                <w:t>Thornton 2022</w:t>
              </w:r>
            </w:hyperlink>
          </w:p>
        </w:tc>
      </w:tr>
      <w:tr w:rsidR="59961667" w14:paraId="7DDBDC6D" w14:textId="77777777" w:rsidTr="597E9ACB">
        <w:trPr>
          <w:trHeight w:val="300"/>
        </w:trPr>
        <w:tc>
          <w:tcPr>
            <w:tcW w:w="2695" w:type="dxa"/>
          </w:tcPr>
          <w:p w14:paraId="1868F2B7" w14:textId="4F1CEAB9" w:rsidR="59961667" w:rsidRDefault="59961667" w:rsidP="59961667">
            <w:pPr>
              <w:ind w:left="720"/>
            </w:pPr>
            <w:r>
              <w:t>TACE</w:t>
            </w:r>
          </w:p>
        </w:tc>
        <w:tc>
          <w:tcPr>
            <w:tcW w:w="2610" w:type="dxa"/>
          </w:tcPr>
          <w:p w14:paraId="26AB0E64" w14:textId="03EAEEA9" w:rsidR="59961667" w:rsidRPr="006A18A5" w:rsidRDefault="00BA3400" w:rsidP="59961667">
            <w:r w:rsidRPr="00BA3400">
              <w:t>93.3%</w:t>
            </w:r>
            <w:r>
              <w:t xml:space="preserve"> </w:t>
            </w:r>
            <w:r w:rsidRPr="00E2529E">
              <w:t>1-year</w:t>
            </w:r>
            <w:r>
              <w:t xml:space="preserve"> </w:t>
            </w:r>
            <w:r w:rsidR="00583245">
              <w:t>OS</w:t>
            </w:r>
            <w:r w:rsidR="00583245" w:rsidRPr="00E2529E">
              <w:t xml:space="preserve"> </w:t>
            </w:r>
            <w:r w:rsidRPr="00E2529E">
              <w:t>rate</w:t>
            </w:r>
          </w:p>
        </w:tc>
        <w:tc>
          <w:tcPr>
            <w:tcW w:w="1715" w:type="dxa"/>
          </w:tcPr>
          <w:p w14:paraId="3093018E" w14:textId="56C2AB36" w:rsidR="256807AB" w:rsidRDefault="256807AB" w:rsidP="509B0EFC">
            <w:r>
              <w:t>6.7%</w:t>
            </w:r>
          </w:p>
        </w:tc>
        <w:tc>
          <w:tcPr>
            <w:tcW w:w="2340" w:type="dxa"/>
          </w:tcPr>
          <w:p w14:paraId="57AA9FD3" w14:textId="40B6E07C" w:rsidR="59961667" w:rsidRPr="00D704F5" w:rsidRDefault="00D704F5" w:rsidP="59961667">
            <w:hyperlink r:id="rId26" w:history="1">
              <w:r w:rsidRPr="00971B99">
                <w:rPr>
                  <w:rStyle w:val="Hyperlink"/>
                </w:rPr>
                <w:t>Kim 2017</w:t>
              </w:r>
            </w:hyperlink>
          </w:p>
        </w:tc>
      </w:tr>
      <w:tr w:rsidR="59961667" w14:paraId="37376D9B" w14:textId="77777777" w:rsidTr="597E9ACB">
        <w:trPr>
          <w:trHeight w:val="300"/>
        </w:trPr>
        <w:tc>
          <w:tcPr>
            <w:tcW w:w="2695" w:type="dxa"/>
          </w:tcPr>
          <w:p w14:paraId="308E0583" w14:textId="5FBF01D6" w:rsidR="59961667" w:rsidRDefault="00AF634C" w:rsidP="59961667">
            <w:pPr>
              <w:ind w:left="720"/>
            </w:pPr>
            <w:r>
              <w:t>A</w:t>
            </w:r>
            <w:r w:rsidR="59961667">
              <w:t>blation</w:t>
            </w:r>
          </w:p>
        </w:tc>
        <w:tc>
          <w:tcPr>
            <w:tcW w:w="2610" w:type="dxa"/>
          </w:tcPr>
          <w:p w14:paraId="4BD2AA5A" w14:textId="1D66EEF1" w:rsidR="59961667" w:rsidRPr="00064D43" w:rsidRDefault="00D713CB" w:rsidP="59961667">
            <w:r w:rsidRPr="00D713CB">
              <w:t>43.2%</w:t>
            </w:r>
            <w:r>
              <w:t xml:space="preserve"> 5</w:t>
            </w:r>
            <w:r w:rsidRPr="00E2529E">
              <w:t>-year</w:t>
            </w:r>
            <w:r>
              <w:t xml:space="preserve"> </w:t>
            </w:r>
            <w:r w:rsidR="00583245">
              <w:t>OS</w:t>
            </w:r>
            <w:r w:rsidRPr="00E2529E">
              <w:t xml:space="preserve"> rate</w:t>
            </w:r>
          </w:p>
        </w:tc>
        <w:tc>
          <w:tcPr>
            <w:tcW w:w="1715" w:type="dxa"/>
          </w:tcPr>
          <w:p w14:paraId="6D9A265C" w14:textId="00C050E3" w:rsidR="07856D9A" w:rsidRDefault="07856D9A" w:rsidP="509B0EFC">
            <w:r>
              <w:t>15.5%</w:t>
            </w:r>
          </w:p>
        </w:tc>
        <w:tc>
          <w:tcPr>
            <w:tcW w:w="2340" w:type="dxa"/>
          </w:tcPr>
          <w:p w14:paraId="3CD0318F" w14:textId="7D1B5A5F" w:rsidR="59961667" w:rsidRPr="00AA7A20" w:rsidRDefault="00AA7A20" w:rsidP="59961667">
            <w:hyperlink r:id="rId27" w:history="1">
              <w:r w:rsidRPr="00971B99">
                <w:rPr>
                  <w:rStyle w:val="Hyperlink"/>
                </w:rPr>
                <w:t>Zhang 2021</w:t>
              </w:r>
            </w:hyperlink>
          </w:p>
        </w:tc>
      </w:tr>
      <w:tr w:rsidR="59961667" w14:paraId="23109AEE" w14:textId="77777777" w:rsidTr="597E9ACB">
        <w:trPr>
          <w:trHeight w:val="300"/>
        </w:trPr>
        <w:tc>
          <w:tcPr>
            <w:tcW w:w="2695" w:type="dxa"/>
          </w:tcPr>
          <w:p w14:paraId="0C2E2FC8" w14:textId="3C4834A3" w:rsidR="59961667" w:rsidRDefault="00AF634C" w:rsidP="59961667">
            <w:pPr>
              <w:ind w:left="720"/>
            </w:pPr>
            <w:r>
              <w:rPr>
                <w:color w:val="000000" w:themeColor="text1"/>
              </w:rPr>
              <w:t>S</w:t>
            </w:r>
            <w:r w:rsidR="59961667">
              <w:t>ystemic chemotherapy</w:t>
            </w:r>
          </w:p>
        </w:tc>
        <w:tc>
          <w:tcPr>
            <w:tcW w:w="2610" w:type="dxa"/>
          </w:tcPr>
          <w:p w14:paraId="7A030080" w14:textId="0AB119D3" w:rsidR="59961667" w:rsidRPr="00A659E5" w:rsidRDefault="59961667" w:rsidP="59961667"/>
        </w:tc>
        <w:tc>
          <w:tcPr>
            <w:tcW w:w="1715" w:type="dxa"/>
          </w:tcPr>
          <w:p w14:paraId="3D2E200C" w14:textId="15E81ACD" w:rsidR="50BAD3AC" w:rsidRPr="50448BAA" w:rsidRDefault="1890523D" w:rsidP="1890523D">
            <w:r>
              <w:t>61.9%</w:t>
            </w:r>
          </w:p>
        </w:tc>
        <w:tc>
          <w:tcPr>
            <w:tcW w:w="2340" w:type="dxa"/>
          </w:tcPr>
          <w:p w14:paraId="03E0D228" w14:textId="2804D718" w:rsidR="59961667" w:rsidRPr="00400CEF" w:rsidRDefault="1890523D" w:rsidP="1890523D">
            <w:commentRangeStart w:id="9"/>
            <w:r>
              <w:t>SEER-Medicare</w:t>
            </w:r>
            <w:commentRangeEnd w:id="9"/>
            <w:r w:rsidR="50BAD3AC">
              <w:rPr>
                <w:rStyle w:val="CommentReference"/>
              </w:rPr>
              <w:commentReference w:id="9"/>
            </w:r>
            <w:r w:rsidR="007F7254">
              <w:t>, calculated from MASLD patient data</w:t>
            </w:r>
          </w:p>
        </w:tc>
      </w:tr>
      <w:tr w:rsidR="59961667" w14:paraId="15BF1784" w14:textId="77777777" w:rsidTr="597E9ACB">
        <w:trPr>
          <w:trHeight w:val="300"/>
        </w:trPr>
        <w:tc>
          <w:tcPr>
            <w:tcW w:w="2695" w:type="dxa"/>
          </w:tcPr>
          <w:p w14:paraId="5AC0F7BF" w14:textId="0FE35452" w:rsidR="59961667" w:rsidRDefault="00AF634C" w:rsidP="59961667">
            <w:pPr>
              <w:ind w:left="720"/>
            </w:pPr>
            <w:r>
              <w:t>R</w:t>
            </w:r>
            <w:r w:rsidR="59961667">
              <w:t>adiotherapy</w:t>
            </w:r>
          </w:p>
        </w:tc>
        <w:tc>
          <w:tcPr>
            <w:tcW w:w="2610" w:type="dxa"/>
            <w:shd w:val="clear" w:color="auto" w:fill="auto"/>
          </w:tcPr>
          <w:p w14:paraId="526A50BD" w14:textId="10E953EB" w:rsidR="59961667" w:rsidRPr="006943DE" w:rsidRDefault="004756FA" w:rsidP="59961667">
            <w:r w:rsidRPr="004756FA">
              <w:t>70.4%</w:t>
            </w:r>
            <w:r>
              <w:t xml:space="preserve"> </w:t>
            </w:r>
            <w:r w:rsidRPr="004756FA">
              <w:t xml:space="preserve">3-year </w:t>
            </w:r>
            <w:r>
              <w:t>OS</w:t>
            </w:r>
            <w:r w:rsidRPr="004756FA">
              <w:t xml:space="preserve"> rates</w:t>
            </w:r>
          </w:p>
        </w:tc>
        <w:tc>
          <w:tcPr>
            <w:tcW w:w="1715" w:type="dxa"/>
            <w:shd w:val="clear" w:color="auto" w:fill="auto"/>
          </w:tcPr>
          <w:p w14:paraId="6C8E0D26" w14:textId="51ABFB0B" w:rsidR="35D36E6D" w:rsidRDefault="35D36E6D" w:rsidP="509B0EFC">
            <w:r>
              <w:t>11.0%</w:t>
            </w:r>
          </w:p>
        </w:tc>
        <w:tc>
          <w:tcPr>
            <w:tcW w:w="2340" w:type="dxa"/>
            <w:shd w:val="clear" w:color="auto" w:fill="auto"/>
          </w:tcPr>
          <w:p w14:paraId="25D1C789" w14:textId="753E0FEA" w:rsidR="59961667" w:rsidRPr="00047FD5" w:rsidRDefault="00047FD5" w:rsidP="59961667">
            <w:hyperlink r:id="rId28" w:history="1">
              <w:r w:rsidRPr="00AF634C">
                <w:rPr>
                  <w:rStyle w:val="Hyperlink"/>
                </w:rPr>
                <w:t>Hara 2019</w:t>
              </w:r>
            </w:hyperlink>
          </w:p>
        </w:tc>
      </w:tr>
      <w:tr w:rsidR="59961667" w14:paraId="1DE9FCFD" w14:textId="77777777" w:rsidTr="597E9ACB">
        <w:trPr>
          <w:trHeight w:val="300"/>
        </w:trPr>
        <w:tc>
          <w:tcPr>
            <w:tcW w:w="2695" w:type="dxa"/>
          </w:tcPr>
          <w:p w14:paraId="351D4DF8" w14:textId="45106678" w:rsidR="59961667" w:rsidRDefault="59961667" w:rsidP="59961667">
            <w:pPr>
              <w:ind w:left="720"/>
            </w:pPr>
            <w:r>
              <w:t>Untreated</w:t>
            </w:r>
          </w:p>
        </w:tc>
        <w:tc>
          <w:tcPr>
            <w:tcW w:w="2610" w:type="dxa"/>
          </w:tcPr>
          <w:p w14:paraId="5BDB5722" w14:textId="5C9A9AA3" w:rsidR="59961667" w:rsidRPr="00E82AA2" w:rsidRDefault="00F3168B" w:rsidP="59961667">
            <w:r w:rsidRPr="00F3168B">
              <w:t>64%</w:t>
            </w:r>
            <w:r>
              <w:t xml:space="preserve"> </w:t>
            </w:r>
            <w:r w:rsidRPr="00E2529E">
              <w:t>1-year</w:t>
            </w:r>
            <w:r>
              <w:t xml:space="preserve"> OS</w:t>
            </w:r>
            <w:r w:rsidRPr="00E2529E">
              <w:t xml:space="preserve"> rate</w:t>
            </w:r>
          </w:p>
        </w:tc>
        <w:tc>
          <w:tcPr>
            <w:tcW w:w="1715" w:type="dxa"/>
          </w:tcPr>
          <w:p w14:paraId="094E1B47" w14:textId="540DBECE" w:rsidR="1410B8FD" w:rsidRDefault="1410B8FD" w:rsidP="509B0EFC">
            <w:r>
              <w:t>3</w:t>
            </w:r>
            <w:r w:rsidR="104EEFA1">
              <w:t>5.7</w:t>
            </w:r>
            <w:r>
              <w:t>%</w:t>
            </w:r>
          </w:p>
        </w:tc>
        <w:tc>
          <w:tcPr>
            <w:tcW w:w="2340" w:type="dxa"/>
          </w:tcPr>
          <w:p w14:paraId="109BCBC1" w14:textId="1648A20C" w:rsidR="00F3168B" w:rsidRPr="00334DB3" w:rsidRDefault="009C6AD4" w:rsidP="59961667">
            <w:hyperlink r:id="rId29" w:history="1">
              <w:r w:rsidRPr="00AF634C">
                <w:rPr>
                  <w:rStyle w:val="Hyperlink"/>
                </w:rPr>
                <w:t>Khalaf</w:t>
              </w:r>
              <w:r w:rsidR="00F3168B" w:rsidRPr="00AF634C">
                <w:rPr>
                  <w:rStyle w:val="Hyperlink"/>
                </w:rPr>
                <w:t xml:space="preserve"> 2017</w:t>
              </w:r>
            </w:hyperlink>
          </w:p>
        </w:tc>
      </w:tr>
      <w:tr w:rsidR="59961667" w14:paraId="5AD1193C" w14:textId="77777777" w:rsidTr="597E9ACB">
        <w:trPr>
          <w:trHeight w:val="300"/>
        </w:trPr>
        <w:tc>
          <w:tcPr>
            <w:tcW w:w="2695" w:type="dxa"/>
          </w:tcPr>
          <w:p w14:paraId="2C794F80" w14:textId="2C4A34B7" w:rsidR="59961667" w:rsidRDefault="59961667" w:rsidP="59961667">
            <w:pPr>
              <w:rPr>
                <w:b/>
                <w:bCs/>
              </w:rPr>
            </w:pPr>
            <w:r>
              <w:t>Intermediate stage HCC</w:t>
            </w:r>
          </w:p>
        </w:tc>
        <w:tc>
          <w:tcPr>
            <w:tcW w:w="2610" w:type="dxa"/>
          </w:tcPr>
          <w:p w14:paraId="458FB19B" w14:textId="6584491A" w:rsidR="59961667" w:rsidRDefault="59961667" w:rsidP="59961667">
            <w:pPr>
              <w:rPr>
                <w:b/>
                <w:bCs/>
              </w:rPr>
            </w:pPr>
          </w:p>
        </w:tc>
        <w:tc>
          <w:tcPr>
            <w:tcW w:w="1715" w:type="dxa"/>
          </w:tcPr>
          <w:p w14:paraId="001597A9" w14:textId="5AFBD074" w:rsidR="509B0EFC" w:rsidRDefault="509B0EFC" w:rsidP="509B0EFC">
            <w:pPr>
              <w:rPr>
                <w:b/>
                <w:bCs/>
              </w:rPr>
            </w:pPr>
          </w:p>
        </w:tc>
        <w:tc>
          <w:tcPr>
            <w:tcW w:w="2340" w:type="dxa"/>
          </w:tcPr>
          <w:p w14:paraId="3A1280E5" w14:textId="4CBC6EB7" w:rsidR="59961667" w:rsidRDefault="59961667" w:rsidP="59961667">
            <w:pPr>
              <w:rPr>
                <w:b/>
                <w:bCs/>
              </w:rPr>
            </w:pPr>
          </w:p>
        </w:tc>
      </w:tr>
      <w:tr w:rsidR="59961667" w14:paraId="5A033053" w14:textId="77777777" w:rsidTr="597E9ACB">
        <w:trPr>
          <w:trHeight w:val="300"/>
        </w:trPr>
        <w:tc>
          <w:tcPr>
            <w:tcW w:w="2695" w:type="dxa"/>
          </w:tcPr>
          <w:p w14:paraId="54DE5A9E" w14:textId="1F269799" w:rsidR="59961667" w:rsidRDefault="59961667" w:rsidP="59961667">
            <w:pPr>
              <w:ind w:left="720"/>
              <w:rPr>
                <w:color w:val="000000" w:themeColor="text1"/>
              </w:rPr>
            </w:pPr>
            <w:r w:rsidRPr="59961667">
              <w:rPr>
                <w:color w:val="000000" w:themeColor="text1"/>
              </w:rPr>
              <w:t>Transplant</w:t>
            </w:r>
          </w:p>
        </w:tc>
        <w:tc>
          <w:tcPr>
            <w:tcW w:w="2610" w:type="dxa"/>
          </w:tcPr>
          <w:p w14:paraId="0115299F" w14:textId="111CC1DE" w:rsidR="59961667" w:rsidRPr="00045675" w:rsidRDefault="00AC5C01" w:rsidP="59961667">
            <w:r>
              <w:t xml:space="preserve">88% </w:t>
            </w:r>
            <w:r w:rsidRPr="00AC5C01">
              <w:t>1-year OS rate</w:t>
            </w:r>
          </w:p>
        </w:tc>
        <w:tc>
          <w:tcPr>
            <w:tcW w:w="1715" w:type="dxa"/>
          </w:tcPr>
          <w:p w14:paraId="136EF8C4" w14:textId="7A1572B7" w:rsidR="323DA6B5" w:rsidRDefault="323DA6B5" w:rsidP="509B0EFC">
            <w:r>
              <w:t>12%</w:t>
            </w:r>
          </w:p>
        </w:tc>
        <w:tc>
          <w:tcPr>
            <w:tcW w:w="2340" w:type="dxa"/>
          </w:tcPr>
          <w:p w14:paraId="232ECEFA" w14:textId="4F308AA5" w:rsidR="59961667" w:rsidRPr="00900522" w:rsidRDefault="00900522" w:rsidP="59961667">
            <w:hyperlink r:id="rId30" w:history="1">
              <w:r w:rsidRPr="00AF634C">
                <w:rPr>
                  <w:rStyle w:val="Hyperlink"/>
                </w:rPr>
                <w:t>Kamo 2018</w:t>
              </w:r>
            </w:hyperlink>
          </w:p>
        </w:tc>
      </w:tr>
      <w:tr w:rsidR="59961667" w14:paraId="5539471F" w14:textId="77777777" w:rsidTr="597E9ACB">
        <w:trPr>
          <w:trHeight w:val="300"/>
        </w:trPr>
        <w:tc>
          <w:tcPr>
            <w:tcW w:w="2695" w:type="dxa"/>
            <w:shd w:val="clear" w:color="auto" w:fill="auto"/>
          </w:tcPr>
          <w:p w14:paraId="4665C513" w14:textId="18CC3E5B" w:rsidR="59961667" w:rsidRDefault="00AF634C" w:rsidP="59961667">
            <w:pPr>
              <w:ind w:left="720"/>
            </w:pPr>
            <w:r>
              <w:t>R</w:t>
            </w:r>
            <w:r w:rsidR="59961667">
              <w:t>esection</w:t>
            </w:r>
          </w:p>
        </w:tc>
        <w:tc>
          <w:tcPr>
            <w:tcW w:w="2610" w:type="dxa"/>
            <w:shd w:val="clear" w:color="auto" w:fill="auto"/>
          </w:tcPr>
          <w:p w14:paraId="66AE4247" w14:textId="3905DDFD" w:rsidR="59961667" w:rsidRPr="00BB6A2C" w:rsidRDefault="006854A3" w:rsidP="59961667">
            <w:r w:rsidRPr="006854A3">
              <w:t>92</w:t>
            </w:r>
            <w:r>
              <w:t xml:space="preserve">% </w:t>
            </w:r>
            <w:r w:rsidRPr="00AC5C01">
              <w:t>1-year OS rate</w:t>
            </w:r>
          </w:p>
        </w:tc>
        <w:tc>
          <w:tcPr>
            <w:tcW w:w="1715" w:type="dxa"/>
            <w:shd w:val="clear" w:color="auto" w:fill="auto"/>
          </w:tcPr>
          <w:p w14:paraId="76CB2C53" w14:textId="722BC93A" w:rsidR="36B01DCF" w:rsidRDefault="36B01DCF" w:rsidP="509B0EFC">
            <w:r>
              <w:t>8%</w:t>
            </w:r>
          </w:p>
        </w:tc>
        <w:tc>
          <w:tcPr>
            <w:tcW w:w="2340" w:type="dxa"/>
            <w:shd w:val="clear" w:color="auto" w:fill="auto"/>
          </w:tcPr>
          <w:p w14:paraId="05657C5B" w14:textId="20FAA921" w:rsidR="59961667" w:rsidRPr="00E653C7" w:rsidRDefault="00E653C7" w:rsidP="59961667">
            <w:hyperlink r:id="rId31" w:history="1">
              <w:r w:rsidRPr="00AF634C">
                <w:rPr>
                  <w:rStyle w:val="Hyperlink"/>
                </w:rPr>
                <w:t>Zhong 2015</w:t>
              </w:r>
            </w:hyperlink>
          </w:p>
        </w:tc>
      </w:tr>
      <w:tr w:rsidR="59961667" w14:paraId="268165E9" w14:textId="77777777" w:rsidTr="597E9ACB">
        <w:trPr>
          <w:trHeight w:val="300"/>
        </w:trPr>
        <w:tc>
          <w:tcPr>
            <w:tcW w:w="2695" w:type="dxa"/>
          </w:tcPr>
          <w:p w14:paraId="0422E941" w14:textId="6E80E72C" w:rsidR="59961667" w:rsidRDefault="59961667" w:rsidP="59961667">
            <w:pPr>
              <w:ind w:left="720"/>
            </w:pPr>
            <w:r>
              <w:t>TACE</w:t>
            </w:r>
          </w:p>
        </w:tc>
        <w:tc>
          <w:tcPr>
            <w:tcW w:w="2610" w:type="dxa"/>
          </w:tcPr>
          <w:p w14:paraId="323A2893" w14:textId="13CB46D1" w:rsidR="59961667" w:rsidRPr="00970B1D" w:rsidRDefault="00CD381E" w:rsidP="59961667">
            <w:r w:rsidRPr="00CD381E">
              <w:t>70%</w:t>
            </w:r>
            <w:r>
              <w:t xml:space="preserve"> </w:t>
            </w:r>
            <w:r w:rsidRPr="00CD381E">
              <w:t>1-year OS rate</w:t>
            </w:r>
          </w:p>
        </w:tc>
        <w:tc>
          <w:tcPr>
            <w:tcW w:w="1715" w:type="dxa"/>
          </w:tcPr>
          <w:p w14:paraId="3F5731D6" w14:textId="15556912" w:rsidR="58A38595" w:rsidRDefault="58A38595" w:rsidP="509B0EFC">
            <w:pPr>
              <w:spacing w:line="259" w:lineRule="auto"/>
            </w:pPr>
            <w:r>
              <w:t>30%</w:t>
            </w:r>
          </w:p>
        </w:tc>
        <w:tc>
          <w:tcPr>
            <w:tcW w:w="2340" w:type="dxa"/>
          </w:tcPr>
          <w:p w14:paraId="48FD4070" w14:textId="19840479" w:rsidR="59961667" w:rsidRPr="005A171F" w:rsidRDefault="005A171F" w:rsidP="59961667">
            <w:hyperlink r:id="rId32" w:history="1">
              <w:r w:rsidRPr="00AF634C">
                <w:rPr>
                  <w:rStyle w:val="Hyperlink"/>
                </w:rPr>
                <w:t>Prince 2020</w:t>
              </w:r>
            </w:hyperlink>
          </w:p>
        </w:tc>
      </w:tr>
      <w:tr w:rsidR="59961667" w14:paraId="7C76B954" w14:textId="77777777" w:rsidTr="597E9ACB">
        <w:trPr>
          <w:trHeight w:val="300"/>
        </w:trPr>
        <w:tc>
          <w:tcPr>
            <w:tcW w:w="2695" w:type="dxa"/>
          </w:tcPr>
          <w:p w14:paraId="1A983959" w14:textId="303C0F12" w:rsidR="59961667" w:rsidRDefault="00AF634C" w:rsidP="59961667">
            <w:pPr>
              <w:ind w:left="720"/>
            </w:pPr>
            <w:r>
              <w:t>A</w:t>
            </w:r>
            <w:r w:rsidR="59961667">
              <w:t>blation</w:t>
            </w:r>
          </w:p>
        </w:tc>
        <w:tc>
          <w:tcPr>
            <w:tcW w:w="2610" w:type="dxa"/>
          </w:tcPr>
          <w:p w14:paraId="5C2127F7" w14:textId="141C0403" w:rsidR="59961667" w:rsidRPr="00D814F5" w:rsidRDefault="00AB2E9C" w:rsidP="59961667">
            <w:r w:rsidRPr="00AB2E9C">
              <w:t>93.0%</w:t>
            </w:r>
            <w:r>
              <w:t xml:space="preserve"> </w:t>
            </w:r>
            <w:r w:rsidRPr="00AB2E9C">
              <w:t>1-year OS rate</w:t>
            </w:r>
          </w:p>
        </w:tc>
        <w:tc>
          <w:tcPr>
            <w:tcW w:w="1715" w:type="dxa"/>
          </w:tcPr>
          <w:p w14:paraId="51645FA2" w14:textId="466CE244" w:rsidR="58BDD2A2" w:rsidRDefault="58BDD2A2" w:rsidP="509B0EFC">
            <w:r>
              <w:t>7%</w:t>
            </w:r>
          </w:p>
        </w:tc>
        <w:tc>
          <w:tcPr>
            <w:tcW w:w="2340" w:type="dxa"/>
          </w:tcPr>
          <w:p w14:paraId="71B84F32" w14:textId="38BEEAF4" w:rsidR="59961667" w:rsidRPr="00741505" w:rsidRDefault="00741505" w:rsidP="59961667">
            <w:hyperlink r:id="rId33" w:history="1">
              <w:r w:rsidRPr="00AF634C">
                <w:rPr>
                  <w:rStyle w:val="Hyperlink"/>
                </w:rPr>
                <w:t>Tanaka 2023</w:t>
              </w:r>
            </w:hyperlink>
          </w:p>
        </w:tc>
      </w:tr>
      <w:tr w:rsidR="00CE73EC" w14:paraId="2E94EF0C" w14:textId="77777777" w:rsidTr="597E9ACB">
        <w:trPr>
          <w:trHeight w:val="300"/>
        </w:trPr>
        <w:tc>
          <w:tcPr>
            <w:tcW w:w="2695" w:type="dxa"/>
          </w:tcPr>
          <w:p w14:paraId="6D508639" w14:textId="2E47778F" w:rsidR="00CE73EC" w:rsidRDefault="00AF634C" w:rsidP="00CE73EC">
            <w:pPr>
              <w:ind w:left="720"/>
            </w:pPr>
            <w:r>
              <w:t>S</w:t>
            </w:r>
            <w:r w:rsidR="00CE73EC">
              <w:t>ystemic chemotherapy</w:t>
            </w:r>
          </w:p>
        </w:tc>
        <w:tc>
          <w:tcPr>
            <w:tcW w:w="2610" w:type="dxa"/>
          </w:tcPr>
          <w:p w14:paraId="7326E6FC" w14:textId="42385B97" w:rsidR="00CE73EC" w:rsidRPr="00B77B32" w:rsidRDefault="00CE73EC" w:rsidP="00CE73EC"/>
        </w:tc>
        <w:tc>
          <w:tcPr>
            <w:tcW w:w="1715" w:type="dxa"/>
          </w:tcPr>
          <w:p w14:paraId="24B0F292" w14:textId="007FA07F" w:rsidR="0898BBD2" w:rsidRDefault="0898BBD2" w:rsidP="509B0EFC">
            <w:r>
              <w:t>69.6%</w:t>
            </w:r>
          </w:p>
        </w:tc>
        <w:tc>
          <w:tcPr>
            <w:tcW w:w="2340" w:type="dxa"/>
          </w:tcPr>
          <w:p w14:paraId="756C52C6" w14:textId="77777777" w:rsidR="00CE73EC" w:rsidRDefault="226AB9F8" w:rsidP="00CE73EC">
            <w:commentRangeStart w:id="10"/>
            <w:r>
              <w:t>SEER-Medicare</w:t>
            </w:r>
            <w:commentRangeEnd w:id="10"/>
            <w:r w:rsidR="00AF634C">
              <w:rPr>
                <w:rStyle w:val="CommentReference"/>
                <w:rFonts w:eastAsiaTheme="minorHAnsi"/>
                <w:lang w:eastAsia="en-US"/>
              </w:rPr>
              <w:commentReference w:id="10"/>
            </w:r>
            <w:r w:rsidR="007F7254">
              <w:t>,</w:t>
            </w:r>
          </w:p>
          <w:p w14:paraId="053B5D8D" w14:textId="57B05FA7" w:rsidR="007F7254" w:rsidRPr="00DD2928" w:rsidRDefault="007F7254" w:rsidP="00CE73EC">
            <w:r>
              <w:t>calculated from MASLD patient data</w:t>
            </w:r>
          </w:p>
        </w:tc>
      </w:tr>
      <w:tr w:rsidR="00CE73EC" w14:paraId="78DB8E7D" w14:textId="77777777" w:rsidTr="597E9ACB">
        <w:trPr>
          <w:trHeight w:val="300"/>
        </w:trPr>
        <w:tc>
          <w:tcPr>
            <w:tcW w:w="2695" w:type="dxa"/>
          </w:tcPr>
          <w:p w14:paraId="259973F8" w14:textId="6B89C714" w:rsidR="00CE73EC" w:rsidRDefault="00AF634C" w:rsidP="00CE73EC">
            <w:pPr>
              <w:ind w:left="720"/>
            </w:pPr>
            <w:r>
              <w:t>R</w:t>
            </w:r>
            <w:r w:rsidR="00CE73EC">
              <w:t>adiotherapy</w:t>
            </w:r>
          </w:p>
        </w:tc>
        <w:tc>
          <w:tcPr>
            <w:tcW w:w="2610" w:type="dxa"/>
          </w:tcPr>
          <w:p w14:paraId="38EE2273" w14:textId="071E7551" w:rsidR="00CE73EC" w:rsidRPr="00EF3505" w:rsidRDefault="00CE73EC" w:rsidP="00CE73EC">
            <w:r w:rsidRPr="00E84AD1">
              <w:t>63%</w:t>
            </w:r>
            <w:r>
              <w:t xml:space="preserve"> 2</w:t>
            </w:r>
            <w:r w:rsidRPr="00CD381E">
              <w:t>-year OS rate</w:t>
            </w:r>
            <w:r w:rsidR="13203301">
              <w:t xml:space="preserve"> </w:t>
            </w:r>
          </w:p>
        </w:tc>
        <w:tc>
          <w:tcPr>
            <w:tcW w:w="1715" w:type="dxa"/>
          </w:tcPr>
          <w:p w14:paraId="2C5131C2" w14:textId="1929F933" w:rsidR="13203301" w:rsidRDefault="13203301" w:rsidP="509B0EFC">
            <w:r>
              <w:t>20.6%</w:t>
            </w:r>
          </w:p>
        </w:tc>
        <w:tc>
          <w:tcPr>
            <w:tcW w:w="2340" w:type="dxa"/>
          </w:tcPr>
          <w:p w14:paraId="6CEF1796" w14:textId="13283825" w:rsidR="00CE73EC" w:rsidRPr="00076A2C" w:rsidRDefault="00AF634C" w:rsidP="00CE73EC">
            <w:hyperlink r:id="rId34" w:history="1">
              <w:r w:rsidRPr="00AF634C">
                <w:rPr>
                  <w:rStyle w:val="Hyperlink"/>
                </w:rPr>
                <w:t>Prince 2020</w:t>
              </w:r>
            </w:hyperlink>
          </w:p>
        </w:tc>
      </w:tr>
      <w:tr w:rsidR="00CE73EC" w14:paraId="53E0E64B" w14:textId="77777777" w:rsidTr="597E9ACB">
        <w:trPr>
          <w:trHeight w:val="300"/>
        </w:trPr>
        <w:tc>
          <w:tcPr>
            <w:tcW w:w="2695" w:type="dxa"/>
          </w:tcPr>
          <w:p w14:paraId="532B535F" w14:textId="45106678" w:rsidR="00CE73EC" w:rsidRDefault="00CE73EC" w:rsidP="00CE73EC">
            <w:pPr>
              <w:ind w:left="720"/>
            </w:pPr>
            <w:r>
              <w:t>Untreated</w:t>
            </w:r>
          </w:p>
        </w:tc>
        <w:tc>
          <w:tcPr>
            <w:tcW w:w="2610" w:type="dxa"/>
          </w:tcPr>
          <w:p w14:paraId="0BF4A4F5" w14:textId="7DE302CC" w:rsidR="00CE73EC" w:rsidRPr="00131181" w:rsidRDefault="00CE73EC" w:rsidP="00CE73EC">
            <w:pPr>
              <w:rPr>
                <w:highlight w:val="yellow"/>
              </w:rPr>
            </w:pPr>
          </w:p>
        </w:tc>
        <w:tc>
          <w:tcPr>
            <w:tcW w:w="1715" w:type="dxa"/>
          </w:tcPr>
          <w:p w14:paraId="4ADB67F8" w14:textId="42724271" w:rsidR="5E73522A" w:rsidRDefault="5E73522A" w:rsidP="50448BAA">
            <w:pPr>
              <w:spacing w:line="259" w:lineRule="auto"/>
            </w:pPr>
            <w:r>
              <w:t>63.2%</w:t>
            </w:r>
          </w:p>
        </w:tc>
        <w:tc>
          <w:tcPr>
            <w:tcW w:w="2340" w:type="dxa"/>
          </w:tcPr>
          <w:p w14:paraId="481260E8" w14:textId="45BF1786" w:rsidR="00CE73EC" w:rsidRPr="00F96DD9" w:rsidRDefault="00AF634C" w:rsidP="00CE73EC">
            <w:hyperlink r:id="rId35" w:history="1">
              <w:r w:rsidRPr="00AF634C">
                <w:rPr>
                  <w:rStyle w:val="Hyperlink"/>
                </w:rPr>
                <w:t>Khalaf 2017</w:t>
              </w:r>
            </w:hyperlink>
          </w:p>
        </w:tc>
      </w:tr>
      <w:tr w:rsidR="00CE73EC" w14:paraId="29A83A92" w14:textId="77777777" w:rsidTr="597E9ACB">
        <w:trPr>
          <w:trHeight w:val="300"/>
        </w:trPr>
        <w:tc>
          <w:tcPr>
            <w:tcW w:w="2695" w:type="dxa"/>
          </w:tcPr>
          <w:p w14:paraId="1B9300AE" w14:textId="6FE75136" w:rsidR="00CE73EC" w:rsidRDefault="00CE73EC" w:rsidP="00CE73EC">
            <w:pPr>
              <w:rPr>
                <w:b/>
                <w:bCs/>
              </w:rPr>
            </w:pPr>
            <w:proofErr w:type="gramStart"/>
            <w:r>
              <w:t>Late stage</w:t>
            </w:r>
            <w:proofErr w:type="gramEnd"/>
            <w:r>
              <w:t xml:space="preserve"> HCC</w:t>
            </w:r>
          </w:p>
        </w:tc>
        <w:tc>
          <w:tcPr>
            <w:tcW w:w="2610" w:type="dxa"/>
          </w:tcPr>
          <w:p w14:paraId="2137C68C" w14:textId="34D1F913" w:rsidR="00CE73EC" w:rsidRDefault="00CE73EC" w:rsidP="00CE73EC">
            <w:pPr>
              <w:rPr>
                <w:b/>
                <w:bCs/>
              </w:rPr>
            </w:pPr>
          </w:p>
        </w:tc>
        <w:tc>
          <w:tcPr>
            <w:tcW w:w="1715" w:type="dxa"/>
          </w:tcPr>
          <w:p w14:paraId="118BA79E" w14:textId="390C3E62" w:rsidR="509B0EFC" w:rsidRDefault="509B0EFC" w:rsidP="509B0EFC">
            <w:pPr>
              <w:rPr>
                <w:b/>
                <w:bCs/>
              </w:rPr>
            </w:pPr>
          </w:p>
        </w:tc>
        <w:tc>
          <w:tcPr>
            <w:tcW w:w="2340" w:type="dxa"/>
          </w:tcPr>
          <w:p w14:paraId="592C0B86" w14:textId="5F185F51" w:rsidR="00CE73EC" w:rsidRDefault="00CE73EC" w:rsidP="00CE73EC">
            <w:pPr>
              <w:rPr>
                <w:b/>
                <w:bCs/>
              </w:rPr>
            </w:pPr>
          </w:p>
        </w:tc>
      </w:tr>
      <w:tr w:rsidR="00CE73EC" w14:paraId="4AD8C215" w14:textId="77777777" w:rsidTr="597E9ACB">
        <w:trPr>
          <w:trHeight w:val="300"/>
        </w:trPr>
        <w:tc>
          <w:tcPr>
            <w:tcW w:w="2695" w:type="dxa"/>
          </w:tcPr>
          <w:p w14:paraId="563E803D" w14:textId="1FA728E7" w:rsidR="00CE73EC" w:rsidRDefault="00CE73EC" w:rsidP="00CE73EC">
            <w:pPr>
              <w:ind w:left="720"/>
            </w:pPr>
            <w:r>
              <w:t>TACE</w:t>
            </w:r>
          </w:p>
        </w:tc>
        <w:tc>
          <w:tcPr>
            <w:tcW w:w="2610" w:type="dxa"/>
          </w:tcPr>
          <w:p w14:paraId="1F5ECACC" w14:textId="50636BFA" w:rsidR="00CE73EC" w:rsidRPr="00A71928" w:rsidRDefault="00CE73EC" w:rsidP="00CE73EC">
            <w:r w:rsidRPr="00DA32BF">
              <w:t>3</w:t>
            </w:r>
            <w:r>
              <w:t>3.3</w:t>
            </w:r>
            <w:r w:rsidRPr="00DA32BF">
              <w:t>%</w:t>
            </w:r>
            <w:r>
              <w:t xml:space="preserve"> </w:t>
            </w:r>
            <w:r w:rsidRPr="00DA32BF">
              <w:t>1-year OS rate</w:t>
            </w:r>
          </w:p>
        </w:tc>
        <w:tc>
          <w:tcPr>
            <w:tcW w:w="1715" w:type="dxa"/>
          </w:tcPr>
          <w:p w14:paraId="6CCE9F9D" w14:textId="4E0A4BB1" w:rsidR="00628445" w:rsidRDefault="00628445" w:rsidP="509B0EFC">
            <w:r>
              <w:t>66.7%</w:t>
            </w:r>
          </w:p>
        </w:tc>
        <w:tc>
          <w:tcPr>
            <w:tcW w:w="2340" w:type="dxa"/>
          </w:tcPr>
          <w:p w14:paraId="1884B9E5" w14:textId="2076DC74" w:rsidR="00CE73EC" w:rsidRPr="00940076" w:rsidRDefault="00CE73EC" w:rsidP="00CE73EC">
            <w:hyperlink r:id="rId36" w:history="1">
              <w:r w:rsidRPr="00AF634C">
                <w:rPr>
                  <w:rStyle w:val="Hyperlink"/>
                </w:rPr>
                <w:t>Kong 2018</w:t>
              </w:r>
            </w:hyperlink>
          </w:p>
        </w:tc>
      </w:tr>
      <w:tr w:rsidR="00CE73EC" w14:paraId="584086FD" w14:textId="77777777" w:rsidTr="597E9ACB">
        <w:trPr>
          <w:trHeight w:val="300"/>
        </w:trPr>
        <w:tc>
          <w:tcPr>
            <w:tcW w:w="2695" w:type="dxa"/>
          </w:tcPr>
          <w:p w14:paraId="192FB02E" w14:textId="50417F25" w:rsidR="00CE73EC" w:rsidRDefault="00AF634C" w:rsidP="00CE73EC">
            <w:pPr>
              <w:ind w:left="720"/>
            </w:pPr>
            <w:r>
              <w:t>A</w:t>
            </w:r>
            <w:r w:rsidR="00CE73EC">
              <w:t>blation</w:t>
            </w:r>
          </w:p>
        </w:tc>
        <w:tc>
          <w:tcPr>
            <w:tcW w:w="2610" w:type="dxa"/>
          </w:tcPr>
          <w:p w14:paraId="620E6844" w14:textId="58C20CBE" w:rsidR="00CE73EC" w:rsidRPr="009A1AB6" w:rsidRDefault="00CE73EC" w:rsidP="00CE73EC">
            <w:r w:rsidRPr="00044C00">
              <w:t>73.1%</w:t>
            </w:r>
            <w:r>
              <w:t xml:space="preserve"> </w:t>
            </w:r>
            <w:r w:rsidRPr="00044C00">
              <w:t>1-year OS rate</w:t>
            </w:r>
          </w:p>
        </w:tc>
        <w:tc>
          <w:tcPr>
            <w:tcW w:w="1715" w:type="dxa"/>
          </w:tcPr>
          <w:p w14:paraId="1B799325" w14:textId="64C22A4D" w:rsidR="1A3C3C74" w:rsidRDefault="1A3C3C74" w:rsidP="509B0EFC">
            <w:r>
              <w:t>26.9%</w:t>
            </w:r>
          </w:p>
        </w:tc>
        <w:tc>
          <w:tcPr>
            <w:tcW w:w="2340" w:type="dxa"/>
          </w:tcPr>
          <w:p w14:paraId="7D8B5881" w14:textId="16739C35" w:rsidR="00CE73EC" w:rsidRPr="004D6F02" w:rsidRDefault="00CE73EC" w:rsidP="00CE73EC">
            <w:hyperlink r:id="rId37" w:history="1">
              <w:r w:rsidRPr="00AF634C">
                <w:rPr>
                  <w:rStyle w:val="Hyperlink"/>
                </w:rPr>
                <w:t>Dai 2014</w:t>
              </w:r>
            </w:hyperlink>
          </w:p>
        </w:tc>
      </w:tr>
      <w:tr w:rsidR="00CE73EC" w14:paraId="182655F8" w14:textId="77777777" w:rsidTr="597E9ACB">
        <w:trPr>
          <w:trHeight w:val="300"/>
        </w:trPr>
        <w:tc>
          <w:tcPr>
            <w:tcW w:w="2695" w:type="dxa"/>
          </w:tcPr>
          <w:p w14:paraId="53168F0F" w14:textId="6AB16C27" w:rsidR="00CE73EC" w:rsidRDefault="00AF634C" w:rsidP="00CE73EC">
            <w:pPr>
              <w:ind w:left="720"/>
            </w:pPr>
            <w:r>
              <w:t>S</w:t>
            </w:r>
            <w:r w:rsidR="00CE73EC">
              <w:t>ystemic chemotherapy</w:t>
            </w:r>
          </w:p>
        </w:tc>
        <w:tc>
          <w:tcPr>
            <w:tcW w:w="2610" w:type="dxa"/>
          </w:tcPr>
          <w:p w14:paraId="7DF4DEF3" w14:textId="43F18ABA" w:rsidR="00CE73EC" w:rsidRPr="00CF6FAC" w:rsidRDefault="18F77B1C" w:rsidP="237A1545">
            <w:pPr>
              <w:spacing w:line="259" w:lineRule="auto"/>
            </w:pPr>
            <w:r>
              <w:t xml:space="preserve"> </w:t>
            </w:r>
          </w:p>
        </w:tc>
        <w:tc>
          <w:tcPr>
            <w:tcW w:w="1715" w:type="dxa"/>
          </w:tcPr>
          <w:p w14:paraId="2CDC479E" w14:textId="5FCB9D33" w:rsidR="4D23A97C" w:rsidRDefault="4D23A97C" w:rsidP="509B0EFC">
            <w:r>
              <w:t>86.</w:t>
            </w:r>
            <w:r w:rsidR="4C6938D1">
              <w:t>2</w:t>
            </w:r>
            <w:r>
              <w:t xml:space="preserve">% </w:t>
            </w:r>
          </w:p>
        </w:tc>
        <w:tc>
          <w:tcPr>
            <w:tcW w:w="2340" w:type="dxa"/>
          </w:tcPr>
          <w:p w14:paraId="324D9A3D" w14:textId="3E60B9EB" w:rsidR="00CE73EC" w:rsidRPr="004D0389" w:rsidRDefault="00AF634C" w:rsidP="00CE73EC">
            <w:commentRangeStart w:id="11"/>
            <w:r>
              <w:t>SEER-Medicare</w:t>
            </w:r>
            <w:commentRangeEnd w:id="11"/>
            <w:r>
              <w:rPr>
                <w:rStyle w:val="CommentReference"/>
                <w:rFonts w:eastAsiaTheme="minorHAnsi"/>
                <w:lang w:eastAsia="en-US"/>
              </w:rPr>
              <w:commentReference w:id="11"/>
            </w:r>
            <w:r w:rsidR="007F7254">
              <w:t>, calculated from MASLD patient data</w:t>
            </w:r>
          </w:p>
        </w:tc>
      </w:tr>
      <w:tr w:rsidR="00CE73EC" w14:paraId="3ED5CC26" w14:textId="77777777" w:rsidTr="597E9ACB">
        <w:trPr>
          <w:trHeight w:val="300"/>
        </w:trPr>
        <w:tc>
          <w:tcPr>
            <w:tcW w:w="2695" w:type="dxa"/>
          </w:tcPr>
          <w:p w14:paraId="11D941C4" w14:textId="0D59D299" w:rsidR="00CE73EC" w:rsidRDefault="00AF634C" w:rsidP="00CE73EC">
            <w:pPr>
              <w:ind w:left="720"/>
            </w:pPr>
            <w:r>
              <w:lastRenderedPageBreak/>
              <w:t>R</w:t>
            </w:r>
            <w:r w:rsidR="00CE73EC">
              <w:t>adiotherapy</w:t>
            </w:r>
          </w:p>
        </w:tc>
        <w:tc>
          <w:tcPr>
            <w:tcW w:w="2610" w:type="dxa"/>
          </w:tcPr>
          <w:p w14:paraId="50873DB8" w14:textId="579DF201" w:rsidR="00CE73EC" w:rsidRPr="00CE650D" w:rsidRDefault="00CE73EC" w:rsidP="00CE73EC">
            <w:r w:rsidRPr="00C418E7">
              <w:t>31.3</w:t>
            </w:r>
            <w:r>
              <w:t xml:space="preserve">% </w:t>
            </w:r>
            <w:r w:rsidRPr="00044C00">
              <w:t>1-year OS rate</w:t>
            </w:r>
          </w:p>
        </w:tc>
        <w:tc>
          <w:tcPr>
            <w:tcW w:w="1715" w:type="dxa"/>
          </w:tcPr>
          <w:p w14:paraId="7D0E2188" w14:textId="644DF561" w:rsidR="13799A25" w:rsidRDefault="13799A25" w:rsidP="509B0EFC">
            <w:r>
              <w:t>68.7%</w:t>
            </w:r>
          </w:p>
        </w:tc>
        <w:tc>
          <w:tcPr>
            <w:tcW w:w="2340" w:type="dxa"/>
          </w:tcPr>
          <w:p w14:paraId="56AFD044" w14:textId="565DB7A3" w:rsidR="00CE73EC" w:rsidRPr="00A972F3" w:rsidRDefault="00CE73EC" w:rsidP="00CE73EC">
            <w:hyperlink r:id="rId38" w:history="1">
              <w:r w:rsidRPr="00AF634C">
                <w:rPr>
                  <w:rStyle w:val="Hyperlink"/>
                </w:rPr>
                <w:t>Lin 2019</w:t>
              </w:r>
            </w:hyperlink>
          </w:p>
        </w:tc>
      </w:tr>
      <w:tr w:rsidR="00CE73EC" w14:paraId="5D400E78" w14:textId="77777777" w:rsidTr="597E9ACB">
        <w:trPr>
          <w:trHeight w:val="300"/>
        </w:trPr>
        <w:tc>
          <w:tcPr>
            <w:tcW w:w="2695" w:type="dxa"/>
          </w:tcPr>
          <w:p w14:paraId="180A79AF" w14:textId="45106678" w:rsidR="00CE73EC" w:rsidRDefault="00CE73EC" w:rsidP="00CE73EC">
            <w:pPr>
              <w:ind w:left="720"/>
            </w:pPr>
            <w:r>
              <w:t>Untreated</w:t>
            </w:r>
          </w:p>
        </w:tc>
        <w:tc>
          <w:tcPr>
            <w:tcW w:w="2610" w:type="dxa"/>
          </w:tcPr>
          <w:p w14:paraId="73327459" w14:textId="733AD216" w:rsidR="00CE73EC" w:rsidRPr="003610A4" w:rsidRDefault="00CE73EC" w:rsidP="00CE73EC">
            <w:pPr>
              <w:rPr>
                <w:highlight w:val="yellow"/>
              </w:rPr>
            </w:pPr>
          </w:p>
        </w:tc>
        <w:tc>
          <w:tcPr>
            <w:tcW w:w="1715" w:type="dxa"/>
          </w:tcPr>
          <w:p w14:paraId="2FB9405E" w14:textId="10B53319" w:rsidR="7321C2D1" w:rsidRDefault="7321C2D1" w:rsidP="509B0EFC">
            <w:pPr>
              <w:spacing w:line="259" w:lineRule="auto"/>
            </w:pPr>
            <w:r>
              <w:t>87.2</w:t>
            </w:r>
            <w:r w:rsidR="775F4FDE">
              <w:t>%</w:t>
            </w:r>
          </w:p>
        </w:tc>
        <w:tc>
          <w:tcPr>
            <w:tcW w:w="2340" w:type="dxa"/>
          </w:tcPr>
          <w:p w14:paraId="23701DD8" w14:textId="591EC89C" w:rsidR="00CE73EC" w:rsidRPr="003610A4" w:rsidRDefault="00AF634C" w:rsidP="00CE73EC">
            <w:hyperlink r:id="rId39" w:history="1">
              <w:r w:rsidRPr="00AF634C">
                <w:rPr>
                  <w:rStyle w:val="Hyperlink"/>
                </w:rPr>
                <w:t>Khalaf 2017</w:t>
              </w:r>
            </w:hyperlink>
          </w:p>
        </w:tc>
      </w:tr>
    </w:tbl>
    <w:p w14:paraId="5A3CEF52" w14:textId="02C3CAC2" w:rsidR="50448BAA" w:rsidRDefault="00971B99" w:rsidP="50448BAA">
      <w:pPr>
        <w:rPr>
          <w:lang w:eastAsia="ja-JP"/>
        </w:rPr>
      </w:pPr>
      <w:r>
        <w:rPr>
          <w:lang w:eastAsia="ja-JP"/>
        </w:rPr>
        <w:t>*</w:t>
      </w:r>
      <w:r>
        <w:t xml:space="preserve"> We use this to account for undiagnosed cirrhosis cases</w:t>
      </w:r>
      <w:r w:rsidR="00AF634C">
        <w:t xml:space="preserve"> in the death rate.</w:t>
      </w:r>
    </w:p>
    <w:p w14:paraId="778C246B" w14:textId="21D060CD" w:rsidR="50448BAA" w:rsidRDefault="50448BAA" w:rsidP="50448BAA">
      <w:pPr>
        <w:rPr>
          <w:lang w:eastAsia="ja-JP"/>
        </w:rPr>
      </w:pPr>
    </w:p>
    <w:tbl>
      <w:tblPr>
        <w:tblW w:w="91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13"/>
        <w:gridCol w:w="2360"/>
        <w:gridCol w:w="3283"/>
      </w:tblGrid>
      <w:tr w:rsidR="00122A22" w:rsidRPr="00122A22" w14:paraId="476C00B5" w14:textId="77777777" w:rsidTr="00122A22">
        <w:trPr>
          <w:trHeight w:val="278"/>
        </w:trPr>
        <w:tc>
          <w:tcPr>
            <w:tcW w:w="3513" w:type="dxa"/>
            <w:tcBorders>
              <w:top w:val="single" w:sz="6" w:space="0" w:color="BFBFBF"/>
              <w:left w:val="single" w:sz="6" w:space="0" w:color="BFBFBF"/>
              <w:bottom w:val="single" w:sz="6" w:space="0" w:color="BFBFBF"/>
              <w:right w:val="single" w:sz="6" w:space="0" w:color="BFBFBF"/>
            </w:tcBorders>
            <w:shd w:val="clear" w:color="auto" w:fill="auto"/>
            <w:hideMark/>
          </w:tcPr>
          <w:p w14:paraId="42742431" w14:textId="77777777" w:rsidR="00122A22" w:rsidRPr="00122A22" w:rsidRDefault="00122A22" w:rsidP="00122A22">
            <w:pPr>
              <w:textAlignment w:val="baseline"/>
              <w:rPr>
                <w:rFonts w:ascii="Segoe UI" w:eastAsia="Times New Roman" w:hAnsi="Segoe UI" w:cs="Segoe UI"/>
                <w:b/>
                <w:bCs/>
                <w:sz w:val="18"/>
                <w:szCs w:val="18"/>
                <w:lang w:eastAsia="ja-JP"/>
              </w:rPr>
            </w:pPr>
            <w:r w:rsidRPr="00122A22">
              <w:rPr>
                <w:rFonts w:ascii="Times New Roman" w:eastAsia="Times New Roman" w:hAnsi="Times New Roman" w:cs="Times New Roman"/>
                <w:sz w:val="22"/>
                <w:szCs w:val="22"/>
                <w:lang w:eastAsia="ja-JP"/>
              </w:rPr>
              <w:t>Annual Mortality of very early/early HCC</w:t>
            </w:r>
            <w:r w:rsidRPr="00122A22">
              <w:rPr>
                <w:rFonts w:ascii="Times New Roman" w:eastAsia="Times New Roman" w:hAnsi="Times New Roman" w:cs="Times New Roman"/>
                <w:b/>
                <w:bCs/>
                <w:sz w:val="22"/>
                <w:szCs w:val="22"/>
                <w:lang w:eastAsia="ja-JP"/>
              </w:rPr>
              <w:t> </w:t>
            </w:r>
          </w:p>
        </w:tc>
        <w:tc>
          <w:tcPr>
            <w:tcW w:w="236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C9D5359"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0.02 (0.003 – 0.1) </w:t>
            </w:r>
          </w:p>
        </w:tc>
        <w:tc>
          <w:tcPr>
            <w:tcW w:w="3283"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A937E96" w14:textId="77777777" w:rsidR="00122A22" w:rsidRPr="00122A22" w:rsidRDefault="00122A22" w:rsidP="00122A22">
            <w:pPr>
              <w:jc w:val="both"/>
              <w:textAlignment w:val="baseline"/>
              <w:rPr>
                <w:rFonts w:ascii="Segoe UI" w:eastAsia="Times New Roman" w:hAnsi="Segoe UI" w:cs="Segoe UI"/>
                <w:sz w:val="18"/>
                <w:szCs w:val="18"/>
                <w:lang w:eastAsia="ja-JP"/>
              </w:rPr>
            </w:pPr>
            <w:proofErr w:type="spellStart"/>
            <w:r w:rsidRPr="00122A22">
              <w:rPr>
                <w:rFonts w:ascii="Times New Roman" w:eastAsia="Times New Roman" w:hAnsi="Times New Roman" w:cs="Times New Roman"/>
                <w:sz w:val="22"/>
                <w:szCs w:val="22"/>
                <w:lang w:eastAsia="ja-JP"/>
              </w:rPr>
              <w:t>Finkenstedt</w:t>
            </w:r>
            <w:proofErr w:type="spellEnd"/>
            <w:r w:rsidRPr="00122A22">
              <w:rPr>
                <w:rFonts w:ascii="Times New Roman" w:eastAsia="Times New Roman" w:hAnsi="Times New Roman" w:cs="Times New Roman"/>
                <w:sz w:val="22"/>
                <w:szCs w:val="22"/>
                <w:lang w:eastAsia="ja-JP"/>
              </w:rPr>
              <w:t xml:space="preserve"> (2015), Llovet (2003), Wang (2012) </w:t>
            </w:r>
          </w:p>
        </w:tc>
      </w:tr>
      <w:tr w:rsidR="00122A22" w:rsidRPr="00122A22" w14:paraId="006E48E6" w14:textId="77777777" w:rsidTr="00122A22">
        <w:trPr>
          <w:trHeight w:val="278"/>
        </w:trPr>
        <w:tc>
          <w:tcPr>
            <w:tcW w:w="3513" w:type="dxa"/>
            <w:tcBorders>
              <w:top w:val="single" w:sz="6" w:space="0" w:color="BFBFBF"/>
              <w:left w:val="single" w:sz="6" w:space="0" w:color="BFBFBF"/>
              <w:bottom w:val="single" w:sz="6" w:space="0" w:color="BFBFBF"/>
              <w:right w:val="single" w:sz="6" w:space="0" w:color="BFBFBF"/>
            </w:tcBorders>
            <w:shd w:val="clear" w:color="auto" w:fill="F2F2F2"/>
            <w:hideMark/>
          </w:tcPr>
          <w:p w14:paraId="1563ECC8" w14:textId="77777777" w:rsidR="00122A22" w:rsidRPr="00122A22" w:rsidRDefault="00122A22" w:rsidP="00122A22">
            <w:pPr>
              <w:textAlignment w:val="baseline"/>
              <w:rPr>
                <w:rFonts w:ascii="Segoe UI" w:eastAsia="Times New Roman" w:hAnsi="Segoe UI" w:cs="Segoe UI"/>
                <w:b/>
                <w:bCs/>
                <w:sz w:val="18"/>
                <w:szCs w:val="18"/>
                <w:lang w:eastAsia="ja-JP"/>
              </w:rPr>
            </w:pPr>
            <w:r w:rsidRPr="00122A22">
              <w:rPr>
                <w:rFonts w:ascii="Times New Roman" w:eastAsia="Times New Roman" w:hAnsi="Times New Roman" w:cs="Times New Roman"/>
                <w:sz w:val="22"/>
                <w:szCs w:val="22"/>
                <w:lang w:eastAsia="ja-JP"/>
              </w:rPr>
              <w:t>Annual Mortality of intermediate HCC</w:t>
            </w:r>
            <w:r w:rsidRPr="00122A22">
              <w:rPr>
                <w:rFonts w:ascii="Times New Roman" w:eastAsia="Times New Roman" w:hAnsi="Times New Roman" w:cs="Times New Roman"/>
                <w:b/>
                <w:bCs/>
                <w:sz w:val="22"/>
                <w:szCs w:val="22"/>
                <w:lang w:eastAsia="ja-JP"/>
              </w:rPr>
              <w:t> </w:t>
            </w:r>
          </w:p>
        </w:tc>
        <w:tc>
          <w:tcPr>
            <w:tcW w:w="2360"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357F8402"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0.04 (0.02 – 0.2) </w:t>
            </w:r>
          </w:p>
        </w:tc>
        <w:tc>
          <w:tcPr>
            <w:tcW w:w="3283"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77F801E9" w14:textId="77777777" w:rsidR="00122A22" w:rsidRPr="00122A22" w:rsidRDefault="00122A22" w:rsidP="00122A22">
            <w:pPr>
              <w:jc w:val="both"/>
              <w:textAlignment w:val="baseline"/>
              <w:rPr>
                <w:rFonts w:ascii="Segoe UI" w:eastAsia="Times New Roman" w:hAnsi="Segoe UI" w:cs="Segoe UI"/>
                <w:sz w:val="18"/>
                <w:szCs w:val="18"/>
                <w:lang w:eastAsia="ja-JP"/>
              </w:rPr>
            </w:pPr>
            <w:proofErr w:type="spellStart"/>
            <w:r w:rsidRPr="00122A22">
              <w:rPr>
                <w:rFonts w:ascii="Times New Roman" w:eastAsia="Times New Roman" w:hAnsi="Times New Roman" w:cs="Times New Roman"/>
                <w:sz w:val="22"/>
                <w:szCs w:val="22"/>
                <w:lang w:eastAsia="ja-JP"/>
              </w:rPr>
              <w:t>Finkenstedt</w:t>
            </w:r>
            <w:proofErr w:type="spellEnd"/>
            <w:r w:rsidRPr="00122A22">
              <w:rPr>
                <w:rFonts w:ascii="Times New Roman" w:eastAsia="Times New Roman" w:hAnsi="Times New Roman" w:cs="Times New Roman"/>
                <w:sz w:val="22"/>
                <w:szCs w:val="22"/>
                <w:lang w:eastAsia="ja-JP"/>
              </w:rPr>
              <w:t xml:space="preserve"> (2015), Llovet (2003), Parikh (2017) </w:t>
            </w:r>
          </w:p>
        </w:tc>
      </w:tr>
      <w:tr w:rsidR="00122A22" w:rsidRPr="00122A22" w14:paraId="7AB69956" w14:textId="77777777" w:rsidTr="00122A22">
        <w:trPr>
          <w:trHeight w:val="278"/>
        </w:trPr>
        <w:tc>
          <w:tcPr>
            <w:tcW w:w="3513" w:type="dxa"/>
            <w:tcBorders>
              <w:top w:val="single" w:sz="6" w:space="0" w:color="BFBFBF"/>
              <w:left w:val="single" w:sz="6" w:space="0" w:color="BFBFBF"/>
              <w:bottom w:val="single" w:sz="6" w:space="0" w:color="BFBFBF"/>
              <w:right w:val="single" w:sz="6" w:space="0" w:color="BFBFBF"/>
            </w:tcBorders>
            <w:shd w:val="clear" w:color="auto" w:fill="auto"/>
            <w:hideMark/>
          </w:tcPr>
          <w:p w14:paraId="21EF5FC5" w14:textId="77777777" w:rsidR="00122A22" w:rsidRPr="00122A22" w:rsidRDefault="00122A22" w:rsidP="00122A22">
            <w:pPr>
              <w:textAlignment w:val="baseline"/>
              <w:rPr>
                <w:rFonts w:ascii="Segoe UI" w:eastAsia="Times New Roman" w:hAnsi="Segoe UI" w:cs="Segoe UI"/>
                <w:b/>
                <w:bCs/>
                <w:sz w:val="18"/>
                <w:szCs w:val="18"/>
                <w:lang w:eastAsia="ja-JP"/>
              </w:rPr>
            </w:pPr>
            <w:r w:rsidRPr="00122A22">
              <w:rPr>
                <w:rFonts w:ascii="Times New Roman" w:eastAsia="Times New Roman" w:hAnsi="Times New Roman" w:cs="Times New Roman"/>
                <w:sz w:val="22"/>
                <w:szCs w:val="22"/>
                <w:lang w:eastAsia="ja-JP"/>
              </w:rPr>
              <w:t>Annual Mortality of advanced HCC</w:t>
            </w:r>
            <w:r w:rsidRPr="00122A22">
              <w:rPr>
                <w:rFonts w:ascii="Times New Roman" w:eastAsia="Times New Roman" w:hAnsi="Times New Roman" w:cs="Times New Roman"/>
                <w:b/>
                <w:bCs/>
                <w:sz w:val="22"/>
                <w:szCs w:val="22"/>
                <w:lang w:eastAsia="ja-JP"/>
              </w:rPr>
              <w:t> </w:t>
            </w:r>
          </w:p>
        </w:tc>
        <w:tc>
          <w:tcPr>
            <w:tcW w:w="236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739D597"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0.3 (0.17 – 0.7) </w:t>
            </w:r>
          </w:p>
        </w:tc>
        <w:tc>
          <w:tcPr>
            <w:tcW w:w="3283"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0C40313" w14:textId="77777777" w:rsidR="00122A22" w:rsidRPr="00122A22" w:rsidRDefault="00122A22" w:rsidP="00122A22">
            <w:pPr>
              <w:jc w:val="both"/>
              <w:textAlignment w:val="baseline"/>
              <w:rPr>
                <w:rFonts w:ascii="Segoe UI" w:eastAsia="Times New Roman" w:hAnsi="Segoe UI" w:cs="Segoe UI"/>
                <w:sz w:val="18"/>
                <w:szCs w:val="18"/>
                <w:lang w:eastAsia="ja-JP"/>
              </w:rPr>
            </w:pPr>
            <w:proofErr w:type="spellStart"/>
            <w:r w:rsidRPr="00122A22">
              <w:rPr>
                <w:rFonts w:ascii="Times New Roman" w:eastAsia="Times New Roman" w:hAnsi="Times New Roman" w:cs="Times New Roman"/>
                <w:sz w:val="22"/>
                <w:szCs w:val="22"/>
                <w:lang w:eastAsia="ja-JP"/>
              </w:rPr>
              <w:t>Finkenstedt</w:t>
            </w:r>
            <w:proofErr w:type="spellEnd"/>
            <w:r w:rsidRPr="00122A22">
              <w:rPr>
                <w:rFonts w:ascii="Times New Roman" w:eastAsia="Times New Roman" w:hAnsi="Times New Roman" w:cs="Times New Roman"/>
                <w:sz w:val="22"/>
                <w:szCs w:val="22"/>
                <w:lang w:eastAsia="ja-JP"/>
              </w:rPr>
              <w:t xml:space="preserve"> (2015), Llovet (2003), Parikh (2017) </w:t>
            </w:r>
          </w:p>
        </w:tc>
      </w:tr>
      <w:tr w:rsidR="00122A22" w:rsidRPr="00122A22" w14:paraId="5DF6AF9B" w14:textId="77777777" w:rsidTr="00122A22">
        <w:trPr>
          <w:trHeight w:val="278"/>
        </w:trPr>
        <w:tc>
          <w:tcPr>
            <w:tcW w:w="3513" w:type="dxa"/>
            <w:tcBorders>
              <w:top w:val="single" w:sz="6" w:space="0" w:color="BFBFBF"/>
              <w:left w:val="single" w:sz="6" w:space="0" w:color="BFBFBF"/>
              <w:bottom w:val="single" w:sz="6" w:space="0" w:color="BFBFBF"/>
              <w:right w:val="single" w:sz="6" w:space="0" w:color="BFBFBF"/>
            </w:tcBorders>
            <w:shd w:val="clear" w:color="auto" w:fill="F2F2F2"/>
            <w:hideMark/>
          </w:tcPr>
          <w:p w14:paraId="4A25633E" w14:textId="77777777" w:rsidR="00122A22" w:rsidRPr="00122A22" w:rsidRDefault="00122A22" w:rsidP="00122A22">
            <w:pPr>
              <w:textAlignment w:val="baseline"/>
              <w:rPr>
                <w:rFonts w:ascii="Segoe UI" w:eastAsia="Times New Roman" w:hAnsi="Segoe UI" w:cs="Segoe UI"/>
                <w:b/>
                <w:bCs/>
                <w:sz w:val="18"/>
                <w:szCs w:val="18"/>
                <w:lang w:eastAsia="ja-JP"/>
              </w:rPr>
            </w:pPr>
            <w:r w:rsidRPr="00122A22">
              <w:rPr>
                <w:rFonts w:ascii="Times New Roman" w:eastAsia="Times New Roman" w:hAnsi="Times New Roman" w:cs="Times New Roman"/>
                <w:sz w:val="22"/>
                <w:szCs w:val="22"/>
                <w:lang w:eastAsia="ja-JP"/>
              </w:rPr>
              <w:t>Annual Mortality of very early HCC (untreated)</w:t>
            </w:r>
            <w:r w:rsidRPr="00122A22">
              <w:rPr>
                <w:rFonts w:ascii="Times New Roman" w:eastAsia="Times New Roman" w:hAnsi="Times New Roman" w:cs="Times New Roman"/>
                <w:b/>
                <w:bCs/>
                <w:sz w:val="22"/>
                <w:szCs w:val="22"/>
                <w:lang w:eastAsia="ja-JP"/>
              </w:rPr>
              <w:t> </w:t>
            </w:r>
          </w:p>
        </w:tc>
        <w:tc>
          <w:tcPr>
            <w:tcW w:w="2360"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175D0F3A"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0.0596 (0.0477 – 0.0716) </w:t>
            </w:r>
          </w:p>
        </w:tc>
        <w:tc>
          <w:tcPr>
            <w:tcW w:w="3283"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681DE568"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Yoo (2023) </w:t>
            </w:r>
          </w:p>
        </w:tc>
      </w:tr>
      <w:tr w:rsidR="00122A22" w:rsidRPr="00122A22" w14:paraId="0A55AB4F" w14:textId="77777777" w:rsidTr="00122A22">
        <w:trPr>
          <w:trHeight w:val="278"/>
        </w:trPr>
        <w:tc>
          <w:tcPr>
            <w:tcW w:w="3513" w:type="dxa"/>
            <w:tcBorders>
              <w:top w:val="single" w:sz="6" w:space="0" w:color="BFBFBF"/>
              <w:left w:val="single" w:sz="6" w:space="0" w:color="BFBFBF"/>
              <w:bottom w:val="single" w:sz="6" w:space="0" w:color="BFBFBF"/>
              <w:right w:val="single" w:sz="6" w:space="0" w:color="BFBFBF"/>
            </w:tcBorders>
            <w:shd w:val="clear" w:color="auto" w:fill="auto"/>
            <w:hideMark/>
          </w:tcPr>
          <w:p w14:paraId="5BBBAB91" w14:textId="77777777" w:rsidR="00122A22" w:rsidRPr="00122A22" w:rsidRDefault="00122A22" w:rsidP="00122A22">
            <w:pPr>
              <w:textAlignment w:val="baseline"/>
              <w:rPr>
                <w:rFonts w:ascii="Segoe UI" w:eastAsia="Times New Roman" w:hAnsi="Segoe UI" w:cs="Segoe UI"/>
                <w:b/>
                <w:bCs/>
                <w:sz w:val="18"/>
                <w:szCs w:val="18"/>
                <w:lang w:eastAsia="ja-JP"/>
              </w:rPr>
            </w:pPr>
            <w:r w:rsidRPr="00122A22">
              <w:rPr>
                <w:rFonts w:ascii="Times New Roman" w:eastAsia="Times New Roman" w:hAnsi="Times New Roman" w:cs="Times New Roman"/>
                <w:sz w:val="22"/>
                <w:szCs w:val="22"/>
                <w:lang w:eastAsia="ja-JP"/>
              </w:rPr>
              <w:t>Annual Mortality of early HCC (untreated)</w:t>
            </w:r>
            <w:r w:rsidRPr="00122A22">
              <w:rPr>
                <w:rFonts w:ascii="Times New Roman" w:eastAsia="Times New Roman" w:hAnsi="Times New Roman" w:cs="Times New Roman"/>
                <w:b/>
                <w:bCs/>
                <w:sz w:val="22"/>
                <w:szCs w:val="22"/>
                <w:lang w:eastAsia="ja-JP"/>
              </w:rPr>
              <w:t> </w:t>
            </w:r>
          </w:p>
        </w:tc>
        <w:tc>
          <w:tcPr>
            <w:tcW w:w="236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9B1C6D9"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0.1973 (0.1579 – 0.2368) </w:t>
            </w:r>
          </w:p>
        </w:tc>
        <w:tc>
          <w:tcPr>
            <w:tcW w:w="3283"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4263F42"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Yoo (2023) </w:t>
            </w:r>
          </w:p>
        </w:tc>
      </w:tr>
      <w:tr w:rsidR="00122A22" w:rsidRPr="00122A22" w14:paraId="3E8677FD" w14:textId="77777777" w:rsidTr="00122A22">
        <w:trPr>
          <w:trHeight w:val="278"/>
        </w:trPr>
        <w:tc>
          <w:tcPr>
            <w:tcW w:w="3513" w:type="dxa"/>
            <w:tcBorders>
              <w:top w:val="single" w:sz="6" w:space="0" w:color="BFBFBF"/>
              <w:left w:val="single" w:sz="6" w:space="0" w:color="BFBFBF"/>
              <w:bottom w:val="single" w:sz="6" w:space="0" w:color="BFBFBF"/>
              <w:right w:val="single" w:sz="6" w:space="0" w:color="BFBFBF"/>
            </w:tcBorders>
            <w:shd w:val="clear" w:color="auto" w:fill="F2F2F2"/>
            <w:hideMark/>
          </w:tcPr>
          <w:p w14:paraId="1399B17F" w14:textId="77777777" w:rsidR="00122A22" w:rsidRPr="00122A22" w:rsidRDefault="00122A22" w:rsidP="00122A22">
            <w:pPr>
              <w:textAlignment w:val="baseline"/>
              <w:rPr>
                <w:rFonts w:ascii="Segoe UI" w:eastAsia="Times New Roman" w:hAnsi="Segoe UI" w:cs="Segoe UI"/>
                <w:b/>
                <w:bCs/>
                <w:sz w:val="18"/>
                <w:szCs w:val="18"/>
                <w:lang w:eastAsia="ja-JP"/>
              </w:rPr>
            </w:pPr>
            <w:r w:rsidRPr="00122A22">
              <w:rPr>
                <w:rFonts w:ascii="Times New Roman" w:eastAsia="Times New Roman" w:hAnsi="Times New Roman" w:cs="Times New Roman"/>
                <w:sz w:val="22"/>
                <w:szCs w:val="22"/>
                <w:lang w:eastAsia="ja-JP"/>
              </w:rPr>
              <w:t>Annual Mortality of intermediate HCC (untreated)</w:t>
            </w:r>
            <w:r w:rsidRPr="00122A22">
              <w:rPr>
                <w:rFonts w:ascii="Times New Roman" w:eastAsia="Times New Roman" w:hAnsi="Times New Roman" w:cs="Times New Roman"/>
                <w:b/>
                <w:bCs/>
                <w:sz w:val="22"/>
                <w:szCs w:val="22"/>
                <w:lang w:eastAsia="ja-JP"/>
              </w:rPr>
              <w:t> </w:t>
            </w:r>
          </w:p>
        </w:tc>
        <w:tc>
          <w:tcPr>
            <w:tcW w:w="2360"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0A3B06AB"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0.4364 (0.3491 – 0.5237) </w:t>
            </w:r>
          </w:p>
        </w:tc>
        <w:tc>
          <w:tcPr>
            <w:tcW w:w="3283"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157B8413"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Yoo (2023) </w:t>
            </w:r>
          </w:p>
        </w:tc>
      </w:tr>
      <w:tr w:rsidR="00122A22" w:rsidRPr="00122A22" w14:paraId="380BEB90" w14:textId="77777777" w:rsidTr="00122A22">
        <w:trPr>
          <w:trHeight w:val="278"/>
        </w:trPr>
        <w:tc>
          <w:tcPr>
            <w:tcW w:w="3513" w:type="dxa"/>
            <w:tcBorders>
              <w:top w:val="single" w:sz="6" w:space="0" w:color="BFBFBF"/>
              <w:left w:val="single" w:sz="6" w:space="0" w:color="BFBFBF"/>
              <w:bottom w:val="single" w:sz="6" w:space="0" w:color="BFBFBF"/>
              <w:right w:val="single" w:sz="6" w:space="0" w:color="BFBFBF"/>
            </w:tcBorders>
            <w:shd w:val="clear" w:color="auto" w:fill="auto"/>
            <w:hideMark/>
          </w:tcPr>
          <w:p w14:paraId="47B5E965" w14:textId="77777777" w:rsidR="00122A22" w:rsidRPr="00122A22" w:rsidRDefault="00122A22" w:rsidP="00122A22">
            <w:pPr>
              <w:textAlignment w:val="baseline"/>
              <w:rPr>
                <w:rFonts w:ascii="Segoe UI" w:eastAsia="Times New Roman" w:hAnsi="Segoe UI" w:cs="Segoe UI"/>
                <w:b/>
                <w:bCs/>
                <w:sz w:val="18"/>
                <w:szCs w:val="18"/>
                <w:lang w:eastAsia="ja-JP"/>
              </w:rPr>
            </w:pPr>
            <w:r w:rsidRPr="00122A22">
              <w:rPr>
                <w:rFonts w:ascii="Times New Roman" w:eastAsia="Times New Roman" w:hAnsi="Times New Roman" w:cs="Times New Roman"/>
                <w:sz w:val="22"/>
                <w:szCs w:val="22"/>
                <w:lang w:eastAsia="ja-JP"/>
              </w:rPr>
              <w:t>Annual Mortality of advanced HCC (untreated)</w:t>
            </w:r>
            <w:r w:rsidRPr="00122A22">
              <w:rPr>
                <w:rFonts w:ascii="Times New Roman" w:eastAsia="Times New Roman" w:hAnsi="Times New Roman" w:cs="Times New Roman"/>
                <w:b/>
                <w:bCs/>
                <w:sz w:val="22"/>
                <w:szCs w:val="22"/>
                <w:lang w:eastAsia="ja-JP"/>
              </w:rPr>
              <w:t> </w:t>
            </w:r>
          </w:p>
        </w:tc>
        <w:tc>
          <w:tcPr>
            <w:tcW w:w="236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8C7A248"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0.5818 (0.4654 – 0.6981) </w:t>
            </w:r>
          </w:p>
        </w:tc>
        <w:tc>
          <w:tcPr>
            <w:tcW w:w="3283"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DA96ECA" w14:textId="77777777" w:rsidR="00122A22" w:rsidRPr="00122A22" w:rsidRDefault="00122A22" w:rsidP="00122A22">
            <w:pPr>
              <w:jc w:val="both"/>
              <w:textAlignment w:val="baseline"/>
              <w:rPr>
                <w:rFonts w:ascii="Segoe UI" w:eastAsia="Times New Roman" w:hAnsi="Segoe UI" w:cs="Segoe UI"/>
                <w:sz w:val="18"/>
                <w:szCs w:val="18"/>
                <w:lang w:eastAsia="ja-JP"/>
              </w:rPr>
            </w:pPr>
            <w:r w:rsidRPr="00122A22">
              <w:rPr>
                <w:rFonts w:ascii="Times New Roman" w:eastAsia="Times New Roman" w:hAnsi="Times New Roman" w:cs="Times New Roman"/>
                <w:sz w:val="22"/>
                <w:szCs w:val="22"/>
                <w:lang w:eastAsia="ja-JP"/>
              </w:rPr>
              <w:t>Yoo (2023) </w:t>
            </w:r>
          </w:p>
        </w:tc>
      </w:tr>
    </w:tbl>
    <w:p w14:paraId="68392755" w14:textId="77777777" w:rsidR="00122A22" w:rsidRDefault="00122A22" w:rsidP="50448BAA">
      <w:pPr>
        <w:rPr>
          <w:lang w:eastAsia="ja-JP"/>
        </w:rPr>
      </w:pPr>
    </w:p>
    <w:p w14:paraId="7D4E8BD9" w14:textId="5CFCBED3" w:rsidR="0038341E" w:rsidRDefault="0038341E" w:rsidP="59961667">
      <w:pPr>
        <w:rPr>
          <w:b/>
          <w:bCs/>
        </w:rPr>
      </w:pPr>
    </w:p>
    <w:tbl>
      <w:tblPr>
        <w:tblStyle w:val="TableGrid"/>
        <w:tblW w:w="9280" w:type="dxa"/>
        <w:tblInd w:w="0" w:type="dxa"/>
        <w:tblLook w:val="04A0" w:firstRow="1" w:lastRow="0" w:firstColumn="1" w:lastColumn="0" w:noHBand="0" w:noVBand="1"/>
      </w:tblPr>
      <w:tblGrid>
        <w:gridCol w:w="1937"/>
        <w:gridCol w:w="2550"/>
        <w:gridCol w:w="2550"/>
        <w:gridCol w:w="2243"/>
      </w:tblGrid>
      <w:tr w:rsidR="008B111F" w14:paraId="164402E6" w14:textId="77777777" w:rsidTr="597E9ACB">
        <w:trPr>
          <w:trHeight w:val="341"/>
        </w:trPr>
        <w:tc>
          <w:tcPr>
            <w:tcW w:w="1937" w:type="dxa"/>
            <w:tcBorders>
              <w:top w:val="single" w:sz="4" w:space="0" w:color="auto"/>
              <w:left w:val="single" w:sz="4" w:space="0" w:color="auto"/>
              <w:bottom w:val="single" w:sz="4" w:space="0" w:color="auto"/>
              <w:right w:val="single" w:sz="4" w:space="0" w:color="auto"/>
            </w:tcBorders>
            <w:hideMark/>
          </w:tcPr>
          <w:p w14:paraId="4957FF17" w14:textId="77777777" w:rsidR="008B111F" w:rsidRDefault="008B111F">
            <w:pPr>
              <w:rPr>
                <w:b/>
                <w:bCs/>
              </w:rPr>
            </w:pPr>
            <w:r>
              <w:rPr>
                <w:b/>
                <w:bCs/>
              </w:rPr>
              <w:t>Probability</w:t>
            </w:r>
          </w:p>
        </w:tc>
        <w:tc>
          <w:tcPr>
            <w:tcW w:w="2550" w:type="dxa"/>
            <w:tcBorders>
              <w:top w:val="single" w:sz="4" w:space="0" w:color="auto"/>
              <w:left w:val="single" w:sz="4" w:space="0" w:color="auto"/>
              <w:bottom w:val="single" w:sz="4" w:space="0" w:color="auto"/>
              <w:right w:val="single" w:sz="4" w:space="0" w:color="auto"/>
            </w:tcBorders>
          </w:tcPr>
          <w:p w14:paraId="36441510" w14:textId="0BFCFC78" w:rsidR="008B111F" w:rsidRDefault="008B111F">
            <w:pPr>
              <w:rPr>
                <w:b/>
                <w:bCs/>
              </w:rPr>
            </w:pPr>
            <w:r>
              <w:rPr>
                <w:b/>
                <w:bCs/>
              </w:rPr>
              <w:t>Original value from reference</w:t>
            </w:r>
          </w:p>
        </w:tc>
        <w:tc>
          <w:tcPr>
            <w:tcW w:w="2550" w:type="dxa"/>
            <w:tcBorders>
              <w:top w:val="single" w:sz="4" w:space="0" w:color="auto"/>
              <w:left w:val="single" w:sz="4" w:space="0" w:color="auto"/>
              <w:bottom w:val="single" w:sz="4" w:space="0" w:color="auto"/>
              <w:right w:val="single" w:sz="4" w:space="0" w:color="auto"/>
            </w:tcBorders>
            <w:hideMark/>
          </w:tcPr>
          <w:p w14:paraId="287CF007" w14:textId="5E31C449" w:rsidR="008B111F" w:rsidRDefault="008B111F">
            <w:pPr>
              <w:rPr>
                <w:b/>
                <w:bCs/>
              </w:rPr>
            </w:pPr>
            <w:r>
              <w:rPr>
                <w:b/>
                <w:bCs/>
              </w:rPr>
              <w:t>Value</w:t>
            </w:r>
          </w:p>
        </w:tc>
        <w:tc>
          <w:tcPr>
            <w:tcW w:w="2243" w:type="dxa"/>
            <w:tcBorders>
              <w:top w:val="single" w:sz="4" w:space="0" w:color="auto"/>
              <w:left w:val="single" w:sz="4" w:space="0" w:color="auto"/>
              <w:bottom w:val="single" w:sz="4" w:space="0" w:color="auto"/>
              <w:right w:val="single" w:sz="4" w:space="0" w:color="auto"/>
            </w:tcBorders>
            <w:hideMark/>
          </w:tcPr>
          <w:p w14:paraId="5C111448" w14:textId="56CF9916" w:rsidR="008B111F" w:rsidRDefault="008B111F" w:rsidP="59961667">
            <w:pPr>
              <w:rPr>
                <w:b/>
                <w:bCs/>
              </w:rPr>
            </w:pPr>
            <w:r w:rsidRPr="59961667">
              <w:rPr>
                <w:b/>
                <w:bCs/>
              </w:rPr>
              <w:t xml:space="preserve">Reference </w:t>
            </w:r>
          </w:p>
        </w:tc>
      </w:tr>
      <w:tr w:rsidR="008B111F" w14:paraId="61C2752F" w14:textId="77777777" w:rsidTr="597E9ACB">
        <w:trPr>
          <w:trHeight w:val="341"/>
        </w:trPr>
        <w:tc>
          <w:tcPr>
            <w:tcW w:w="1937" w:type="dxa"/>
            <w:tcBorders>
              <w:top w:val="single" w:sz="4" w:space="0" w:color="auto"/>
              <w:left w:val="single" w:sz="4" w:space="0" w:color="auto"/>
              <w:bottom w:val="single" w:sz="4" w:space="0" w:color="auto"/>
              <w:right w:val="single" w:sz="4" w:space="0" w:color="auto"/>
            </w:tcBorders>
          </w:tcPr>
          <w:p w14:paraId="594518E3" w14:textId="4B59E47B" w:rsidR="008B111F" w:rsidRDefault="008B111F">
            <w:r>
              <w:t xml:space="preserve">False positive HCC </w:t>
            </w:r>
          </w:p>
        </w:tc>
        <w:tc>
          <w:tcPr>
            <w:tcW w:w="2550" w:type="dxa"/>
            <w:tcBorders>
              <w:top w:val="single" w:sz="4" w:space="0" w:color="auto"/>
              <w:left w:val="single" w:sz="4" w:space="0" w:color="auto"/>
              <w:bottom w:val="single" w:sz="4" w:space="0" w:color="auto"/>
              <w:right w:val="single" w:sz="4" w:space="0" w:color="auto"/>
            </w:tcBorders>
          </w:tcPr>
          <w:p w14:paraId="5A7D0E07" w14:textId="67D4D0AF" w:rsidR="008B111F" w:rsidRDefault="008B111F">
            <w:r w:rsidRPr="008B111F">
              <w:t>specificity 85% (95% CI 73% to 93%)</w:t>
            </w:r>
          </w:p>
        </w:tc>
        <w:tc>
          <w:tcPr>
            <w:tcW w:w="2550" w:type="dxa"/>
            <w:tcBorders>
              <w:top w:val="single" w:sz="4" w:space="0" w:color="auto"/>
              <w:left w:val="single" w:sz="4" w:space="0" w:color="auto"/>
              <w:bottom w:val="single" w:sz="4" w:space="0" w:color="auto"/>
              <w:right w:val="single" w:sz="4" w:space="0" w:color="auto"/>
            </w:tcBorders>
          </w:tcPr>
          <w:p w14:paraId="4AD8A763" w14:textId="5852B910" w:rsidR="008B111F" w:rsidRDefault="008B111F">
            <w:bookmarkStart w:id="12" w:name="_Hlk188953241"/>
            <w:r w:rsidRPr="008B111F">
              <w:t>15% (7%-27%)</w:t>
            </w:r>
            <w:bookmarkEnd w:id="12"/>
          </w:p>
        </w:tc>
        <w:tc>
          <w:tcPr>
            <w:tcW w:w="2243" w:type="dxa"/>
            <w:tcBorders>
              <w:top w:val="single" w:sz="4" w:space="0" w:color="auto"/>
              <w:left w:val="single" w:sz="4" w:space="0" w:color="auto"/>
              <w:bottom w:val="single" w:sz="4" w:space="0" w:color="auto"/>
              <w:right w:val="single" w:sz="4" w:space="0" w:color="auto"/>
            </w:tcBorders>
          </w:tcPr>
          <w:p w14:paraId="749A6285" w14:textId="59AD6DA4" w:rsidR="008B111F" w:rsidRDefault="008B111F">
            <w:hyperlink r:id="rId40" w:history="1">
              <w:r>
                <w:rPr>
                  <w:rStyle w:val="Hyperlink"/>
                </w:rPr>
                <w:t>Colli 2021</w:t>
              </w:r>
            </w:hyperlink>
            <w:r>
              <w:t xml:space="preserve"> (15% false positive rate, </w:t>
            </w:r>
            <w:proofErr w:type="spellStart"/>
            <w:proofErr w:type="gramStart"/>
            <w:r>
              <w:t>meta analysis</w:t>
            </w:r>
            <w:proofErr w:type="spellEnd"/>
            <w:proofErr w:type="gramEnd"/>
            <w:r>
              <w:t>)</w:t>
            </w:r>
          </w:p>
        </w:tc>
      </w:tr>
      <w:tr w:rsidR="00E73D4B" w14:paraId="2EFD24DD" w14:textId="77777777" w:rsidTr="597E9ACB">
        <w:trPr>
          <w:trHeight w:val="341"/>
        </w:trPr>
        <w:tc>
          <w:tcPr>
            <w:tcW w:w="1937" w:type="dxa"/>
            <w:tcBorders>
              <w:top w:val="single" w:sz="4" w:space="0" w:color="auto"/>
              <w:left w:val="single" w:sz="4" w:space="0" w:color="auto"/>
              <w:bottom w:val="single" w:sz="4" w:space="0" w:color="auto"/>
              <w:right w:val="single" w:sz="4" w:space="0" w:color="auto"/>
            </w:tcBorders>
          </w:tcPr>
          <w:p w14:paraId="6CBA63CB" w14:textId="37A560AB" w:rsidR="00E73D4B" w:rsidRDefault="00E73D4B">
            <w:r>
              <w:t xml:space="preserve">Screening adherence </w:t>
            </w:r>
          </w:p>
        </w:tc>
        <w:tc>
          <w:tcPr>
            <w:tcW w:w="2550" w:type="dxa"/>
            <w:tcBorders>
              <w:top w:val="single" w:sz="4" w:space="0" w:color="auto"/>
              <w:left w:val="single" w:sz="4" w:space="0" w:color="auto"/>
              <w:bottom w:val="single" w:sz="4" w:space="0" w:color="auto"/>
              <w:right w:val="single" w:sz="4" w:space="0" w:color="auto"/>
            </w:tcBorders>
          </w:tcPr>
          <w:p w14:paraId="45934893" w14:textId="27A3A3C8" w:rsidR="00E1622F" w:rsidRPr="008B111F" w:rsidRDefault="00E1622F" w:rsidP="005C51D6">
            <w:r>
              <w:t>60%</w:t>
            </w:r>
          </w:p>
        </w:tc>
        <w:tc>
          <w:tcPr>
            <w:tcW w:w="2550" w:type="dxa"/>
            <w:tcBorders>
              <w:top w:val="single" w:sz="4" w:space="0" w:color="auto"/>
              <w:left w:val="single" w:sz="4" w:space="0" w:color="auto"/>
              <w:bottom w:val="single" w:sz="4" w:space="0" w:color="auto"/>
              <w:right w:val="single" w:sz="4" w:space="0" w:color="auto"/>
            </w:tcBorders>
          </w:tcPr>
          <w:p w14:paraId="1B1527DB" w14:textId="77777777" w:rsidR="00E1622F" w:rsidRDefault="00E1622F">
            <w:r>
              <w:t>60%</w:t>
            </w:r>
            <w:r w:rsidR="0032324C">
              <w:t xml:space="preserve"> (</w:t>
            </w:r>
            <w:r w:rsidR="001E4B12">
              <w:t>45</w:t>
            </w:r>
            <w:r w:rsidR="0032324C">
              <w:t>-</w:t>
            </w:r>
            <w:r w:rsidR="001E4B12">
              <w:t>75</w:t>
            </w:r>
            <w:r w:rsidR="0032324C">
              <w:t>%)</w:t>
            </w:r>
            <w:r w:rsidR="005C51D6">
              <w:t xml:space="preserve"> </w:t>
            </w:r>
          </w:p>
          <w:p w14:paraId="3E54038C" w14:textId="04E4ACA4" w:rsidR="005C51D6" w:rsidRPr="008B111F" w:rsidRDefault="005C51D6">
            <w:r>
              <w:t>+/- 25% range</w:t>
            </w:r>
          </w:p>
        </w:tc>
        <w:tc>
          <w:tcPr>
            <w:tcW w:w="2243" w:type="dxa"/>
            <w:tcBorders>
              <w:top w:val="single" w:sz="4" w:space="0" w:color="auto"/>
              <w:left w:val="single" w:sz="4" w:space="0" w:color="auto"/>
              <w:bottom w:val="single" w:sz="4" w:space="0" w:color="auto"/>
              <w:right w:val="single" w:sz="4" w:space="0" w:color="auto"/>
            </w:tcBorders>
          </w:tcPr>
          <w:p w14:paraId="3818EB06" w14:textId="5B8FD9B4" w:rsidR="00E1622F" w:rsidRPr="00E1622F" w:rsidRDefault="597E9ACB" w:rsidP="00E73D4B">
            <w:pPr>
              <w:rPr>
                <w:color w:val="0000FF"/>
                <w:u w:val="single"/>
              </w:rPr>
            </w:pPr>
            <w:hyperlink r:id="rId41">
              <w:r w:rsidRPr="597E9ACB">
                <w:rPr>
                  <w:rStyle w:val="Hyperlink"/>
                </w:rPr>
                <w:t>Singal 2024</w:t>
              </w:r>
            </w:hyperlink>
          </w:p>
        </w:tc>
      </w:tr>
    </w:tbl>
    <w:p w14:paraId="270B00FA" w14:textId="27D3309D" w:rsidR="0038341E" w:rsidRDefault="0038341E" w:rsidP="0038341E">
      <w:pPr>
        <w:rPr>
          <w:lang w:eastAsia="ja-JP"/>
        </w:rPr>
      </w:pPr>
    </w:p>
    <w:p w14:paraId="6BFCC675" w14:textId="77777777" w:rsidR="007F7254" w:rsidRDefault="007F7254" w:rsidP="0038341E">
      <w:pPr>
        <w:rPr>
          <w:lang w:eastAsia="ja-JP"/>
        </w:rPr>
      </w:pPr>
    </w:p>
    <w:p w14:paraId="6C314CC3" w14:textId="42AA71F7" w:rsidR="0038341E" w:rsidRDefault="59961667" w:rsidP="59961667">
      <w:pPr>
        <w:rPr>
          <w:b/>
          <w:bCs/>
        </w:rPr>
      </w:pPr>
      <w:r w:rsidRPr="59961667">
        <w:rPr>
          <w:b/>
          <w:bCs/>
        </w:rPr>
        <w:t>Quality of life by health state from literature</w:t>
      </w:r>
      <w:r w:rsidR="00EA0BE7">
        <w:rPr>
          <w:b/>
          <w:bCs/>
        </w:rPr>
        <w:t xml:space="preserve"> (standard gamble)</w:t>
      </w:r>
    </w:p>
    <w:tbl>
      <w:tblPr>
        <w:tblStyle w:val="TableGrid"/>
        <w:tblW w:w="0" w:type="auto"/>
        <w:tblInd w:w="0" w:type="dxa"/>
        <w:tblLook w:val="04A0" w:firstRow="1" w:lastRow="0" w:firstColumn="1" w:lastColumn="0" w:noHBand="0" w:noVBand="1"/>
      </w:tblPr>
      <w:tblGrid>
        <w:gridCol w:w="2520"/>
        <w:gridCol w:w="2053"/>
        <w:gridCol w:w="2356"/>
        <w:gridCol w:w="2421"/>
      </w:tblGrid>
      <w:tr w:rsidR="008B111F" w14:paraId="118C3C44" w14:textId="77777777" w:rsidTr="5606A867">
        <w:tc>
          <w:tcPr>
            <w:tcW w:w="2520" w:type="dxa"/>
            <w:tcBorders>
              <w:top w:val="single" w:sz="4" w:space="0" w:color="auto"/>
              <w:left w:val="single" w:sz="4" w:space="0" w:color="auto"/>
              <w:bottom w:val="single" w:sz="4" w:space="0" w:color="auto"/>
              <w:right w:val="single" w:sz="4" w:space="0" w:color="auto"/>
            </w:tcBorders>
            <w:hideMark/>
          </w:tcPr>
          <w:p w14:paraId="3A5ABBCB" w14:textId="77777777" w:rsidR="008B111F" w:rsidRDefault="008B111F" w:rsidP="008B111F">
            <w:pPr>
              <w:rPr>
                <w:b/>
                <w:bCs/>
              </w:rPr>
            </w:pPr>
            <w:r>
              <w:rPr>
                <w:b/>
                <w:bCs/>
              </w:rPr>
              <w:t>Health State</w:t>
            </w:r>
          </w:p>
        </w:tc>
        <w:tc>
          <w:tcPr>
            <w:tcW w:w="2053" w:type="dxa"/>
            <w:tcBorders>
              <w:top w:val="single" w:sz="4" w:space="0" w:color="auto"/>
              <w:left w:val="single" w:sz="4" w:space="0" w:color="auto"/>
              <w:bottom w:val="single" w:sz="4" w:space="0" w:color="auto"/>
              <w:right w:val="single" w:sz="4" w:space="0" w:color="auto"/>
            </w:tcBorders>
          </w:tcPr>
          <w:p w14:paraId="64A4C821" w14:textId="11C60FB0" w:rsidR="008B111F" w:rsidRDefault="008B111F" w:rsidP="008B111F">
            <w:pPr>
              <w:rPr>
                <w:b/>
                <w:bCs/>
              </w:rPr>
            </w:pPr>
            <w:r>
              <w:rPr>
                <w:b/>
                <w:bCs/>
              </w:rPr>
              <w:t>Original value from reference</w:t>
            </w:r>
          </w:p>
        </w:tc>
        <w:tc>
          <w:tcPr>
            <w:tcW w:w="2356" w:type="dxa"/>
            <w:tcBorders>
              <w:top w:val="single" w:sz="4" w:space="0" w:color="auto"/>
              <w:left w:val="single" w:sz="4" w:space="0" w:color="auto"/>
              <w:bottom w:val="single" w:sz="4" w:space="0" w:color="auto"/>
              <w:right w:val="single" w:sz="4" w:space="0" w:color="auto"/>
            </w:tcBorders>
            <w:hideMark/>
          </w:tcPr>
          <w:p w14:paraId="45E32467" w14:textId="539FD093" w:rsidR="008B111F" w:rsidRDefault="00FF5517" w:rsidP="008B111F">
            <w:pPr>
              <w:rPr>
                <w:b/>
                <w:bCs/>
              </w:rPr>
            </w:pPr>
            <w:r>
              <w:rPr>
                <w:b/>
                <w:bCs/>
              </w:rPr>
              <w:t>Base-case value</w:t>
            </w:r>
            <w:r w:rsidR="008B111F">
              <w:rPr>
                <w:b/>
                <w:bCs/>
              </w:rPr>
              <w:t xml:space="preserve"> </w:t>
            </w:r>
            <w:r>
              <w:rPr>
                <w:b/>
                <w:bCs/>
              </w:rPr>
              <w:t>with range</w:t>
            </w:r>
          </w:p>
        </w:tc>
        <w:tc>
          <w:tcPr>
            <w:tcW w:w="2421" w:type="dxa"/>
            <w:tcBorders>
              <w:top w:val="single" w:sz="4" w:space="0" w:color="auto"/>
              <w:left w:val="single" w:sz="4" w:space="0" w:color="auto"/>
              <w:bottom w:val="single" w:sz="4" w:space="0" w:color="auto"/>
              <w:right w:val="single" w:sz="4" w:space="0" w:color="auto"/>
            </w:tcBorders>
            <w:hideMark/>
          </w:tcPr>
          <w:p w14:paraId="35F84C19" w14:textId="712837C7" w:rsidR="008B111F" w:rsidRDefault="008B111F" w:rsidP="008B111F">
            <w:pPr>
              <w:rPr>
                <w:b/>
                <w:bCs/>
              </w:rPr>
            </w:pPr>
            <w:r w:rsidRPr="59961667">
              <w:rPr>
                <w:b/>
                <w:bCs/>
              </w:rPr>
              <w:t xml:space="preserve">Reference </w:t>
            </w:r>
          </w:p>
        </w:tc>
      </w:tr>
      <w:tr w:rsidR="008B111F" w14:paraId="1A28E9AF" w14:textId="77777777" w:rsidTr="5606A867">
        <w:tc>
          <w:tcPr>
            <w:tcW w:w="2520" w:type="dxa"/>
            <w:tcBorders>
              <w:top w:val="single" w:sz="4" w:space="0" w:color="auto"/>
              <w:left w:val="single" w:sz="4" w:space="0" w:color="auto"/>
              <w:bottom w:val="single" w:sz="4" w:space="0" w:color="auto"/>
              <w:right w:val="single" w:sz="4" w:space="0" w:color="auto"/>
            </w:tcBorders>
            <w:hideMark/>
          </w:tcPr>
          <w:p w14:paraId="4BF0C6BB" w14:textId="7DD1A6BA" w:rsidR="008B111F" w:rsidRPr="00F376CA" w:rsidRDefault="008B111F" w:rsidP="008B111F">
            <w:r w:rsidRPr="00F376CA">
              <w:t>MASLD without cirrhosis</w:t>
            </w:r>
          </w:p>
        </w:tc>
        <w:tc>
          <w:tcPr>
            <w:tcW w:w="2053" w:type="dxa"/>
            <w:tcBorders>
              <w:top w:val="single" w:sz="4" w:space="0" w:color="auto"/>
              <w:left w:val="single" w:sz="4" w:space="0" w:color="auto"/>
              <w:bottom w:val="single" w:sz="4" w:space="0" w:color="auto"/>
              <w:right w:val="single" w:sz="4" w:space="0" w:color="auto"/>
            </w:tcBorders>
          </w:tcPr>
          <w:p w14:paraId="7A07DB19" w14:textId="50E5C6BC" w:rsidR="008B111F" w:rsidRPr="00F376CA" w:rsidRDefault="008B111F" w:rsidP="008B111F">
            <w:r w:rsidRPr="008B111F">
              <w:t>0.660±0.107</w:t>
            </w:r>
          </w:p>
        </w:tc>
        <w:tc>
          <w:tcPr>
            <w:tcW w:w="2356" w:type="dxa"/>
            <w:tcBorders>
              <w:top w:val="single" w:sz="4" w:space="0" w:color="auto"/>
              <w:left w:val="single" w:sz="4" w:space="0" w:color="auto"/>
              <w:bottom w:val="single" w:sz="4" w:space="0" w:color="auto"/>
              <w:right w:val="single" w:sz="4" w:space="0" w:color="auto"/>
            </w:tcBorders>
          </w:tcPr>
          <w:p w14:paraId="6324A93B" w14:textId="77777777" w:rsidR="004C4B31" w:rsidRDefault="004C4B31" w:rsidP="008B111F">
            <w:r w:rsidRPr="00814716">
              <w:rPr>
                <w:highlight w:val="cyan"/>
              </w:rPr>
              <w:t>0.85 (</w:t>
            </w:r>
            <w:r w:rsidR="00814716" w:rsidRPr="00814716">
              <w:rPr>
                <w:highlight w:val="cyan"/>
              </w:rPr>
              <w:t>0.64-1.06)</w:t>
            </w:r>
          </w:p>
          <w:p w14:paraId="6F04DF74" w14:textId="7EA3CEA9" w:rsidR="00814716" w:rsidRPr="00814716" w:rsidRDefault="00814716" w:rsidP="008B111F">
            <w:pPr>
              <w:rPr>
                <w:i/>
                <w:iCs/>
                <w:color w:val="FF0000"/>
              </w:rPr>
            </w:pPr>
            <w:r w:rsidRPr="00814716">
              <w:rPr>
                <w:i/>
                <w:iCs/>
              </w:rPr>
              <w:t>Range is +/-25%</w:t>
            </w:r>
          </w:p>
        </w:tc>
        <w:tc>
          <w:tcPr>
            <w:tcW w:w="2421" w:type="dxa"/>
            <w:tcBorders>
              <w:top w:val="single" w:sz="4" w:space="0" w:color="auto"/>
              <w:left w:val="single" w:sz="4" w:space="0" w:color="auto"/>
              <w:bottom w:val="single" w:sz="4" w:space="0" w:color="auto"/>
              <w:right w:val="single" w:sz="4" w:space="0" w:color="auto"/>
            </w:tcBorders>
          </w:tcPr>
          <w:p w14:paraId="28FD5815" w14:textId="62F026A2" w:rsidR="005E24EC" w:rsidRPr="00A717F9" w:rsidRDefault="005E24EC" w:rsidP="005E24EC">
            <w:hyperlink r:id="rId42" w:history="1">
              <w:r w:rsidR="5606A867" w:rsidRPr="5606A867">
                <w:rPr>
                  <w:rStyle w:val="Hyperlink"/>
                  <w:highlight w:val="cyan"/>
                </w:rPr>
                <w:t xml:space="preserve">Ock 2017 </w:t>
              </w:r>
            </w:hyperlink>
          </w:p>
        </w:tc>
      </w:tr>
      <w:tr w:rsidR="00216B6D" w14:paraId="32C11D60" w14:textId="77777777" w:rsidTr="5606A867">
        <w:tc>
          <w:tcPr>
            <w:tcW w:w="2520" w:type="dxa"/>
            <w:tcBorders>
              <w:top w:val="single" w:sz="4" w:space="0" w:color="auto"/>
              <w:left w:val="single" w:sz="4" w:space="0" w:color="auto"/>
              <w:bottom w:val="single" w:sz="4" w:space="0" w:color="auto"/>
              <w:right w:val="single" w:sz="4" w:space="0" w:color="auto"/>
            </w:tcBorders>
          </w:tcPr>
          <w:p w14:paraId="1163C388" w14:textId="7DB0AB29" w:rsidR="00216B6D" w:rsidRPr="00F376CA" w:rsidRDefault="00216B6D" w:rsidP="008B111F">
            <w:r>
              <w:t xml:space="preserve">Compensated cirrhosis </w:t>
            </w:r>
          </w:p>
        </w:tc>
        <w:tc>
          <w:tcPr>
            <w:tcW w:w="2053" w:type="dxa"/>
            <w:tcBorders>
              <w:top w:val="single" w:sz="4" w:space="0" w:color="auto"/>
              <w:left w:val="single" w:sz="4" w:space="0" w:color="auto"/>
              <w:bottom w:val="single" w:sz="4" w:space="0" w:color="auto"/>
              <w:right w:val="single" w:sz="4" w:space="0" w:color="auto"/>
            </w:tcBorders>
          </w:tcPr>
          <w:p w14:paraId="3B5105E2" w14:textId="77777777" w:rsidR="00216B6D" w:rsidRPr="008B111F" w:rsidRDefault="00216B6D" w:rsidP="008B111F"/>
        </w:tc>
        <w:tc>
          <w:tcPr>
            <w:tcW w:w="2356" w:type="dxa"/>
            <w:tcBorders>
              <w:top w:val="single" w:sz="4" w:space="0" w:color="auto"/>
              <w:left w:val="single" w:sz="4" w:space="0" w:color="auto"/>
              <w:bottom w:val="single" w:sz="4" w:space="0" w:color="auto"/>
              <w:right w:val="single" w:sz="4" w:space="0" w:color="auto"/>
            </w:tcBorders>
          </w:tcPr>
          <w:p w14:paraId="2E5B81E6" w14:textId="7E49C0E2" w:rsidR="00216B6D" w:rsidRPr="00216B6D" w:rsidRDefault="00216B6D" w:rsidP="008B111F">
            <w:pPr>
              <w:rPr>
                <w:highlight w:val="yellow"/>
              </w:rPr>
            </w:pPr>
            <w:r w:rsidRPr="006146FE">
              <w:t>0.78 (0.71-0.89)</w:t>
            </w:r>
          </w:p>
        </w:tc>
        <w:tc>
          <w:tcPr>
            <w:tcW w:w="2421" w:type="dxa"/>
            <w:tcBorders>
              <w:top w:val="single" w:sz="4" w:space="0" w:color="auto"/>
              <w:left w:val="single" w:sz="4" w:space="0" w:color="auto"/>
              <w:bottom w:val="single" w:sz="4" w:space="0" w:color="auto"/>
              <w:right w:val="single" w:sz="4" w:space="0" w:color="auto"/>
            </w:tcBorders>
          </w:tcPr>
          <w:p w14:paraId="07932362" w14:textId="17F9CC74" w:rsidR="00216B6D" w:rsidRDefault="00216B6D" w:rsidP="008B111F">
            <w:hyperlink r:id="rId43" w:anchor="S11" w:history="1">
              <w:r w:rsidRPr="008E772A">
                <w:rPr>
                  <w:rStyle w:val="Hyperlink"/>
                </w:rPr>
                <w:t>Si</w:t>
              </w:r>
              <w:r w:rsidRPr="008E772A">
                <w:rPr>
                  <w:rStyle w:val="Hyperlink"/>
                </w:rPr>
                <w:t>ngal 2024</w:t>
              </w:r>
            </w:hyperlink>
          </w:p>
        </w:tc>
      </w:tr>
      <w:tr w:rsidR="008B111F" w14:paraId="1B03C884" w14:textId="77777777" w:rsidTr="5606A867">
        <w:tc>
          <w:tcPr>
            <w:tcW w:w="2520" w:type="dxa"/>
            <w:tcBorders>
              <w:top w:val="single" w:sz="4" w:space="0" w:color="auto"/>
              <w:left w:val="single" w:sz="4" w:space="0" w:color="auto"/>
              <w:bottom w:val="single" w:sz="4" w:space="0" w:color="auto"/>
              <w:right w:val="single" w:sz="4" w:space="0" w:color="auto"/>
            </w:tcBorders>
            <w:hideMark/>
          </w:tcPr>
          <w:p w14:paraId="753B72CB" w14:textId="77777777" w:rsidR="008B111F" w:rsidRDefault="008B111F" w:rsidP="008B111F">
            <w:r>
              <w:t>False positive HCC</w:t>
            </w:r>
          </w:p>
        </w:tc>
        <w:tc>
          <w:tcPr>
            <w:tcW w:w="2053" w:type="dxa"/>
            <w:tcBorders>
              <w:top w:val="single" w:sz="4" w:space="0" w:color="auto"/>
              <w:left w:val="single" w:sz="4" w:space="0" w:color="auto"/>
              <w:bottom w:val="single" w:sz="4" w:space="0" w:color="auto"/>
              <w:right w:val="single" w:sz="4" w:space="0" w:color="auto"/>
            </w:tcBorders>
          </w:tcPr>
          <w:p w14:paraId="6D7562DE" w14:textId="77777777" w:rsidR="008B111F" w:rsidRDefault="008B111F" w:rsidP="008B111F"/>
        </w:tc>
        <w:tc>
          <w:tcPr>
            <w:tcW w:w="2356" w:type="dxa"/>
            <w:tcBorders>
              <w:top w:val="single" w:sz="4" w:space="0" w:color="auto"/>
              <w:left w:val="single" w:sz="4" w:space="0" w:color="auto"/>
              <w:bottom w:val="single" w:sz="4" w:space="0" w:color="auto"/>
              <w:right w:val="single" w:sz="4" w:space="0" w:color="auto"/>
            </w:tcBorders>
          </w:tcPr>
          <w:p w14:paraId="04AFB9EE" w14:textId="690A3C7C" w:rsidR="008B111F" w:rsidRDefault="008B111F" w:rsidP="008B111F">
            <w:r>
              <w:t xml:space="preserve">Same </w:t>
            </w:r>
            <w:r w:rsidR="006D4766">
              <w:t>as utility of MASLD (see note)</w:t>
            </w:r>
          </w:p>
        </w:tc>
        <w:tc>
          <w:tcPr>
            <w:tcW w:w="2421" w:type="dxa"/>
            <w:tcBorders>
              <w:top w:val="single" w:sz="4" w:space="0" w:color="auto"/>
              <w:left w:val="single" w:sz="4" w:space="0" w:color="auto"/>
              <w:bottom w:val="single" w:sz="4" w:space="0" w:color="auto"/>
              <w:right w:val="single" w:sz="4" w:space="0" w:color="auto"/>
            </w:tcBorders>
          </w:tcPr>
          <w:p w14:paraId="647C98EE" w14:textId="57DA9D34" w:rsidR="008B111F" w:rsidRDefault="008B111F" w:rsidP="008B111F"/>
        </w:tc>
      </w:tr>
      <w:tr w:rsidR="008B111F" w14:paraId="4FAD25B6" w14:textId="77777777" w:rsidTr="5606A867">
        <w:tc>
          <w:tcPr>
            <w:tcW w:w="2520" w:type="dxa"/>
            <w:tcBorders>
              <w:top w:val="single" w:sz="4" w:space="0" w:color="auto"/>
              <w:left w:val="single" w:sz="4" w:space="0" w:color="auto"/>
              <w:bottom w:val="single" w:sz="4" w:space="0" w:color="auto"/>
              <w:right w:val="single" w:sz="4" w:space="0" w:color="auto"/>
            </w:tcBorders>
            <w:hideMark/>
          </w:tcPr>
          <w:p w14:paraId="7B303290" w14:textId="77777777" w:rsidR="008B111F" w:rsidRDefault="008B111F" w:rsidP="008B111F">
            <w:proofErr w:type="gramStart"/>
            <w:r>
              <w:t>Early stage</w:t>
            </w:r>
            <w:proofErr w:type="gramEnd"/>
            <w:r>
              <w:t xml:space="preserve"> HCC</w:t>
            </w:r>
          </w:p>
        </w:tc>
        <w:tc>
          <w:tcPr>
            <w:tcW w:w="2053" w:type="dxa"/>
            <w:tcBorders>
              <w:top w:val="single" w:sz="4" w:space="0" w:color="auto"/>
              <w:left w:val="single" w:sz="4" w:space="0" w:color="auto"/>
              <w:bottom w:val="single" w:sz="4" w:space="0" w:color="auto"/>
              <w:right w:val="single" w:sz="4" w:space="0" w:color="auto"/>
            </w:tcBorders>
          </w:tcPr>
          <w:p w14:paraId="1178844B" w14:textId="77777777" w:rsidR="008B111F" w:rsidRPr="00A76864" w:rsidRDefault="008B111F" w:rsidP="008B111F"/>
        </w:tc>
        <w:tc>
          <w:tcPr>
            <w:tcW w:w="2356" w:type="dxa"/>
            <w:tcBorders>
              <w:top w:val="single" w:sz="4" w:space="0" w:color="auto"/>
              <w:left w:val="single" w:sz="4" w:space="0" w:color="auto"/>
              <w:bottom w:val="single" w:sz="4" w:space="0" w:color="auto"/>
              <w:right w:val="single" w:sz="4" w:space="0" w:color="auto"/>
            </w:tcBorders>
          </w:tcPr>
          <w:p w14:paraId="0310AA83" w14:textId="5EA9F443" w:rsidR="008B111F" w:rsidRDefault="008B111F" w:rsidP="008B111F">
            <w:r w:rsidRPr="00A76864">
              <w:t>0.72</w:t>
            </w:r>
            <w:r>
              <w:t xml:space="preserve"> (</w:t>
            </w:r>
            <w:r w:rsidRPr="008B111F">
              <w:t>0.62–0.82</w:t>
            </w:r>
            <w:r>
              <w:t>)</w:t>
            </w:r>
          </w:p>
        </w:tc>
        <w:tc>
          <w:tcPr>
            <w:tcW w:w="2421" w:type="dxa"/>
            <w:tcBorders>
              <w:top w:val="single" w:sz="4" w:space="0" w:color="auto"/>
              <w:left w:val="single" w:sz="4" w:space="0" w:color="auto"/>
              <w:bottom w:val="single" w:sz="4" w:space="0" w:color="auto"/>
              <w:right w:val="single" w:sz="4" w:space="0" w:color="auto"/>
            </w:tcBorders>
          </w:tcPr>
          <w:p w14:paraId="316A2228" w14:textId="45DE50CC" w:rsidR="008B111F" w:rsidRDefault="008B111F" w:rsidP="008B111F">
            <w:hyperlink r:id="rId44" w:anchor="S11" w:history="1">
              <w:r w:rsidRPr="008E772A">
                <w:rPr>
                  <w:rStyle w:val="Hyperlink"/>
                </w:rPr>
                <w:t>Singal 2024</w:t>
              </w:r>
            </w:hyperlink>
          </w:p>
        </w:tc>
      </w:tr>
      <w:tr w:rsidR="008B111F" w14:paraId="53B4A825" w14:textId="77777777" w:rsidTr="5606A867">
        <w:tc>
          <w:tcPr>
            <w:tcW w:w="2520" w:type="dxa"/>
            <w:tcBorders>
              <w:top w:val="single" w:sz="4" w:space="0" w:color="auto"/>
              <w:left w:val="single" w:sz="4" w:space="0" w:color="auto"/>
              <w:bottom w:val="single" w:sz="4" w:space="0" w:color="auto"/>
              <w:right w:val="single" w:sz="4" w:space="0" w:color="auto"/>
            </w:tcBorders>
            <w:hideMark/>
          </w:tcPr>
          <w:p w14:paraId="408C850B" w14:textId="77777777" w:rsidR="008B111F" w:rsidRDefault="008B111F" w:rsidP="008B111F">
            <w:r>
              <w:t>Intermediate stage HCC</w:t>
            </w:r>
          </w:p>
        </w:tc>
        <w:tc>
          <w:tcPr>
            <w:tcW w:w="2053" w:type="dxa"/>
            <w:tcBorders>
              <w:top w:val="single" w:sz="4" w:space="0" w:color="auto"/>
              <w:left w:val="single" w:sz="4" w:space="0" w:color="auto"/>
              <w:bottom w:val="single" w:sz="4" w:space="0" w:color="auto"/>
              <w:right w:val="single" w:sz="4" w:space="0" w:color="auto"/>
            </w:tcBorders>
          </w:tcPr>
          <w:p w14:paraId="2E8873A1" w14:textId="77777777" w:rsidR="008B111F" w:rsidRPr="00A76864" w:rsidRDefault="008B111F" w:rsidP="008B111F"/>
        </w:tc>
        <w:tc>
          <w:tcPr>
            <w:tcW w:w="2356" w:type="dxa"/>
            <w:tcBorders>
              <w:top w:val="single" w:sz="4" w:space="0" w:color="auto"/>
              <w:left w:val="single" w:sz="4" w:space="0" w:color="auto"/>
              <w:bottom w:val="single" w:sz="4" w:space="0" w:color="auto"/>
              <w:right w:val="single" w:sz="4" w:space="0" w:color="auto"/>
            </w:tcBorders>
          </w:tcPr>
          <w:p w14:paraId="69D8CD3D" w14:textId="7A6212D5" w:rsidR="008B111F" w:rsidRDefault="008B111F" w:rsidP="008B111F">
            <w:r w:rsidRPr="00A76864">
              <w:t>0.69</w:t>
            </w:r>
            <w:r>
              <w:t xml:space="preserve"> (0.62-0.78)</w:t>
            </w:r>
          </w:p>
        </w:tc>
        <w:tc>
          <w:tcPr>
            <w:tcW w:w="2421" w:type="dxa"/>
            <w:tcBorders>
              <w:top w:val="single" w:sz="4" w:space="0" w:color="auto"/>
              <w:left w:val="single" w:sz="4" w:space="0" w:color="auto"/>
              <w:bottom w:val="single" w:sz="4" w:space="0" w:color="auto"/>
              <w:right w:val="single" w:sz="4" w:space="0" w:color="auto"/>
            </w:tcBorders>
          </w:tcPr>
          <w:p w14:paraId="3D46799F" w14:textId="37D4892A" w:rsidR="008B111F" w:rsidRDefault="00216B6D" w:rsidP="008B111F">
            <w:hyperlink r:id="rId45" w:anchor="S11" w:history="1">
              <w:r w:rsidRPr="008E772A">
                <w:rPr>
                  <w:rStyle w:val="Hyperlink"/>
                </w:rPr>
                <w:t>Singal 2024</w:t>
              </w:r>
            </w:hyperlink>
          </w:p>
        </w:tc>
      </w:tr>
      <w:tr w:rsidR="008B111F" w14:paraId="1EF745BB" w14:textId="77777777" w:rsidTr="5606A867">
        <w:tc>
          <w:tcPr>
            <w:tcW w:w="2520" w:type="dxa"/>
            <w:tcBorders>
              <w:top w:val="single" w:sz="4" w:space="0" w:color="auto"/>
              <w:left w:val="single" w:sz="4" w:space="0" w:color="auto"/>
              <w:bottom w:val="single" w:sz="4" w:space="0" w:color="auto"/>
              <w:right w:val="single" w:sz="4" w:space="0" w:color="auto"/>
            </w:tcBorders>
            <w:hideMark/>
          </w:tcPr>
          <w:p w14:paraId="54A3760C" w14:textId="77777777" w:rsidR="008B111F" w:rsidRDefault="008B111F" w:rsidP="008B111F">
            <w:proofErr w:type="gramStart"/>
            <w:r>
              <w:t>Late stage</w:t>
            </w:r>
            <w:proofErr w:type="gramEnd"/>
            <w:r>
              <w:t xml:space="preserve"> HCC </w:t>
            </w:r>
          </w:p>
        </w:tc>
        <w:tc>
          <w:tcPr>
            <w:tcW w:w="2053" w:type="dxa"/>
            <w:tcBorders>
              <w:top w:val="single" w:sz="4" w:space="0" w:color="auto"/>
              <w:left w:val="single" w:sz="4" w:space="0" w:color="auto"/>
              <w:bottom w:val="single" w:sz="4" w:space="0" w:color="auto"/>
              <w:right w:val="single" w:sz="4" w:space="0" w:color="auto"/>
            </w:tcBorders>
          </w:tcPr>
          <w:p w14:paraId="059F7CDC" w14:textId="320701CC" w:rsidR="008B111F" w:rsidRPr="00A76864" w:rsidRDefault="008B111F" w:rsidP="003751DA"/>
        </w:tc>
        <w:tc>
          <w:tcPr>
            <w:tcW w:w="2356" w:type="dxa"/>
            <w:tcBorders>
              <w:top w:val="single" w:sz="4" w:space="0" w:color="auto"/>
              <w:left w:val="single" w:sz="4" w:space="0" w:color="auto"/>
              <w:bottom w:val="single" w:sz="4" w:space="0" w:color="auto"/>
              <w:right w:val="single" w:sz="4" w:space="0" w:color="auto"/>
            </w:tcBorders>
          </w:tcPr>
          <w:p w14:paraId="40484230" w14:textId="4B0EBA4E" w:rsidR="00814716" w:rsidRDefault="00814716" w:rsidP="00814716">
            <w:r w:rsidRPr="00814716">
              <w:rPr>
                <w:highlight w:val="cyan"/>
              </w:rPr>
              <w:t>0.</w:t>
            </w:r>
            <w:r>
              <w:rPr>
                <w:highlight w:val="cyan"/>
              </w:rPr>
              <w:t>40</w:t>
            </w:r>
            <w:r w:rsidRPr="00814716">
              <w:rPr>
                <w:highlight w:val="cyan"/>
              </w:rPr>
              <w:t xml:space="preserve"> (0.</w:t>
            </w:r>
            <w:r>
              <w:rPr>
                <w:highlight w:val="cyan"/>
              </w:rPr>
              <w:t>30</w:t>
            </w:r>
            <w:r w:rsidRPr="00814716">
              <w:rPr>
                <w:highlight w:val="cyan"/>
              </w:rPr>
              <w:t>-</w:t>
            </w:r>
            <w:r>
              <w:rPr>
                <w:highlight w:val="cyan"/>
              </w:rPr>
              <w:t>0.50</w:t>
            </w:r>
            <w:r w:rsidRPr="00814716">
              <w:rPr>
                <w:highlight w:val="cyan"/>
              </w:rPr>
              <w:t>)</w:t>
            </w:r>
          </w:p>
          <w:p w14:paraId="1DF485B3" w14:textId="2F1FF58B" w:rsidR="00814716" w:rsidRPr="00056A01" w:rsidRDefault="00814716" w:rsidP="00814716">
            <w:pPr>
              <w:rPr>
                <w:highlight w:val="yellow"/>
              </w:rPr>
            </w:pPr>
            <w:r w:rsidRPr="00814716">
              <w:rPr>
                <w:i/>
                <w:iCs/>
              </w:rPr>
              <w:t>Range is +/-25%</w:t>
            </w:r>
          </w:p>
        </w:tc>
        <w:tc>
          <w:tcPr>
            <w:tcW w:w="2421" w:type="dxa"/>
            <w:tcBorders>
              <w:top w:val="single" w:sz="4" w:space="0" w:color="auto"/>
              <w:left w:val="single" w:sz="4" w:space="0" w:color="auto"/>
              <w:bottom w:val="single" w:sz="4" w:space="0" w:color="auto"/>
              <w:right w:val="single" w:sz="4" w:space="0" w:color="auto"/>
            </w:tcBorders>
          </w:tcPr>
          <w:p w14:paraId="48B9E79D" w14:textId="203BC58E" w:rsidR="00814716" w:rsidRPr="00056A01" w:rsidRDefault="00814716" w:rsidP="008B111F">
            <w:pPr>
              <w:rPr>
                <w:highlight w:val="yellow"/>
              </w:rPr>
            </w:pPr>
            <w:hyperlink r:id="rId46" w:history="1">
              <w:r w:rsidRPr="00814716">
                <w:rPr>
                  <w:rStyle w:val="Hyperlink"/>
                  <w:highlight w:val="cyan"/>
                </w:rPr>
                <w:t>Ock</w:t>
              </w:r>
              <w:r w:rsidRPr="00814716">
                <w:rPr>
                  <w:rStyle w:val="Hyperlink"/>
                  <w:highlight w:val="cyan"/>
                </w:rPr>
                <w:t xml:space="preserve"> </w:t>
              </w:r>
              <w:r w:rsidRPr="00814716">
                <w:rPr>
                  <w:rStyle w:val="Hyperlink"/>
                  <w:highlight w:val="cyan"/>
                </w:rPr>
                <w:t xml:space="preserve">2017 </w:t>
              </w:r>
            </w:hyperlink>
          </w:p>
        </w:tc>
      </w:tr>
    </w:tbl>
    <w:p w14:paraId="6992B12C" w14:textId="2037AA74" w:rsidR="00BC1D88" w:rsidRDefault="006D4766" w:rsidP="0038341E">
      <w:r>
        <w:t xml:space="preserve">Note: We assume the utility of false positive HCC node to be the same as MASLD. We assume that the disutility associated with false positive HCC is almost negligible because patients only spend a fraction of one cycle in this state. We assume that patients who are falsely diagnosed </w:t>
      </w:r>
      <w:r>
        <w:lastRenderedPageBreak/>
        <w:t xml:space="preserve">with HCC from ultrasound will receive average of 2.5 CT/MRI (Parikh 2020) to confirm the </w:t>
      </w:r>
      <w:proofErr w:type="gramStart"/>
      <w:r>
        <w:t>diagnosis, and</w:t>
      </w:r>
      <w:proofErr w:type="gramEnd"/>
      <w:r>
        <w:t xml:space="preserve"> will not spend a significant amount of time in a false positive state. Thus, patients in the false positive HCC node will just accrue a cost for the 2.5 CT/MRI but will not be penalized with any disutility. </w:t>
      </w:r>
    </w:p>
    <w:p w14:paraId="1C6E6E06" w14:textId="77777777" w:rsidR="007F7254" w:rsidRDefault="007F7254" w:rsidP="0038341E"/>
    <w:p w14:paraId="6584450D" w14:textId="3881C438" w:rsidR="0038341E" w:rsidRDefault="59961667" w:rsidP="59961667">
      <w:pPr>
        <w:rPr>
          <w:b/>
          <w:bCs/>
          <w:lang w:eastAsia="ja-JP"/>
        </w:rPr>
      </w:pPr>
      <w:r w:rsidRPr="59961667">
        <w:rPr>
          <w:b/>
          <w:bCs/>
        </w:rPr>
        <w:t xml:space="preserve">Costs from </w:t>
      </w:r>
      <w:proofErr w:type="gramStart"/>
      <w:r w:rsidRPr="59961667">
        <w:rPr>
          <w:b/>
          <w:bCs/>
        </w:rPr>
        <w:t xml:space="preserve">literature  </w:t>
      </w:r>
      <w:r w:rsidR="003D1DA9">
        <w:rPr>
          <w:b/>
          <w:bCs/>
        </w:rPr>
        <w:t>(</w:t>
      </w:r>
      <w:proofErr w:type="gramEnd"/>
      <w:r w:rsidR="003D1DA9">
        <w:rPr>
          <w:b/>
          <w:bCs/>
        </w:rPr>
        <w:t>2025 USD</w:t>
      </w:r>
      <w:r w:rsidR="00C82EC4">
        <w:rPr>
          <w:b/>
          <w:bCs/>
        </w:rPr>
        <w:t xml:space="preserve">; inflation calculator used: </w:t>
      </w:r>
      <w:hyperlink r:id="rId47" w:history="1">
        <w:r w:rsidR="00C82EC4">
          <w:rPr>
            <w:rStyle w:val="Hyperlink"/>
          </w:rPr>
          <w:t>Inflation Calculator | Find US Dollar's Value From 1913-2025</w:t>
        </w:r>
      </w:hyperlink>
      <w:r w:rsidR="003D1DA9">
        <w:rPr>
          <w:b/>
          <w:bCs/>
        </w:rPr>
        <w:t>)</w:t>
      </w:r>
    </w:p>
    <w:tbl>
      <w:tblPr>
        <w:tblStyle w:val="TableGrid"/>
        <w:tblW w:w="9350" w:type="dxa"/>
        <w:tblInd w:w="0" w:type="dxa"/>
        <w:tblLook w:val="04A0" w:firstRow="1" w:lastRow="0" w:firstColumn="1" w:lastColumn="0" w:noHBand="0" w:noVBand="1"/>
      </w:tblPr>
      <w:tblGrid>
        <w:gridCol w:w="2516"/>
        <w:gridCol w:w="2340"/>
        <w:gridCol w:w="2058"/>
        <w:gridCol w:w="2436"/>
      </w:tblGrid>
      <w:tr w:rsidR="00FF5517" w14:paraId="3023E225" w14:textId="77777777" w:rsidTr="00FF5517">
        <w:tc>
          <w:tcPr>
            <w:tcW w:w="2516" w:type="dxa"/>
            <w:tcBorders>
              <w:top w:val="single" w:sz="4" w:space="0" w:color="auto"/>
              <w:left w:val="single" w:sz="4" w:space="0" w:color="auto"/>
              <w:bottom w:val="single" w:sz="4" w:space="0" w:color="auto"/>
              <w:right w:val="single" w:sz="4" w:space="0" w:color="auto"/>
            </w:tcBorders>
            <w:hideMark/>
          </w:tcPr>
          <w:p w14:paraId="1E59E475" w14:textId="77777777" w:rsidR="00FF5517" w:rsidRDefault="00FF5517" w:rsidP="00FF5517">
            <w:pPr>
              <w:rPr>
                <w:b/>
                <w:bCs/>
              </w:rPr>
            </w:pPr>
            <w:r>
              <w:rPr>
                <w:b/>
                <w:bCs/>
              </w:rPr>
              <w:t xml:space="preserve">Cost </w:t>
            </w:r>
          </w:p>
        </w:tc>
        <w:tc>
          <w:tcPr>
            <w:tcW w:w="2340" w:type="dxa"/>
            <w:tcBorders>
              <w:top w:val="single" w:sz="4" w:space="0" w:color="auto"/>
              <w:left w:val="single" w:sz="4" w:space="0" w:color="auto"/>
              <w:bottom w:val="single" w:sz="4" w:space="0" w:color="auto"/>
              <w:right w:val="single" w:sz="4" w:space="0" w:color="auto"/>
            </w:tcBorders>
            <w:hideMark/>
          </w:tcPr>
          <w:p w14:paraId="799E2315" w14:textId="21AED86B" w:rsidR="00FF5517" w:rsidRDefault="00FF5517" w:rsidP="00FF5517">
            <w:pPr>
              <w:rPr>
                <w:b/>
                <w:bCs/>
              </w:rPr>
            </w:pPr>
            <w:r>
              <w:rPr>
                <w:b/>
                <w:bCs/>
              </w:rPr>
              <w:t>Original value from reference</w:t>
            </w:r>
          </w:p>
        </w:tc>
        <w:tc>
          <w:tcPr>
            <w:tcW w:w="2058" w:type="dxa"/>
            <w:tcBorders>
              <w:top w:val="single" w:sz="4" w:space="0" w:color="auto"/>
              <w:left w:val="single" w:sz="4" w:space="0" w:color="auto"/>
              <w:bottom w:val="single" w:sz="4" w:space="0" w:color="auto"/>
              <w:right w:val="single" w:sz="4" w:space="0" w:color="auto"/>
            </w:tcBorders>
          </w:tcPr>
          <w:p w14:paraId="0A79C208" w14:textId="03B3C554" w:rsidR="00FF5517" w:rsidRPr="003D1DA9" w:rsidRDefault="00FF5517" w:rsidP="00FF5517">
            <w:pPr>
              <w:rPr>
                <w:b/>
                <w:bCs/>
                <w:highlight w:val="yellow"/>
              </w:rPr>
            </w:pPr>
            <w:commentRangeStart w:id="13"/>
            <w:r w:rsidRPr="007F25AE">
              <w:rPr>
                <w:b/>
                <w:bCs/>
              </w:rPr>
              <w:t xml:space="preserve">Base case value with range </w:t>
            </w:r>
            <w:commentRangeEnd w:id="13"/>
            <w:r w:rsidR="003D1DA9" w:rsidRPr="007F25AE">
              <w:rPr>
                <w:rStyle w:val="CommentReference"/>
                <w:rFonts w:eastAsiaTheme="minorHAnsi"/>
                <w:lang w:eastAsia="en-US"/>
              </w:rPr>
              <w:commentReference w:id="13"/>
            </w:r>
          </w:p>
        </w:tc>
        <w:tc>
          <w:tcPr>
            <w:tcW w:w="2436" w:type="dxa"/>
            <w:tcBorders>
              <w:top w:val="single" w:sz="4" w:space="0" w:color="auto"/>
              <w:left w:val="single" w:sz="4" w:space="0" w:color="auto"/>
              <w:bottom w:val="single" w:sz="4" w:space="0" w:color="auto"/>
              <w:right w:val="single" w:sz="4" w:space="0" w:color="auto"/>
            </w:tcBorders>
            <w:hideMark/>
          </w:tcPr>
          <w:p w14:paraId="42B4E0E1" w14:textId="4555DFDC" w:rsidR="00FF5517" w:rsidRDefault="00FF5517" w:rsidP="00FF5517">
            <w:pPr>
              <w:rPr>
                <w:b/>
                <w:bCs/>
              </w:rPr>
            </w:pPr>
            <w:r w:rsidRPr="59961667">
              <w:rPr>
                <w:b/>
                <w:bCs/>
              </w:rPr>
              <w:t xml:space="preserve">Reference </w:t>
            </w:r>
          </w:p>
        </w:tc>
      </w:tr>
      <w:tr w:rsidR="00FF5517" w14:paraId="518996DD"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hideMark/>
          </w:tcPr>
          <w:p w14:paraId="7963BED5" w14:textId="0F878952" w:rsidR="00FF5517" w:rsidRDefault="00FF5517" w:rsidP="00FF5517">
            <w:r>
              <w:t>US+AFP screening</w:t>
            </w:r>
          </w:p>
        </w:tc>
        <w:tc>
          <w:tcPr>
            <w:tcW w:w="2340" w:type="dxa"/>
            <w:tcBorders>
              <w:top w:val="single" w:sz="4" w:space="0" w:color="auto"/>
              <w:left w:val="single" w:sz="4" w:space="0" w:color="auto"/>
              <w:bottom w:val="single" w:sz="4" w:space="0" w:color="auto"/>
              <w:right w:val="single" w:sz="4" w:space="0" w:color="auto"/>
            </w:tcBorders>
            <w:hideMark/>
          </w:tcPr>
          <w:p w14:paraId="51DEFA02" w14:textId="08151B72" w:rsidR="00FF5517" w:rsidRPr="00903461" w:rsidRDefault="00FF5517" w:rsidP="00FF5517">
            <w:r w:rsidRPr="00903461">
              <w:t>$179</w:t>
            </w:r>
            <w:r>
              <w:t>*2 (multiply by 2 because biannual) = $358</w:t>
            </w:r>
            <w:r w:rsidR="003D1DA9">
              <w:t xml:space="preserve"> (2024 USD)</w:t>
            </w:r>
          </w:p>
        </w:tc>
        <w:tc>
          <w:tcPr>
            <w:tcW w:w="2058" w:type="dxa"/>
            <w:tcBorders>
              <w:top w:val="single" w:sz="4" w:space="0" w:color="auto"/>
              <w:left w:val="single" w:sz="4" w:space="0" w:color="auto"/>
              <w:bottom w:val="single" w:sz="4" w:space="0" w:color="auto"/>
              <w:right w:val="single" w:sz="4" w:space="0" w:color="auto"/>
            </w:tcBorders>
          </w:tcPr>
          <w:p w14:paraId="5D4A2850" w14:textId="567EA301" w:rsidR="00FF5517" w:rsidRPr="00EE05F2" w:rsidRDefault="00FF5517" w:rsidP="00FF5517">
            <w:r w:rsidRPr="00EE05F2">
              <w:t>$</w:t>
            </w:r>
            <w:r w:rsidR="00080042">
              <w:t>363</w:t>
            </w:r>
            <w:r w:rsidRPr="00EE05F2">
              <w:t xml:space="preserve"> ($</w:t>
            </w:r>
            <w:r w:rsidR="008B5D39">
              <w:t>272</w:t>
            </w:r>
            <w:r w:rsidRPr="00EE05F2">
              <w:t>-</w:t>
            </w:r>
            <w:r w:rsidR="008B5D39">
              <w:t>454</w:t>
            </w:r>
            <w:r w:rsidRPr="00EE05F2">
              <w:t>)</w:t>
            </w:r>
          </w:p>
        </w:tc>
        <w:tc>
          <w:tcPr>
            <w:tcW w:w="2436" w:type="dxa"/>
            <w:tcBorders>
              <w:top w:val="single" w:sz="4" w:space="0" w:color="auto"/>
              <w:left w:val="single" w:sz="4" w:space="0" w:color="auto"/>
              <w:bottom w:val="single" w:sz="4" w:space="0" w:color="auto"/>
              <w:right w:val="single" w:sz="4" w:space="0" w:color="auto"/>
            </w:tcBorders>
            <w:hideMark/>
          </w:tcPr>
          <w:p w14:paraId="72A2937A" w14:textId="7C156ED7" w:rsidR="00FF5517" w:rsidRPr="008E772A" w:rsidRDefault="00FF5517" w:rsidP="00FF5517">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49DF79B5" w14:textId="77777777" w:rsidR="00FF5517" w:rsidRDefault="00FF5517" w:rsidP="00FF5517">
            <w:r w:rsidRPr="008E772A">
              <w:rPr>
                <w:rStyle w:val="Hyperlink"/>
              </w:rPr>
              <w:t>schedule</w:t>
            </w:r>
            <w:r>
              <w:fldChar w:fldCharType="end"/>
            </w:r>
          </w:p>
          <w:p w14:paraId="203A46D7" w14:textId="17F43A69" w:rsidR="00FF5517" w:rsidRPr="00FF5517" w:rsidRDefault="00FF5517" w:rsidP="00FF5517">
            <w:pPr>
              <w:rPr>
                <w:i/>
                <w:iCs/>
              </w:rPr>
            </w:pPr>
            <w:r w:rsidRPr="00FF5517">
              <w:rPr>
                <w:i/>
                <w:iCs/>
                <w:sz w:val="22"/>
                <w:szCs w:val="22"/>
              </w:rPr>
              <w:t xml:space="preserve">Range </w:t>
            </w:r>
            <w:r w:rsidR="008B5D39">
              <w:rPr>
                <w:i/>
                <w:iCs/>
                <w:sz w:val="22"/>
                <w:szCs w:val="22"/>
              </w:rPr>
              <w:t>is +/- 25%</w:t>
            </w:r>
          </w:p>
        </w:tc>
      </w:tr>
      <w:tr w:rsidR="00E46E7A" w14:paraId="3E359CF6"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A7E988E" w14:textId="26DF8AB3" w:rsidR="00E46E7A" w:rsidRDefault="00E46E7A" w:rsidP="00FF5517">
            <w:r>
              <w:t xml:space="preserve">CT/MRI to confirm HCC diagnosis </w:t>
            </w:r>
          </w:p>
        </w:tc>
        <w:tc>
          <w:tcPr>
            <w:tcW w:w="2340" w:type="dxa"/>
            <w:tcBorders>
              <w:top w:val="single" w:sz="4" w:space="0" w:color="auto"/>
              <w:left w:val="single" w:sz="4" w:space="0" w:color="auto"/>
              <w:bottom w:val="single" w:sz="4" w:space="0" w:color="auto"/>
              <w:right w:val="single" w:sz="4" w:space="0" w:color="auto"/>
            </w:tcBorders>
          </w:tcPr>
          <w:p w14:paraId="7A020B0C" w14:textId="468BE4E5" w:rsidR="00E46E7A" w:rsidRDefault="0004533A" w:rsidP="00FF5517">
            <w:pPr>
              <w:rPr>
                <w:color w:val="FF0000"/>
              </w:rPr>
            </w:pPr>
            <w:r w:rsidRPr="0004533A">
              <w:t>($</w:t>
            </w:r>
            <w:r w:rsidR="00AB33F0">
              <w:t>349</w:t>
            </w:r>
            <w:r w:rsidRPr="0004533A">
              <w:t xml:space="preserve"> CT+ $</w:t>
            </w:r>
            <w:r w:rsidR="00AB33F0">
              <w:t>491</w:t>
            </w:r>
            <w:r w:rsidRPr="0004533A">
              <w:t xml:space="preserve"> MRI)/2 </w:t>
            </w:r>
            <w:r w:rsidR="00E46E7A" w:rsidRPr="00E46E7A">
              <w:rPr>
                <w:color w:val="FF0000"/>
              </w:rPr>
              <w:t>*</w:t>
            </w:r>
            <w:r w:rsidR="00E46E7A">
              <w:rPr>
                <w:color w:val="FF0000"/>
              </w:rPr>
              <w:t>1</w:t>
            </w:r>
            <w:r w:rsidR="00E46E7A" w:rsidRPr="00E46E7A">
              <w:rPr>
                <w:color w:val="FF0000"/>
              </w:rPr>
              <w:t>.5</w:t>
            </w:r>
            <w:r w:rsidR="00A218A3">
              <w:rPr>
                <w:color w:val="FF0000"/>
              </w:rPr>
              <w:t xml:space="preserve"> times</w:t>
            </w:r>
            <w:r w:rsidR="00E46E7A">
              <w:rPr>
                <w:color w:val="FF0000"/>
              </w:rPr>
              <w:t xml:space="preserve"> (from Parikh 2020)</w:t>
            </w:r>
          </w:p>
          <w:p w14:paraId="35AF39BB" w14:textId="51934F77" w:rsidR="00F612FD" w:rsidRPr="00903461" w:rsidRDefault="00F612FD" w:rsidP="00FF5517">
            <w:r w:rsidRPr="00F612FD">
              <w:rPr>
                <w:sz w:val="14"/>
                <w:szCs w:val="14"/>
              </w:rPr>
              <w:t xml:space="preserve">(averaged </w:t>
            </w:r>
            <w:r>
              <w:rPr>
                <w:sz w:val="14"/>
                <w:szCs w:val="14"/>
              </w:rPr>
              <w:t xml:space="preserve">the </w:t>
            </w:r>
            <w:r w:rsidRPr="00F612FD">
              <w:rPr>
                <w:sz w:val="14"/>
                <w:szCs w:val="14"/>
              </w:rPr>
              <w:t>cost of CT and MRI and then multiplied by the avg # of imaging done according to Parikh paper)</w:t>
            </w:r>
          </w:p>
        </w:tc>
        <w:tc>
          <w:tcPr>
            <w:tcW w:w="2058" w:type="dxa"/>
            <w:tcBorders>
              <w:top w:val="single" w:sz="4" w:space="0" w:color="auto"/>
              <w:left w:val="single" w:sz="4" w:space="0" w:color="auto"/>
              <w:bottom w:val="single" w:sz="4" w:space="0" w:color="auto"/>
              <w:right w:val="single" w:sz="4" w:space="0" w:color="auto"/>
            </w:tcBorders>
          </w:tcPr>
          <w:p w14:paraId="1E4692FA" w14:textId="7B1954E3" w:rsidR="00E46E7A" w:rsidRPr="00EE05F2" w:rsidRDefault="00E46E7A" w:rsidP="00FF5517">
            <w:r w:rsidRPr="00EE05F2">
              <w:t>$</w:t>
            </w:r>
            <w:r w:rsidR="00CA1933" w:rsidRPr="00EE05F2">
              <w:t>630</w:t>
            </w:r>
            <w:r w:rsidRPr="00EE05F2">
              <w:t xml:space="preserve"> ($</w:t>
            </w:r>
            <w:r w:rsidR="008B5D39">
              <w:t>473</w:t>
            </w:r>
            <w:r w:rsidRPr="00EE05F2">
              <w:t>-$</w:t>
            </w:r>
            <w:r w:rsidR="008B5D39">
              <w:t>788</w:t>
            </w:r>
            <w:r w:rsidRPr="00EE05F2">
              <w:t>)</w:t>
            </w:r>
          </w:p>
        </w:tc>
        <w:tc>
          <w:tcPr>
            <w:tcW w:w="2436" w:type="dxa"/>
            <w:tcBorders>
              <w:top w:val="single" w:sz="4" w:space="0" w:color="auto"/>
              <w:left w:val="single" w:sz="4" w:space="0" w:color="auto"/>
              <w:bottom w:val="single" w:sz="4" w:space="0" w:color="auto"/>
              <w:right w:val="single" w:sz="4" w:space="0" w:color="auto"/>
            </w:tcBorders>
          </w:tcPr>
          <w:p w14:paraId="147569EF" w14:textId="77777777" w:rsidR="00E46E7A" w:rsidRPr="008E772A" w:rsidRDefault="00E46E7A" w:rsidP="00E46E7A">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776D9F42" w14:textId="5152080B" w:rsidR="00E46E7A" w:rsidRDefault="00E46E7A" w:rsidP="00E46E7A">
            <w:r w:rsidRPr="008E772A">
              <w:rPr>
                <w:rStyle w:val="Hyperlink"/>
              </w:rPr>
              <w:t>schedule</w:t>
            </w:r>
            <w:r>
              <w:fldChar w:fldCharType="end"/>
            </w:r>
            <w:r w:rsidR="00AB33F0">
              <w:t xml:space="preserve"> (CT: 74170, MRI: 74183)</w:t>
            </w:r>
          </w:p>
          <w:p w14:paraId="264000BF" w14:textId="77777777" w:rsidR="008B5D39" w:rsidRDefault="008B5D39" w:rsidP="00E46E7A">
            <w:pPr>
              <w:rPr>
                <w:i/>
                <w:iCs/>
                <w:sz w:val="22"/>
                <w:szCs w:val="22"/>
              </w:rPr>
            </w:pPr>
            <w:r w:rsidRPr="00FF5517">
              <w:rPr>
                <w:i/>
                <w:iCs/>
                <w:sz w:val="22"/>
                <w:szCs w:val="22"/>
              </w:rPr>
              <w:t xml:space="preserve">Range </w:t>
            </w:r>
            <w:r>
              <w:rPr>
                <w:i/>
                <w:iCs/>
                <w:sz w:val="22"/>
                <w:szCs w:val="22"/>
              </w:rPr>
              <w:t>is +/- 25%</w:t>
            </w:r>
          </w:p>
          <w:p w14:paraId="148144B5" w14:textId="071AB28A" w:rsidR="00E46E7A" w:rsidRDefault="00E46E7A" w:rsidP="00E46E7A">
            <w:hyperlink r:id="rId48" w:anchor="S6" w:history="1">
              <w:r>
                <w:rPr>
                  <w:rStyle w:val="Hyperlink"/>
                </w:rPr>
                <w:t xml:space="preserve">Parikh 2020 </w:t>
              </w:r>
            </w:hyperlink>
          </w:p>
        </w:tc>
      </w:tr>
      <w:tr w:rsidR="00FF5517" w14:paraId="6AF4A662" w14:textId="77777777" w:rsidTr="00FF5517">
        <w:tc>
          <w:tcPr>
            <w:tcW w:w="2516" w:type="dxa"/>
            <w:tcBorders>
              <w:top w:val="single" w:sz="4" w:space="0" w:color="auto"/>
              <w:left w:val="single" w:sz="4" w:space="0" w:color="auto"/>
              <w:bottom w:val="single" w:sz="4" w:space="0" w:color="auto"/>
              <w:right w:val="single" w:sz="4" w:space="0" w:color="auto"/>
            </w:tcBorders>
            <w:hideMark/>
          </w:tcPr>
          <w:p w14:paraId="6BA76714" w14:textId="77777777" w:rsidR="00FF5517" w:rsidRDefault="00FF5517" w:rsidP="00FF5517">
            <w:r>
              <w:t xml:space="preserve">Repeat CT/MRI for false positive HCC </w:t>
            </w:r>
          </w:p>
        </w:tc>
        <w:tc>
          <w:tcPr>
            <w:tcW w:w="2340" w:type="dxa"/>
            <w:tcBorders>
              <w:top w:val="single" w:sz="4" w:space="0" w:color="auto"/>
              <w:left w:val="single" w:sz="4" w:space="0" w:color="auto"/>
              <w:bottom w:val="single" w:sz="4" w:space="0" w:color="auto"/>
              <w:right w:val="single" w:sz="4" w:space="0" w:color="auto"/>
            </w:tcBorders>
          </w:tcPr>
          <w:p w14:paraId="102A489B" w14:textId="0095229A" w:rsidR="00FF5517" w:rsidRPr="00753ABF" w:rsidRDefault="0004533A" w:rsidP="00FF5517">
            <w:r w:rsidRPr="0004533A">
              <w:t>($</w:t>
            </w:r>
            <w:r w:rsidR="00AB33F0">
              <w:t>349</w:t>
            </w:r>
            <w:r w:rsidRPr="0004533A">
              <w:t xml:space="preserve"> CT+ $</w:t>
            </w:r>
            <w:r w:rsidR="00AB33F0">
              <w:t>491</w:t>
            </w:r>
            <w:r w:rsidRPr="0004533A">
              <w:t xml:space="preserve"> MRI)/2 </w:t>
            </w:r>
            <w:r w:rsidR="00E46E7A" w:rsidRPr="00E46E7A">
              <w:rPr>
                <w:color w:val="FF0000"/>
              </w:rPr>
              <w:t>*2.5</w:t>
            </w:r>
            <w:r w:rsidR="00E46E7A">
              <w:rPr>
                <w:color w:val="FF0000"/>
              </w:rPr>
              <w:t xml:space="preserve"> </w:t>
            </w:r>
            <w:r w:rsidR="00A218A3">
              <w:rPr>
                <w:color w:val="FF0000"/>
              </w:rPr>
              <w:t xml:space="preserve">times </w:t>
            </w:r>
            <w:r w:rsidR="00E46E7A">
              <w:rPr>
                <w:color w:val="FF0000"/>
              </w:rPr>
              <w:t>(from Parikh 2020)</w:t>
            </w:r>
            <w:r w:rsidR="003D1DA9">
              <w:t xml:space="preserve"> </w:t>
            </w:r>
          </w:p>
        </w:tc>
        <w:tc>
          <w:tcPr>
            <w:tcW w:w="2058" w:type="dxa"/>
            <w:tcBorders>
              <w:top w:val="single" w:sz="4" w:space="0" w:color="auto"/>
              <w:left w:val="single" w:sz="4" w:space="0" w:color="auto"/>
              <w:bottom w:val="single" w:sz="4" w:space="0" w:color="auto"/>
              <w:right w:val="single" w:sz="4" w:space="0" w:color="auto"/>
            </w:tcBorders>
          </w:tcPr>
          <w:p w14:paraId="7B360484" w14:textId="3CE1B632" w:rsidR="00E46E7A" w:rsidRPr="00EE05F2" w:rsidRDefault="00E46E7A" w:rsidP="00FF5517">
            <w:r w:rsidRPr="00EE05F2">
              <w:t>$</w:t>
            </w:r>
            <w:r w:rsidR="00CA1933" w:rsidRPr="00EE05F2">
              <w:t>1050</w:t>
            </w:r>
            <w:r w:rsidRPr="00EE05F2">
              <w:t xml:space="preserve"> ($</w:t>
            </w:r>
            <w:r w:rsidR="008B5D39">
              <w:t>788</w:t>
            </w:r>
            <w:r w:rsidRPr="00EE05F2">
              <w:t>-$</w:t>
            </w:r>
            <w:r w:rsidR="008B5D39">
              <w:t>1313</w:t>
            </w:r>
            <w:r w:rsidRPr="00EE05F2">
              <w:t>)</w:t>
            </w:r>
          </w:p>
        </w:tc>
        <w:tc>
          <w:tcPr>
            <w:tcW w:w="2436" w:type="dxa"/>
            <w:tcBorders>
              <w:top w:val="single" w:sz="4" w:space="0" w:color="auto"/>
              <w:left w:val="single" w:sz="4" w:space="0" w:color="auto"/>
              <w:bottom w:val="single" w:sz="4" w:space="0" w:color="auto"/>
              <w:right w:val="single" w:sz="4" w:space="0" w:color="auto"/>
            </w:tcBorders>
          </w:tcPr>
          <w:p w14:paraId="63D29C46" w14:textId="00F968CC" w:rsidR="00FF5517" w:rsidRPr="008E772A" w:rsidRDefault="00FF5517" w:rsidP="00FF5517">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68A6A0E4" w14:textId="2B32BF87" w:rsidR="00FF5517" w:rsidRDefault="00FF5517" w:rsidP="00FF5517">
            <w:r w:rsidRPr="008E772A">
              <w:rPr>
                <w:rStyle w:val="Hyperlink"/>
              </w:rPr>
              <w:t>schedule</w:t>
            </w:r>
            <w:r>
              <w:fldChar w:fldCharType="end"/>
            </w:r>
            <w:r w:rsidR="009321E0">
              <w:t>(CT: 74170, MRI: 74183)</w:t>
            </w:r>
          </w:p>
          <w:p w14:paraId="1888E04D" w14:textId="77777777" w:rsidR="008B5D39" w:rsidRDefault="008B5D39" w:rsidP="00FF5517">
            <w:pPr>
              <w:rPr>
                <w:i/>
                <w:iCs/>
                <w:sz w:val="22"/>
                <w:szCs w:val="22"/>
              </w:rPr>
            </w:pPr>
            <w:r w:rsidRPr="00FF5517">
              <w:rPr>
                <w:i/>
                <w:iCs/>
                <w:sz w:val="22"/>
                <w:szCs w:val="22"/>
              </w:rPr>
              <w:t xml:space="preserve">Range </w:t>
            </w:r>
            <w:r>
              <w:rPr>
                <w:i/>
                <w:iCs/>
                <w:sz w:val="22"/>
                <w:szCs w:val="22"/>
              </w:rPr>
              <w:t>is +/- 25%</w:t>
            </w:r>
          </w:p>
          <w:p w14:paraId="413009CC" w14:textId="2F95952E" w:rsidR="00E46E7A" w:rsidRPr="001832C0" w:rsidRDefault="00E46E7A" w:rsidP="00FF5517">
            <w:hyperlink r:id="rId49" w:anchor="S6" w:history="1">
              <w:r>
                <w:rPr>
                  <w:rStyle w:val="Hyperlink"/>
                </w:rPr>
                <w:t xml:space="preserve">Parikh 2020 </w:t>
              </w:r>
            </w:hyperlink>
          </w:p>
        </w:tc>
      </w:tr>
      <w:tr w:rsidR="00FF5517" w14:paraId="593C12BE" w14:textId="77777777" w:rsidTr="00FF5517">
        <w:trPr>
          <w:trHeight w:val="675"/>
        </w:trPr>
        <w:tc>
          <w:tcPr>
            <w:tcW w:w="2516" w:type="dxa"/>
            <w:tcBorders>
              <w:top w:val="single" w:sz="4" w:space="0" w:color="auto"/>
              <w:left w:val="single" w:sz="4" w:space="0" w:color="auto"/>
              <w:bottom w:val="single" w:sz="4" w:space="0" w:color="auto"/>
              <w:right w:val="single" w:sz="4" w:space="0" w:color="auto"/>
            </w:tcBorders>
          </w:tcPr>
          <w:p w14:paraId="3BEFD890" w14:textId="1ABC8F80" w:rsidR="00FF5517" w:rsidRDefault="00FF5517" w:rsidP="00FF5517">
            <w:r>
              <w:t>Medical care of patients with non-cirrhotic MASLD</w:t>
            </w:r>
          </w:p>
        </w:tc>
        <w:tc>
          <w:tcPr>
            <w:tcW w:w="2340" w:type="dxa"/>
            <w:tcBorders>
              <w:top w:val="single" w:sz="4" w:space="0" w:color="auto"/>
              <w:left w:val="single" w:sz="4" w:space="0" w:color="auto"/>
              <w:bottom w:val="single" w:sz="4" w:space="0" w:color="auto"/>
              <w:right w:val="single" w:sz="4" w:space="0" w:color="auto"/>
            </w:tcBorders>
          </w:tcPr>
          <w:p w14:paraId="7B53CF68" w14:textId="46806F9B" w:rsidR="00FF5517" w:rsidRDefault="00FF5517" w:rsidP="00FF5517">
            <w:r w:rsidRPr="0034344A">
              <w:t>$3537</w:t>
            </w:r>
            <w:r>
              <w:t xml:space="preserve"> (2019 USD) </w:t>
            </w:r>
          </w:p>
        </w:tc>
        <w:tc>
          <w:tcPr>
            <w:tcW w:w="2058" w:type="dxa"/>
            <w:tcBorders>
              <w:top w:val="single" w:sz="4" w:space="0" w:color="auto"/>
              <w:left w:val="single" w:sz="4" w:space="0" w:color="auto"/>
              <w:bottom w:val="single" w:sz="4" w:space="0" w:color="auto"/>
              <w:right w:val="single" w:sz="4" w:space="0" w:color="auto"/>
            </w:tcBorders>
          </w:tcPr>
          <w:p w14:paraId="6CEEF47D" w14:textId="31527242" w:rsidR="00FF5517" w:rsidRPr="00EE05F2" w:rsidRDefault="00FF5517" w:rsidP="00FF5517">
            <w:r w:rsidRPr="00EE05F2">
              <w:t>$</w:t>
            </w:r>
            <w:r w:rsidR="00080042">
              <w:t>4395</w:t>
            </w:r>
            <w:r w:rsidRPr="00EE05F2">
              <w:t xml:space="preserve"> ($</w:t>
            </w:r>
            <w:r w:rsidR="008B5D39">
              <w:t>3296</w:t>
            </w:r>
            <w:r w:rsidRPr="00EE05F2">
              <w:t>-$</w:t>
            </w:r>
            <w:r w:rsidR="008B5D39">
              <w:t>5494</w:t>
            </w:r>
            <w:r w:rsidRPr="00EE05F2">
              <w:t>)</w:t>
            </w:r>
          </w:p>
        </w:tc>
        <w:tc>
          <w:tcPr>
            <w:tcW w:w="2436" w:type="dxa"/>
            <w:tcBorders>
              <w:top w:val="single" w:sz="4" w:space="0" w:color="auto"/>
              <w:left w:val="single" w:sz="4" w:space="0" w:color="auto"/>
              <w:bottom w:val="single" w:sz="4" w:space="0" w:color="auto"/>
              <w:right w:val="single" w:sz="4" w:space="0" w:color="auto"/>
            </w:tcBorders>
          </w:tcPr>
          <w:p w14:paraId="252E9D55" w14:textId="77777777" w:rsidR="00FF5517" w:rsidRDefault="00FF5517" w:rsidP="00FF5517">
            <w:pPr>
              <w:rPr>
                <w:rStyle w:val="Hyperlink"/>
              </w:rPr>
            </w:pPr>
            <w:hyperlink r:id="rId50" w:history="1">
              <w:r w:rsidRPr="008E772A">
                <w:rPr>
                  <w:rStyle w:val="Hyperlink"/>
                </w:rPr>
                <w:t>Younossi 2023</w:t>
              </w:r>
            </w:hyperlink>
          </w:p>
          <w:p w14:paraId="5948CF0D" w14:textId="442793A6" w:rsidR="00C1210A" w:rsidRPr="003D1DA9" w:rsidRDefault="008B5D39" w:rsidP="00FF5517">
            <w:pPr>
              <w:rPr>
                <w:i/>
                <w:iCs/>
                <w:sz w:val="22"/>
                <w:szCs w:val="22"/>
              </w:rPr>
            </w:pPr>
            <w:r w:rsidRPr="00FF5517">
              <w:rPr>
                <w:i/>
                <w:iCs/>
                <w:sz w:val="22"/>
                <w:szCs w:val="22"/>
              </w:rPr>
              <w:t xml:space="preserve">Range </w:t>
            </w:r>
            <w:r>
              <w:rPr>
                <w:i/>
                <w:iCs/>
                <w:sz w:val="22"/>
                <w:szCs w:val="22"/>
              </w:rPr>
              <w:t>is +/- 25%</w:t>
            </w:r>
          </w:p>
        </w:tc>
      </w:tr>
      <w:tr w:rsidR="00A34179" w14:paraId="706BC52F" w14:textId="77777777" w:rsidTr="00A34179">
        <w:trPr>
          <w:trHeight w:val="305"/>
        </w:trPr>
        <w:tc>
          <w:tcPr>
            <w:tcW w:w="2516" w:type="dxa"/>
            <w:tcBorders>
              <w:top w:val="single" w:sz="4" w:space="0" w:color="auto"/>
              <w:left w:val="single" w:sz="4" w:space="0" w:color="auto"/>
              <w:bottom w:val="single" w:sz="4" w:space="0" w:color="auto"/>
              <w:right w:val="single" w:sz="4" w:space="0" w:color="auto"/>
            </w:tcBorders>
          </w:tcPr>
          <w:p w14:paraId="24D71AA4" w14:textId="47AFC8D2" w:rsidR="00A34179" w:rsidRDefault="00A34179" w:rsidP="00FF5517">
            <w:proofErr w:type="gramStart"/>
            <w:r>
              <w:t>Early stage</w:t>
            </w:r>
            <w:proofErr w:type="gramEnd"/>
            <w:r>
              <w:t xml:space="preserve"> HCC</w:t>
            </w:r>
          </w:p>
        </w:tc>
        <w:tc>
          <w:tcPr>
            <w:tcW w:w="2340" w:type="dxa"/>
            <w:tcBorders>
              <w:top w:val="single" w:sz="4" w:space="0" w:color="auto"/>
              <w:left w:val="single" w:sz="4" w:space="0" w:color="auto"/>
              <w:bottom w:val="single" w:sz="4" w:space="0" w:color="auto"/>
              <w:right w:val="single" w:sz="4" w:space="0" w:color="auto"/>
            </w:tcBorders>
          </w:tcPr>
          <w:p w14:paraId="6B25D54D" w14:textId="77777777" w:rsidR="00A34179" w:rsidRPr="0034344A" w:rsidRDefault="00A34179" w:rsidP="00FF5517"/>
        </w:tc>
        <w:tc>
          <w:tcPr>
            <w:tcW w:w="2058" w:type="dxa"/>
            <w:tcBorders>
              <w:top w:val="single" w:sz="4" w:space="0" w:color="auto"/>
              <w:left w:val="single" w:sz="4" w:space="0" w:color="auto"/>
              <w:bottom w:val="single" w:sz="4" w:space="0" w:color="auto"/>
              <w:right w:val="single" w:sz="4" w:space="0" w:color="auto"/>
            </w:tcBorders>
          </w:tcPr>
          <w:p w14:paraId="2574CF01"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0D361FB9" w14:textId="77777777" w:rsidR="00A34179" w:rsidRDefault="00A34179" w:rsidP="00FF5517"/>
        </w:tc>
      </w:tr>
      <w:tr w:rsidR="00FF5517" w14:paraId="6E717A34"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hideMark/>
          </w:tcPr>
          <w:p w14:paraId="369F1AC1" w14:textId="24395045" w:rsidR="00FF5517" w:rsidRDefault="00A34179" w:rsidP="00A34179">
            <w:pPr>
              <w:jc w:val="right"/>
              <w:rPr>
                <w:b/>
                <w:bCs/>
              </w:rPr>
            </w:pPr>
            <w:r>
              <w:t>Treated</w:t>
            </w:r>
          </w:p>
        </w:tc>
        <w:tc>
          <w:tcPr>
            <w:tcW w:w="2340" w:type="dxa"/>
            <w:tcBorders>
              <w:top w:val="single" w:sz="4" w:space="0" w:color="auto"/>
              <w:left w:val="single" w:sz="4" w:space="0" w:color="auto"/>
              <w:bottom w:val="single" w:sz="4" w:space="0" w:color="auto"/>
              <w:right w:val="single" w:sz="4" w:space="0" w:color="auto"/>
            </w:tcBorders>
          </w:tcPr>
          <w:p w14:paraId="6BFBFEF4" w14:textId="77777777" w:rsidR="004865DA" w:rsidRDefault="003D1DA9" w:rsidP="00FF5517">
            <w:r>
              <w:t xml:space="preserve">$50001 (26777-92637) 2018 USD </w:t>
            </w:r>
          </w:p>
          <w:p w14:paraId="2B344222" w14:textId="77777777" w:rsidR="00440709" w:rsidRDefault="00440709" w:rsidP="00FF5517"/>
          <w:p w14:paraId="10D23B8D" w14:textId="1DBB6556" w:rsidR="00440709" w:rsidRPr="00CE2E32" w:rsidRDefault="00440709" w:rsidP="00FF5517">
            <w:r>
              <w:t>Transplant rate in this paper is also 2.3%</w:t>
            </w:r>
            <w:r w:rsidR="0095513B">
              <w:t xml:space="preserve"> (makes sense </w:t>
            </w:r>
            <w:proofErr w:type="spellStart"/>
            <w:r w:rsidR="0095513B">
              <w:t>bc</w:t>
            </w:r>
            <w:proofErr w:type="spellEnd"/>
            <w:r w:rsidR="0095513B">
              <w:t xml:space="preserve"> also a SEER study)</w:t>
            </w:r>
            <w:r>
              <w:t xml:space="preserve"> so no further adjustment for LT</w:t>
            </w:r>
          </w:p>
        </w:tc>
        <w:tc>
          <w:tcPr>
            <w:tcW w:w="2058" w:type="dxa"/>
            <w:tcBorders>
              <w:top w:val="single" w:sz="4" w:space="0" w:color="auto"/>
              <w:left w:val="single" w:sz="4" w:space="0" w:color="auto"/>
              <w:bottom w:val="single" w:sz="4" w:space="0" w:color="auto"/>
              <w:right w:val="single" w:sz="4" w:space="0" w:color="auto"/>
            </w:tcBorders>
          </w:tcPr>
          <w:p w14:paraId="274911B7" w14:textId="2F618690" w:rsidR="004865DA" w:rsidRPr="00EE05F2" w:rsidRDefault="00080042" w:rsidP="00FF5517">
            <w:r>
              <w:t>$63255</w:t>
            </w:r>
            <w:r w:rsidR="00FF5517" w:rsidRPr="00EE05F2">
              <w:t xml:space="preserve"> ($</w:t>
            </w:r>
            <w:r>
              <w:t>33875</w:t>
            </w:r>
            <w:r w:rsidR="00FF5517" w:rsidRPr="00EE05F2">
              <w:t xml:space="preserve"> - $</w:t>
            </w:r>
            <w:r>
              <w:t>117193</w:t>
            </w:r>
            <w:r w:rsidR="00FF5517" w:rsidRPr="00EE05F2">
              <w:t>)</w:t>
            </w:r>
          </w:p>
        </w:tc>
        <w:tc>
          <w:tcPr>
            <w:tcW w:w="2436" w:type="dxa"/>
            <w:tcBorders>
              <w:top w:val="single" w:sz="4" w:space="0" w:color="auto"/>
              <w:left w:val="single" w:sz="4" w:space="0" w:color="auto"/>
              <w:bottom w:val="single" w:sz="4" w:space="0" w:color="auto"/>
              <w:right w:val="single" w:sz="4" w:space="0" w:color="auto"/>
            </w:tcBorders>
          </w:tcPr>
          <w:p w14:paraId="6C43571A" w14:textId="262652F4" w:rsidR="00FF5517" w:rsidRPr="00CE2E32" w:rsidRDefault="00FF5517" w:rsidP="00FF5517">
            <w:hyperlink r:id="rId51" w:anchor="sec3" w:history="1">
              <w:r>
                <w:rPr>
                  <w:rStyle w:val="Hyperlink"/>
                </w:rPr>
                <w:t>Karim 2023</w:t>
              </w:r>
            </w:hyperlink>
          </w:p>
        </w:tc>
      </w:tr>
      <w:tr w:rsidR="00A34179" w14:paraId="676A6FCB"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3F8F6294" w14:textId="387D8323" w:rsidR="00A34179" w:rsidRDefault="00A34179" w:rsidP="00A34179">
            <w:pPr>
              <w:jc w:val="right"/>
            </w:pPr>
            <w:r>
              <w:t>Untreated</w:t>
            </w:r>
          </w:p>
        </w:tc>
        <w:tc>
          <w:tcPr>
            <w:tcW w:w="2340" w:type="dxa"/>
            <w:tcBorders>
              <w:top w:val="single" w:sz="4" w:space="0" w:color="auto"/>
              <w:left w:val="single" w:sz="4" w:space="0" w:color="auto"/>
              <w:bottom w:val="single" w:sz="4" w:space="0" w:color="auto"/>
              <w:right w:val="single" w:sz="4" w:space="0" w:color="auto"/>
            </w:tcBorders>
          </w:tcPr>
          <w:p w14:paraId="62437E6B" w14:textId="435F3B99" w:rsidR="005C1871" w:rsidRDefault="00A34179" w:rsidP="00FF5517">
            <w:r>
              <w:t>$35390 (32681-38161) 2011 USD</w:t>
            </w:r>
          </w:p>
          <w:p w14:paraId="377E36A6" w14:textId="77777777" w:rsidR="003A6FE4" w:rsidRDefault="003A6FE4" w:rsidP="00FF5517"/>
          <w:p w14:paraId="57632E5F" w14:textId="7157F029" w:rsidR="002F4074" w:rsidRDefault="002F4074" w:rsidP="00FF5517">
            <w:r>
              <w:t>Divide by 1.06</w:t>
            </w:r>
            <w:r w:rsidR="003A6FE4">
              <w:t>, the median survival</w:t>
            </w:r>
            <w:r>
              <w:t>:</w:t>
            </w:r>
          </w:p>
          <w:p w14:paraId="7AC5AF03" w14:textId="56CC4B09" w:rsidR="002F4074" w:rsidRDefault="002F4074" w:rsidP="00FF5517">
            <w:r>
              <w:t>$33387 (30831-36001)</w:t>
            </w:r>
          </w:p>
        </w:tc>
        <w:tc>
          <w:tcPr>
            <w:tcW w:w="2058" w:type="dxa"/>
            <w:tcBorders>
              <w:top w:val="single" w:sz="4" w:space="0" w:color="auto"/>
              <w:left w:val="single" w:sz="4" w:space="0" w:color="auto"/>
              <w:bottom w:val="single" w:sz="4" w:space="0" w:color="auto"/>
              <w:right w:val="single" w:sz="4" w:space="0" w:color="auto"/>
            </w:tcBorders>
          </w:tcPr>
          <w:p w14:paraId="0CD811D6" w14:textId="550E31C2" w:rsidR="002F4074" w:rsidRPr="00EE05F2" w:rsidRDefault="002F4074" w:rsidP="00FF5517">
            <w:r w:rsidRPr="00EE05F2">
              <w:t>$</w:t>
            </w:r>
            <w:r w:rsidR="00080042" w:rsidRPr="00080042">
              <w:t>47,15</w:t>
            </w:r>
            <w:r w:rsidR="00080042">
              <w:t xml:space="preserve">1 </w:t>
            </w:r>
            <w:r w:rsidRPr="00EE05F2">
              <w:t>(</w:t>
            </w:r>
            <w:r w:rsidR="00080042" w:rsidRPr="00080042">
              <w:t>43,541</w:t>
            </w:r>
            <w:r w:rsidRPr="00EE05F2">
              <w:t>-</w:t>
            </w:r>
            <w:r w:rsidR="00080042" w:rsidRPr="00080042">
              <w:t>50,84</w:t>
            </w:r>
            <w:r w:rsidR="00080042">
              <w:t>3</w:t>
            </w:r>
            <w:r w:rsidRPr="00EE05F2">
              <w:t>)</w:t>
            </w:r>
          </w:p>
        </w:tc>
        <w:tc>
          <w:tcPr>
            <w:tcW w:w="2436" w:type="dxa"/>
            <w:tcBorders>
              <w:top w:val="single" w:sz="4" w:space="0" w:color="auto"/>
              <w:left w:val="single" w:sz="4" w:space="0" w:color="auto"/>
              <w:bottom w:val="single" w:sz="4" w:space="0" w:color="auto"/>
              <w:right w:val="single" w:sz="4" w:space="0" w:color="auto"/>
            </w:tcBorders>
          </w:tcPr>
          <w:p w14:paraId="5830E913" w14:textId="2748A5C6" w:rsidR="00A34179" w:rsidRDefault="00A34179" w:rsidP="00A34179">
            <w:hyperlink r:id="rId52" w:anchor="Sec10" w:history="1">
              <w:r>
                <w:rPr>
                  <w:rStyle w:val="Hyperlink"/>
                </w:rPr>
                <w:t>Shaya 2013</w:t>
              </w:r>
            </w:hyperlink>
            <w:r>
              <w:t xml:space="preserve"> (Table 3)</w:t>
            </w:r>
          </w:p>
        </w:tc>
      </w:tr>
      <w:tr w:rsidR="00A34179" w14:paraId="75E4D27A"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2C6365E0" w14:textId="1F58CCF0" w:rsidR="00A34179" w:rsidRDefault="00A34179" w:rsidP="00FF5517">
            <w:r>
              <w:lastRenderedPageBreak/>
              <w:t>Intermediate stage HCC</w:t>
            </w:r>
          </w:p>
        </w:tc>
        <w:tc>
          <w:tcPr>
            <w:tcW w:w="2340" w:type="dxa"/>
            <w:tcBorders>
              <w:top w:val="single" w:sz="4" w:space="0" w:color="auto"/>
              <w:left w:val="single" w:sz="4" w:space="0" w:color="auto"/>
              <w:bottom w:val="single" w:sz="4" w:space="0" w:color="auto"/>
              <w:right w:val="single" w:sz="4" w:space="0" w:color="auto"/>
            </w:tcBorders>
          </w:tcPr>
          <w:p w14:paraId="7C47FF4A" w14:textId="77777777" w:rsidR="00A34179" w:rsidRDefault="00A34179" w:rsidP="00FF5517"/>
        </w:tc>
        <w:tc>
          <w:tcPr>
            <w:tcW w:w="2058" w:type="dxa"/>
            <w:tcBorders>
              <w:top w:val="single" w:sz="4" w:space="0" w:color="auto"/>
              <w:left w:val="single" w:sz="4" w:space="0" w:color="auto"/>
              <w:bottom w:val="single" w:sz="4" w:space="0" w:color="auto"/>
              <w:right w:val="single" w:sz="4" w:space="0" w:color="auto"/>
            </w:tcBorders>
          </w:tcPr>
          <w:p w14:paraId="7119AD92"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0124A544" w14:textId="77777777" w:rsidR="00A34179" w:rsidRDefault="00A34179" w:rsidP="00A34179"/>
        </w:tc>
      </w:tr>
      <w:tr w:rsidR="00FF5517" w14:paraId="03C6721B"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588BAFB3" w14:textId="1FA03C74" w:rsidR="00FF5517" w:rsidRDefault="00A34179" w:rsidP="00A34179">
            <w:pPr>
              <w:jc w:val="right"/>
            </w:pPr>
            <w:r>
              <w:t>Treated</w:t>
            </w:r>
          </w:p>
        </w:tc>
        <w:tc>
          <w:tcPr>
            <w:tcW w:w="2340" w:type="dxa"/>
            <w:tcBorders>
              <w:top w:val="single" w:sz="4" w:space="0" w:color="auto"/>
              <w:left w:val="single" w:sz="4" w:space="0" w:color="auto"/>
              <w:bottom w:val="single" w:sz="4" w:space="0" w:color="auto"/>
              <w:right w:val="single" w:sz="4" w:space="0" w:color="auto"/>
            </w:tcBorders>
          </w:tcPr>
          <w:p w14:paraId="6C11021C" w14:textId="2C7EBBC4" w:rsidR="00EB2E72" w:rsidRPr="00950966" w:rsidRDefault="00095244" w:rsidP="00EB2E72">
            <w:pPr>
              <w:rPr>
                <w:highlight w:val="yellow"/>
              </w:rPr>
            </w:pPr>
            <w:r w:rsidRPr="006B6BBA">
              <w:rPr>
                <w:highlight w:val="cyan"/>
              </w:rPr>
              <w:t>86,</w:t>
            </w:r>
            <w:r w:rsidR="006B6BBA" w:rsidRPr="006B6BBA">
              <w:rPr>
                <w:highlight w:val="cyan"/>
              </w:rPr>
              <w:t>700</w:t>
            </w:r>
            <w:r w:rsidRPr="006B6BBA">
              <w:rPr>
                <w:highlight w:val="cyan"/>
              </w:rPr>
              <w:t xml:space="preserve"> (</w:t>
            </w:r>
            <w:r w:rsidR="006B6BBA" w:rsidRPr="006B6BBA">
              <w:rPr>
                <w:highlight w:val="cyan"/>
              </w:rPr>
              <w:t>39,649</w:t>
            </w:r>
            <w:r w:rsidRPr="006B6BBA">
              <w:rPr>
                <w:highlight w:val="cyan"/>
              </w:rPr>
              <w:t>-</w:t>
            </w:r>
            <w:r w:rsidR="006B6BBA" w:rsidRPr="006B6BBA">
              <w:rPr>
                <w:highlight w:val="cyan"/>
              </w:rPr>
              <w:t>154,366</w:t>
            </w:r>
            <w:r w:rsidRPr="006B6BBA">
              <w:rPr>
                <w:highlight w:val="cyan"/>
              </w:rPr>
              <w:t xml:space="preserve">) </w:t>
            </w:r>
            <w:r w:rsidR="003D1DA9" w:rsidRPr="00950966">
              <w:rPr>
                <w:highlight w:val="yellow"/>
              </w:rPr>
              <w:t>2013 USD</w:t>
            </w:r>
          </w:p>
          <w:p w14:paraId="01E04A3F" w14:textId="3C330450" w:rsidR="00EB2E72" w:rsidRPr="00CE2E32" w:rsidRDefault="00EB2E72" w:rsidP="00EB2E72">
            <w:r w:rsidRPr="00950966">
              <w:rPr>
                <w:rFonts w:eastAsia="PMingLiU" w:cs="Times New Roman"/>
                <w:sz w:val="16"/>
                <w:szCs w:val="16"/>
                <w:highlight w:val="yellow"/>
              </w:rPr>
              <w:t xml:space="preserve">Scaled for </w:t>
            </w:r>
            <w:r w:rsidR="00095244" w:rsidRPr="006B6BBA">
              <w:rPr>
                <w:rFonts w:eastAsia="PMingLiU" w:cs="Times New Roman"/>
                <w:sz w:val="16"/>
                <w:szCs w:val="16"/>
                <w:highlight w:val="cyan"/>
              </w:rPr>
              <w:t>3.</w:t>
            </w:r>
            <w:r w:rsidR="006B6BBA" w:rsidRPr="006B6BBA">
              <w:rPr>
                <w:rFonts w:eastAsia="PMingLiU" w:cs="Times New Roman"/>
                <w:sz w:val="16"/>
                <w:szCs w:val="16"/>
                <w:highlight w:val="cyan"/>
              </w:rPr>
              <w:t>7</w:t>
            </w:r>
            <w:r w:rsidRPr="006B6BBA">
              <w:rPr>
                <w:rFonts w:eastAsia="PMingLiU" w:cs="Times New Roman"/>
                <w:sz w:val="16"/>
                <w:szCs w:val="16"/>
                <w:highlight w:val="cyan"/>
              </w:rPr>
              <w:t>%</w:t>
            </w:r>
            <w:r w:rsidRPr="00950966">
              <w:rPr>
                <w:rFonts w:eastAsia="PMingLiU" w:cs="Times New Roman"/>
                <w:sz w:val="16"/>
                <w:szCs w:val="16"/>
                <w:highlight w:val="yellow"/>
              </w:rPr>
              <w:t xml:space="preserve"> transplant rate</w:t>
            </w:r>
            <w:r w:rsidR="00400C29" w:rsidRPr="00950966">
              <w:rPr>
                <w:rFonts w:eastAsia="PMingLiU" w:cs="Times New Roman"/>
                <w:sz w:val="16"/>
                <w:szCs w:val="16"/>
                <w:highlight w:val="yellow"/>
              </w:rPr>
              <w:t xml:space="preserve"> (paper provides </w:t>
            </w:r>
            <w:proofErr w:type="gramStart"/>
            <w:r w:rsidR="00E448FC">
              <w:rPr>
                <w:rFonts w:eastAsia="PMingLiU" w:cs="Times New Roman"/>
                <w:sz w:val="16"/>
                <w:szCs w:val="16"/>
                <w:highlight w:val="yellow"/>
              </w:rPr>
              <w:t xml:space="preserve">separate  </w:t>
            </w:r>
            <w:r w:rsidR="00400C29" w:rsidRPr="00950966">
              <w:rPr>
                <w:rFonts w:eastAsia="PMingLiU" w:cs="Times New Roman"/>
                <w:sz w:val="16"/>
                <w:szCs w:val="16"/>
                <w:highlight w:val="yellow"/>
              </w:rPr>
              <w:t>e</w:t>
            </w:r>
            <w:proofErr w:type="gramEnd"/>
            <w:r w:rsidR="00400C29" w:rsidRPr="00950966">
              <w:rPr>
                <w:rFonts w:eastAsia="PMingLiU" w:cs="Times New Roman"/>
                <w:sz w:val="16"/>
                <w:szCs w:val="16"/>
                <w:highlight w:val="yellow"/>
              </w:rPr>
              <w:t xml:space="preserve"> values for transplanted vs not)</w:t>
            </w:r>
          </w:p>
        </w:tc>
        <w:tc>
          <w:tcPr>
            <w:tcW w:w="2058" w:type="dxa"/>
            <w:tcBorders>
              <w:top w:val="single" w:sz="4" w:space="0" w:color="auto"/>
              <w:left w:val="single" w:sz="4" w:space="0" w:color="auto"/>
              <w:bottom w:val="single" w:sz="4" w:space="0" w:color="auto"/>
              <w:right w:val="single" w:sz="4" w:space="0" w:color="auto"/>
            </w:tcBorders>
          </w:tcPr>
          <w:p w14:paraId="1448EDAE" w14:textId="77777777" w:rsidR="00FF5517" w:rsidRDefault="00FF5517" w:rsidP="00FF5517">
            <w:r w:rsidRPr="00EE05F2">
              <w:t>$</w:t>
            </w:r>
            <w:r w:rsidR="00095244">
              <w:t>118,194</w:t>
            </w:r>
            <w:r w:rsidR="00080042">
              <w:t xml:space="preserve"> </w:t>
            </w:r>
            <w:r w:rsidRPr="00EE05F2">
              <w:t>($</w:t>
            </w:r>
            <w:r w:rsidR="00095244">
              <w:t>52,659</w:t>
            </w:r>
            <w:r w:rsidRPr="00EE05F2">
              <w:t>- $</w:t>
            </w:r>
            <w:r w:rsidR="00392DBD" w:rsidRPr="00392DBD">
              <w:t>210,</w:t>
            </w:r>
            <w:r w:rsidR="00095244">
              <w:t>536</w:t>
            </w:r>
            <w:r w:rsidRPr="00EE05F2">
              <w:t>)</w:t>
            </w:r>
          </w:p>
          <w:p w14:paraId="5029FCA0" w14:textId="77777777" w:rsidR="006B6BBA" w:rsidRDefault="006B6BBA" w:rsidP="00FF5517"/>
          <w:p w14:paraId="65606ED0" w14:textId="77777777" w:rsidR="006B6BBA" w:rsidRPr="006B6BBA" w:rsidRDefault="006B6BBA" w:rsidP="00FF5517">
            <w:pPr>
              <w:rPr>
                <w:highlight w:val="cyan"/>
              </w:rPr>
            </w:pPr>
            <w:r w:rsidRPr="006B6BBA">
              <w:rPr>
                <w:highlight w:val="cyan"/>
              </w:rPr>
              <w:t xml:space="preserve">$ 118,753 </w:t>
            </w:r>
          </w:p>
          <w:p w14:paraId="6932A32E" w14:textId="69225695" w:rsidR="006B6BBA" w:rsidRPr="00EE05F2" w:rsidRDefault="006B6BBA" w:rsidP="00FF5517">
            <w:r w:rsidRPr="006B6BBA">
              <w:rPr>
                <w:highlight w:val="cyan"/>
              </w:rPr>
              <w:t>(54,307-211,436)</w:t>
            </w:r>
          </w:p>
        </w:tc>
        <w:tc>
          <w:tcPr>
            <w:tcW w:w="2436" w:type="dxa"/>
            <w:tcBorders>
              <w:top w:val="single" w:sz="4" w:space="0" w:color="auto"/>
              <w:left w:val="single" w:sz="4" w:space="0" w:color="auto"/>
              <w:bottom w:val="single" w:sz="4" w:space="0" w:color="auto"/>
              <w:right w:val="single" w:sz="4" w:space="0" w:color="auto"/>
            </w:tcBorders>
          </w:tcPr>
          <w:p w14:paraId="148D1760" w14:textId="3939605D" w:rsidR="00FF5517" w:rsidRPr="00CE2E32" w:rsidRDefault="00FF5517" w:rsidP="00FF5517">
            <w:hyperlink r:id="rId53" w:history="1">
              <w:r w:rsidRPr="008E772A">
                <w:rPr>
                  <w:rStyle w:val="Hyperlink"/>
                  <w:rFonts w:eastAsia="PMingLiU" w:cs="Times New Roman"/>
                </w:rPr>
                <w:t>Tapper 2016</w:t>
              </w:r>
            </w:hyperlink>
          </w:p>
        </w:tc>
      </w:tr>
      <w:tr w:rsidR="00A34179" w14:paraId="781A79D6"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359A62F" w14:textId="328C4C84" w:rsidR="00A34179" w:rsidRDefault="00A34179" w:rsidP="00A34179">
            <w:pPr>
              <w:jc w:val="right"/>
            </w:pPr>
            <w:r>
              <w:t>Untreated</w:t>
            </w:r>
          </w:p>
        </w:tc>
        <w:tc>
          <w:tcPr>
            <w:tcW w:w="2340" w:type="dxa"/>
            <w:tcBorders>
              <w:top w:val="single" w:sz="4" w:space="0" w:color="auto"/>
              <w:left w:val="single" w:sz="4" w:space="0" w:color="auto"/>
              <w:bottom w:val="single" w:sz="4" w:space="0" w:color="auto"/>
              <w:right w:val="single" w:sz="4" w:space="0" w:color="auto"/>
            </w:tcBorders>
          </w:tcPr>
          <w:p w14:paraId="31600577" w14:textId="302D2B28" w:rsidR="00A34179" w:rsidRDefault="00A34179" w:rsidP="00EB2E72">
            <w:r>
              <w:t>$</w:t>
            </w:r>
            <w:r w:rsidRPr="00A34179">
              <w:t>38,265 (</w:t>
            </w:r>
            <w:r w:rsidR="006B6BBA">
              <w:t>39,649</w:t>
            </w:r>
            <w:r w:rsidRPr="00A34179">
              <w:t>–44,621)</w:t>
            </w:r>
            <w:r>
              <w:t xml:space="preserve"> 2011 USD</w:t>
            </w:r>
          </w:p>
          <w:p w14:paraId="00B1AA5C" w14:textId="57384A6B" w:rsidR="002F4074" w:rsidRDefault="002F4074" w:rsidP="00EB2E72">
            <w:r>
              <w:t>Divide by 1.04</w:t>
            </w:r>
            <w:r w:rsidR="003A6FE4">
              <w:t>, the median survival</w:t>
            </w:r>
            <w:r>
              <w:t xml:space="preserve">: </w:t>
            </w:r>
          </w:p>
          <w:p w14:paraId="21490968" w14:textId="50ABF272" w:rsidR="002F4074" w:rsidRDefault="002F4074" w:rsidP="00EB2E72">
            <w:r>
              <w:t>$36793 (31495-42905)</w:t>
            </w:r>
          </w:p>
        </w:tc>
        <w:tc>
          <w:tcPr>
            <w:tcW w:w="2058" w:type="dxa"/>
            <w:tcBorders>
              <w:top w:val="single" w:sz="4" w:space="0" w:color="auto"/>
              <w:left w:val="single" w:sz="4" w:space="0" w:color="auto"/>
              <w:bottom w:val="single" w:sz="4" w:space="0" w:color="auto"/>
              <w:right w:val="single" w:sz="4" w:space="0" w:color="auto"/>
            </w:tcBorders>
          </w:tcPr>
          <w:p w14:paraId="09FA9454" w14:textId="7C1B4013" w:rsidR="002F4074" w:rsidRPr="00EE05F2" w:rsidRDefault="002F4074" w:rsidP="00FF5517">
            <w:r w:rsidRPr="00EE05F2">
              <w:t>$</w:t>
            </w:r>
            <w:r w:rsidR="00392DBD" w:rsidRPr="00392DBD">
              <w:t xml:space="preserve">51,961 </w:t>
            </w:r>
            <w:r w:rsidRPr="00EE05F2">
              <w:t>(</w:t>
            </w:r>
            <w:r w:rsidR="00392DBD" w:rsidRPr="00392DBD">
              <w:t>44,47</w:t>
            </w:r>
            <w:r w:rsidR="00392DBD">
              <w:t>9</w:t>
            </w:r>
            <w:r w:rsidRPr="00EE05F2">
              <w:t>-</w:t>
            </w:r>
            <w:r w:rsidR="00392DBD" w:rsidRPr="00392DBD">
              <w:t>60,59</w:t>
            </w:r>
            <w:r w:rsidR="00392DBD">
              <w:t>3</w:t>
            </w:r>
            <w:r w:rsidRPr="00EE05F2">
              <w:t>)</w:t>
            </w:r>
          </w:p>
        </w:tc>
        <w:tc>
          <w:tcPr>
            <w:tcW w:w="2436" w:type="dxa"/>
            <w:tcBorders>
              <w:top w:val="single" w:sz="4" w:space="0" w:color="auto"/>
              <w:left w:val="single" w:sz="4" w:space="0" w:color="auto"/>
              <w:bottom w:val="single" w:sz="4" w:space="0" w:color="auto"/>
              <w:right w:val="single" w:sz="4" w:space="0" w:color="auto"/>
            </w:tcBorders>
          </w:tcPr>
          <w:p w14:paraId="6D19212C" w14:textId="1730BFF9" w:rsidR="00A34179" w:rsidRDefault="00A27CBC" w:rsidP="00FF5517">
            <w:hyperlink r:id="rId54" w:anchor="Sec10" w:history="1">
              <w:r>
                <w:rPr>
                  <w:rStyle w:val="Hyperlink"/>
                </w:rPr>
                <w:t>Shaya 2013</w:t>
              </w:r>
            </w:hyperlink>
            <w:r>
              <w:t xml:space="preserve"> (Table 3)</w:t>
            </w:r>
          </w:p>
        </w:tc>
      </w:tr>
      <w:tr w:rsidR="00A34179" w14:paraId="63C0536C"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26170A4A" w14:textId="11707A0C" w:rsidR="00A34179" w:rsidRDefault="00A34179" w:rsidP="00FF5517">
            <w:proofErr w:type="gramStart"/>
            <w:r>
              <w:t>Late stage</w:t>
            </w:r>
            <w:proofErr w:type="gramEnd"/>
            <w:r>
              <w:t xml:space="preserve"> HCC</w:t>
            </w:r>
          </w:p>
        </w:tc>
        <w:tc>
          <w:tcPr>
            <w:tcW w:w="2340" w:type="dxa"/>
            <w:tcBorders>
              <w:top w:val="single" w:sz="4" w:space="0" w:color="auto"/>
              <w:left w:val="single" w:sz="4" w:space="0" w:color="auto"/>
              <w:bottom w:val="single" w:sz="4" w:space="0" w:color="auto"/>
              <w:right w:val="single" w:sz="4" w:space="0" w:color="auto"/>
            </w:tcBorders>
          </w:tcPr>
          <w:p w14:paraId="5CF28DA0" w14:textId="77777777" w:rsidR="00A34179" w:rsidRDefault="00A34179" w:rsidP="00EB2E72"/>
        </w:tc>
        <w:tc>
          <w:tcPr>
            <w:tcW w:w="2058" w:type="dxa"/>
            <w:tcBorders>
              <w:top w:val="single" w:sz="4" w:space="0" w:color="auto"/>
              <w:left w:val="single" w:sz="4" w:space="0" w:color="auto"/>
              <w:bottom w:val="single" w:sz="4" w:space="0" w:color="auto"/>
              <w:right w:val="single" w:sz="4" w:space="0" w:color="auto"/>
            </w:tcBorders>
          </w:tcPr>
          <w:p w14:paraId="60301DAC"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30EF3490" w14:textId="77777777" w:rsidR="00A34179" w:rsidRDefault="00A34179" w:rsidP="00FF5517"/>
        </w:tc>
      </w:tr>
      <w:tr w:rsidR="00FF5517" w14:paraId="727085E0"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4DE9333A" w14:textId="114FF910" w:rsidR="00FF5517" w:rsidRDefault="00A34179" w:rsidP="00A34179">
            <w:pPr>
              <w:jc w:val="right"/>
            </w:pPr>
            <w:r>
              <w:t>Treated</w:t>
            </w:r>
          </w:p>
        </w:tc>
        <w:tc>
          <w:tcPr>
            <w:tcW w:w="2340" w:type="dxa"/>
            <w:tcBorders>
              <w:top w:val="single" w:sz="4" w:space="0" w:color="auto"/>
              <w:left w:val="single" w:sz="4" w:space="0" w:color="auto"/>
              <w:bottom w:val="single" w:sz="4" w:space="0" w:color="auto"/>
              <w:right w:val="single" w:sz="4" w:space="0" w:color="auto"/>
            </w:tcBorders>
          </w:tcPr>
          <w:p w14:paraId="065F149C" w14:textId="29681241" w:rsidR="00EB2E72" w:rsidRPr="00CE2E32" w:rsidRDefault="00EB2E72" w:rsidP="00FF5517">
            <w:r>
              <w:rPr>
                <w:rFonts w:eastAsia="PMingLiU" w:cs="Times New Roman"/>
              </w:rPr>
              <w:t>$77436 (33468-106236) 2013 USD</w:t>
            </w:r>
          </w:p>
        </w:tc>
        <w:tc>
          <w:tcPr>
            <w:tcW w:w="2058" w:type="dxa"/>
            <w:tcBorders>
              <w:top w:val="single" w:sz="4" w:space="0" w:color="auto"/>
              <w:left w:val="single" w:sz="4" w:space="0" w:color="auto"/>
              <w:bottom w:val="single" w:sz="4" w:space="0" w:color="auto"/>
              <w:right w:val="single" w:sz="4" w:space="0" w:color="auto"/>
            </w:tcBorders>
          </w:tcPr>
          <w:p w14:paraId="788F48E6" w14:textId="59E7BB5B" w:rsidR="00FF5517" w:rsidRPr="00EE05F2" w:rsidRDefault="00FF5517" w:rsidP="00FF5517">
            <w:r w:rsidRPr="00EE05F2">
              <w:t>$</w:t>
            </w:r>
            <w:r w:rsidR="00431A6E" w:rsidRPr="00431A6E">
              <w:t xml:space="preserve">105,595 </w:t>
            </w:r>
            <w:r w:rsidRPr="00EE05F2">
              <w:t>($</w:t>
            </w:r>
            <w:r w:rsidR="00431A6E" w:rsidRPr="00431A6E">
              <w:t>45,63</w:t>
            </w:r>
            <w:r w:rsidR="00431A6E">
              <w:t>9</w:t>
            </w:r>
            <w:r w:rsidRPr="00EE05F2">
              <w:t>- $</w:t>
            </w:r>
            <w:r w:rsidR="00431A6E" w:rsidRPr="00431A6E">
              <w:t>144,868</w:t>
            </w:r>
            <w:r w:rsidRPr="00EE05F2">
              <w:t>)</w:t>
            </w:r>
          </w:p>
        </w:tc>
        <w:tc>
          <w:tcPr>
            <w:tcW w:w="2436" w:type="dxa"/>
            <w:tcBorders>
              <w:top w:val="single" w:sz="4" w:space="0" w:color="auto"/>
              <w:left w:val="single" w:sz="4" w:space="0" w:color="auto"/>
              <w:bottom w:val="single" w:sz="4" w:space="0" w:color="auto"/>
              <w:right w:val="single" w:sz="4" w:space="0" w:color="auto"/>
            </w:tcBorders>
          </w:tcPr>
          <w:p w14:paraId="08A664AA" w14:textId="56AAFBEB" w:rsidR="00FF5517" w:rsidRPr="00CE2E32" w:rsidRDefault="00FF5517" w:rsidP="00FF5517">
            <w:hyperlink r:id="rId55" w:history="1">
              <w:r w:rsidRPr="008E772A">
                <w:rPr>
                  <w:rStyle w:val="Hyperlink"/>
                  <w:rFonts w:eastAsia="PMingLiU" w:cs="Times New Roman"/>
                </w:rPr>
                <w:t>Tapper 2016</w:t>
              </w:r>
            </w:hyperlink>
          </w:p>
        </w:tc>
      </w:tr>
      <w:tr w:rsidR="00A34179" w14:paraId="0A851EA8"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70E3025" w14:textId="2D7020CB" w:rsidR="00A34179" w:rsidRDefault="00A34179" w:rsidP="00A34179">
            <w:pPr>
              <w:jc w:val="right"/>
            </w:pPr>
            <w:r>
              <w:t>Untreated</w:t>
            </w:r>
          </w:p>
        </w:tc>
        <w:tc>
          <w:tcPr>
            <w:tcW w:w="2340" w:type="dxa"/>
            <w:tcBorders>
              <w:top w:val="single" w:sz="4" w:space="0" w:color="auto"/>
              <w:left w:val="single" w:sz="4" w:space="0" w:color="auto"/>
              <w:bottom w:val="single" w:sz="4" w:space="0" w:color="auto"/>
              <w:right w:val="single" w:sz="4" w:space="0" w:color="auto"/>
            </w:tcBorders>
          </w:tcPr>
          <w:p w14:paraId="473BB7E9" w14:textId="355A5826" w:rsidR="00581BA5" w:rsidRDefault="00503CBF" w:rsidP="00FF5517">
            <w:pPr>
              <w:rPr>
                <w:rFonts w:eastAsia="PMingLiU" w:cs="Times New Roman"/>
              </w:rPr>
            </w:pPr>
            <w:r>
              <w:rPr>
                <w:rFonts w:eastAsia="PMingLiU" w:cs="Times New Roman"/>
              </w:rPr>
              <w:t>S</w:t>
            </w:r>
            <w:r w:rsidR="00581BA5">
              <w:rPr>
                <w:rFonts w:eastAsia="PMingLiU" w:cs="Times New Roman"/>
              </w:rPr>
              <w:t>tage III: 14%: IV: 17%</w:t>
            </w:r>
          </w:p>
          <w:p w14:paraId="252679AE" w14:textId="77777777" w:rsidR="00581BA5" w:rsidRDefault="00581BA5" w:rsidP="00FF5517">
            <w:pPr>
              <w:rPr>
                <w:rFonts w:eastAsia="PMingLiU" w:cs="Times New Roman"/>
              </w:rPr>
            </w:pPr>
            <w:proofErr w:type="spellStart"/>
            <w:r>
              <w:rPr>
                <w:rFonts w:eastAsia="PMingLiU" w:cs="Times New Roman"/>
              </w:rPr>
              <w:t>Weighed</w:t>
            </w:r>
            <w:proofErr w:type="spellEnd"/>
            <w:r>
              <w:rPr>
                <w:rFonts w:eastAsia="PMingLiU" w:cs="Times New Roman"/>
              </w:rPr>
              <w:t xml:space="preserve"> average of cumulative cost: $25,640 (22400-29796) 2011 USD</w:t>
            </w:r>
          </w:p>
          <w:p w14:paraId="160AFF81" w14:textId="77777777" w:rsidR="00581BA5" w:rsidRDefault="00581BA5" w:rsidP="00FF5517">
            <w:pPr>
              <w:rPr>
                <w:rFonts w:eastAsia="PMingLiU" w:cs="Times New Roman"/>
              </w:rPr>
            </w:pPr>
          </w:p>
          <w:p w14:paraId="34B090E8" w14:textId="6E4DF42A" w:rsidR="00503CBF" w:rsidRDefault="00581BA5" w:rsidP="00FF5517">
            <w:pPr>
              <w:rPr>
                <w:rFonts w:eastAsia="PMingLiU" w:cs="Times New Roman"/>
              </w:rPr>
            </w:pPr>
            <w:proofErr w:type="spellStart"/>
            <w:r>
              <w:rPr>
                <w:rFonts w:eastAsia="PMingLiU" w:cs="Times New Roman"/>
              </w:rPr>
              <w:t>Weighed</w:t>
            </w:r>
            <w:proofErr w:type="spellEnd"/>
            <w:r>
              <w:rPr>
                <w:rFonts w:eastAsia="PMingLiU" w:cs="Times New Roman"/>
              </w:rPr>
              <w:t xml:space="preserve"> average of the survival: 0.461</w:t>
            </w:r>
            <w:r w:rsidR="00503CBF">
              <w:rPr>
                <w:rFonts w:eastAsia="PMingLiU" w:cs="Times New Roman"/>
              </w:rPr>
              <w:t xml:space="preserve"> years</w:t>
            </w:r>
          </w:p>
          <w:p w14:paraId="3F9CE558" w14:textId="450EF371" w:rsidR="00503CBF" w:rsidRDefault="00503CBF" w:rsidP="00FF5517">
            <w:pPr>
              <w:rPr>
                <w:rFonts w:eastAsia="PMingLiU" w:cs="Times New Roman"/>
              </w:rPr>
            </w:pPr>
            <w:r>
              <w:rPr>
                <w:rFonts w:eastAsia="PMingLiU" w:cs="Times New Roman"/>
              </w:rPr>
              <w:t>Divide by survival time to get yearly cost:</w:t>
            </w:r>
          </w:p>
          <w:p w14:paraId="4659C0D3" w14:textId="77C9F573" w:rsidR="00581BA5" w:rsidRDefault="00503CBF" w:rsidP="008B5D39">
            <w:pPr>
              <w:rPr>
                <w:rFonts w:eastAsia="PMingLiU" w:cs="Times New Roman"/>
              </w:rPr>
            </w:pPr>
            <w:r>
              <w:rPr>
                <w:rFonts w:eastAsia="PMingLiU" w:cs="Times New Roman"/>
              </w:rPr>
              <w:t>55618 (48590-64633)</w:t>
            </w:r>
          </w:p>
        </w:tc>
        <w:tc>
          <w:tcPr>
            <w:tcW w:w="2058" w:type="dxa"/>
            <w:tcBorders>
              <w:top w:val="single" w:sz="4" w:space="0" w:color="auto"/>
              <w:left w:val="single" w:sz="4" w:space="0" w:color="auto"/>
              <w:bottom w:val="single" w:sz="4" w:space="0" w:color="auto"/>
              <w:right w:val="single" w:sz="4" w:space="0" w:color="auto"/>
            </w:tcBorders>
          </w:tcPr>
          <w:p w14:paraId="7C474021" w14:textId="306FA84D" w:rsidR="003A6FE4" w:rsidRPr="00EE05F2" w:rsidRDefault="003A6FE4" w:rsidP="00FF5517">
            <w:r w:rsidRPr="00EE05F2">
              <w:t>$</w:t>
            </w:r>
            <w:r w:rsidR="00431A6E" w:rsidRPr="00431A6E">
              <w:t>78,54</w:t>
            </w:r>
            <w:r w:rsidR="00431A6E">
              <w:t xml:space="preserve">7 </w:t>
            </w:r>
            <w:r w:rsidRPr="00EE05F2">
              <w:t>(</w:t>
            </w:r>
            <w:r w:rsidR="00431A6E" w:rsidRPr="00431A6E">
              <w:t>68,621</w:t>
            </w:r>
            <w:r w:rsidRPr="00EE05F2">
              <w:t>-</w:t>
            </w:r>
            <w:r w:rsidR="00431A6E" w:rsidRPr="00431A6E">
              <w:t>91,278</w:t>
            </w:r>
            <w:r w:rsidRPr="00EE05F2">
              <w:t>)</w:t>
            </w:r>
          </w:p>
        </w:tc>
        <w:tc>
          <w:tcPr>
            <w:tcW w:w="2436" w:type="dxa"/>
            <w:tcBorders>
              <w:top w:val="single" w:sz="4" w:space="0" w:color="auto"/>
              <w:left w:val="single" w:sz="4" w:space="0" w:color="auto"/>
              <w:bottom w:val="single" w:sz="4" w:space="0" w:color="auto"/>
              <w:right w:val="single" w:sz="4" w:space="0" w:color="auto"/>
            </w:tcBorders>
          </w:tcPr>
          <w:p w14:paraId="54743E41" w14:textId="5D3C5B05" w:rsidR="00A34179" w:rsidRDefault="00A27CBC" w:rsidP="00FF5517">
            <w:hyperlink r:id="rId56" w:anchor="Sec10" w:history="1">
              <w:r>
                <w:rPr>
                  <w:rStyle w:val="Hyperlink"/>
                </w:rPr>
                <w:t>Shaya 2013</w:t>
              </w:r>
            </w:hyperlink>
            <w:r>
              <w:t xml:space="preserve"> (Table 3)</w:t>
            </w:r>
          </w:p>
        </w:tc>
      </w:tr>
    </w:tbl>
    <w:p w14:paraId="664B589B" w14:textId="77777777" w:rsidR="00943C40" w:rsidRDefault="00943C40" w:rsidP="3FD443D1">
      <w:pPr>
        <w:rPr>
          <w:b/>
          <w:bCs/>
        </w:rPr>
      </w:pPr>
    </w:p>
    <w:p w14:paraId="260A00C4" w14:textId="3813AFC8" w:rsidR="006206D6" w:rsidRDefault="006206D6" w:rsidP="3FD443D1">
      <w:pPr>
        <w:rPr>
          <w:b/>
          <w:bCs/>
        </w:rPr>
      </w:pPr>
      <w:r>
        <w:rPr>
          <w:b/>
          <w:bCs/>
        </w:rPr>
        <w:t>For sensitivity analyses</w:t>
      </w:r>
    </w:p>
    <w:p w14:paraId="5FDCAF0A" w14:textId="7498856E" w:rsidR="006206D6" w:rsidRDefault="006206D6" w:rsidP="3FD443D1">
      <w:pPr>
        <w:rPr>
          <w:b/>
          <w:bCs/>
        </w:rPr>
      </w:pPr>
      <w:r>
        <w:rPr>
          <w:b/>
          <w:bCs/>
        </w:rPr>
        <w:t xml:space="preserve">1. </w:t>
      </w:r>
      <w:commentRangeStart w:id="14"/>
      <w:r>
        <w:rPr>
          <w:b/>
          <w:bCs/>
        </w:rPr>
        <w:t>By sex</w:t>
      </w:r>
      <w:commentRangeEnd w:id="14"/>
      <w:r w:rsidR="00B57149">
        <w:rPr>
          <w:rStyle w:val="CommentReference"/>
        </w:rPr>
        <w:commentReference w:id="14"/>
      </w:r>
      <w:r w:rsidR="00943C40">
        <w:rPr>
          <w:b/>
          <w:bCs/>
        </w:rPr>
        <w:t xml:space="preserve"> </w:t>
      </w:r>
    </w:p>
    <w:p w14:paraId="359AB898" w14:textId="5456CD0C" w:rsidR="001D7988" w:rsidRDefault="001D7988" w:rsidP="3FD443D1">
      <w:r>
        <w:t>*Because we use a different set of studies to gather this data compared to the base case inputs, the male and female HCC incidences were both lower than what we use in the base case. We can’t compare cost-effectiveness of only screening the male patients if the overall HCC incidence isn’t the same as the base case analysis, so we will standardize the data below with respect to the value in the overall cohort according to the base-case inputs. How we do this: For each study, find the increment increase/decrease of the subgroup (by age or sex) incidence compared to incidence in the overall cohort (as reported in the study). Then, average this increment across studies and add to the incidence used in the overall cohort of the base case.</w:t>
      </w:r>
    </w:p>
    <w:p w14:paraId="21052040" w14:textId="20F7715B" w:rsidR="00197159" w:rsidRDefault="00197159" w:rsidP="3FD443D1">
      <w:pPr>
        <w:rPr>
          <w:b/>
          <w:bCs/>
        </w:rPr>
      </w:pPr>
      <w:r>
        <w:lastRenderedPageBreak/>
        <w:t xml:space="preserve">**We find an adjusted midpoint from which we measure the % increase or decrease from, by weighing the % male and female in the cohort from the reference. </w:t>
      </w:r>
    </w:p>
    <w:tbl>
      <w:tblPr>
        <w:tblStyle w:val="TableGrid"/>
        <w:tblW w:w="9180" w:type="dxa"/>
        <w:tblInd w:w="0" w:type="dxa"/>
        <w:tblLook w:val="04A0" w:firstRow="1" w:lastRow="0" w:firstColumn="1" w:lastColumn="0" w:noHBand="0" w:noVBand="1"/>
      </w:tblPr>
      <w:tblGrid>
        <w:gridCol w:w="1790"/>
        <w:gridCol w:w="2284"/>
        <w:gridCol w:w="3160"/>
        <w:gridCol w:w="1946"/>
      </w:tblGrid>
      <w:tr w:rsidR="00AF392E" w14:paraId="56424145" w14:textId="77777777" w:rsidTr="00AF392E">
        <w:trPr>
          <w:trHeight w:val="256"/>
        </w:trPr>
        <w:tc>
          <w:tcPr>
            <w:tcW w:w="1790" w:type="dxa"/>
          </w:tcPr>
          <w:p w14:paraId="2DD2F462" w14:textId="77777777" w:rsidR="00AF392E" w:rsidRDefault="00AF392E" w:rsidP="3FD443D1">
            <w:pPr>
              <w:rPr>
                <w:b/>
                <w:bCs/>
              </w:rPr>
            </w:pPr>
          </w:p>
        </w:tc>
        <w:tc>
          <w:tcPr>
            <w:tcW w:w="2284" w:type="dxa"/>
          </w:tcPr>
          <w:p w14:paraId="417E9EE3" w14:textId="31C1C1E3" w:rsidR="00AF392E" w:rsidRDefault="00AF392E" w:rsidP="00C0327D">
            <w:pPr>
              <w:tabs>
                <w:tab w:val="center" w:pos="1383"/>
              </w:tabs>
              <w:rPr>
                <w:b/>
                <w:bCs/>
              </w:rPr>
            </w:pPr>
            <w:r>
              <w:rPr>
                <w:b/>
                <w:bCs/>
              </w:rPr>
              <w:t>Original data from reference</w:t>
            </w:r>
            <w:r>
              <w:rPr>
                <w:b/>
                <w:bCs/>
              </w:rPr>
              <w:tab/>
            </w:r>
          </w:p>
        </w:tc>
        <w:tc>
          <w:tcPr>
            <w:tcW w:w="3160" w:type="dxa"/>
          </w:tcPr>
          <w:p w14:paraId="3C0DE4C5" w14:textId="19AABD2F" w:rsidR="00AF392E" w:rsidRDefault="00AF392E" w:rsidP="3FD443D1">
            <w:pPr>
              <w:rPr>
                <w:b/>
                <w:bCs/>
              </w:rPr>
            </w:pPr>
            <w:r>
              <w:rPr>
                <w:b/>
                <w:bCs/>
              </w:rPr>
              <w:t xml:space="preserve">New value** </w:t>
            </w:r>
          </w:p>
        </w:tc>
        <w:tc>
          <w:tcPr>
            <w:tcW w:w="1946" w:type="dxa"/>
          </w:tcPr>
          <w:p w14:paraId="4BC4C18E" w14:textId="4E2D5475" w:rsidR="00AF392E" w:rsidRDefault="00AF392E" w:rsidP="3FD443D1">
            <w:pPr>
              <w:rPr>
                <w:b/>
                <w:bCs/>
              </w:rPr>
            </w:pPr>
            <w:r>
              <w:rPr>
                <w:b/>
                <w:bCs/>
              </w:rPr>
              <w:t>Reference</w:t>
            </w:r>
          </w:p>
        </w:tc>
      </w:tr>
      <w:tr w:rsidR="00AF392E" w14:paraId="408E346D" w14:textId="77777777" w:rsidTr="00AF392E">
        <w:trPr>
          <w:trHeight w:val="256"/>
        </w:trPr>
        <w:tc>
          <w:tcPr>
            <w:tcW w:w="1790" w:type="dxa"/>
          </w:tcPr>
          <w:p w14:paraId="7EA75BD6" w14:textId="0CFE6A48" w:rsidR="00AF392E" w:rsidRPr="001D6049" w:rsidRDefault="00AF392E" w:rsidP="001D6049">
            <w:proofErr w:type="spellStart"/>
            <w:r w:rsidRPr="001D6049">
              <w:t>Undiagnosis</w:t>
            </w:r>
            <w:proofErr w:type="spellEnd"/>
            <w:r w:rsidRPr="001D6049">
              <w:t xml:space="preserve"> rate of cirrhosis </w:t>
            </w:r>
          </w:p>
        </w:tc>
        <w:tc>
          <w:tcPr>
            <w:tcW w:w="2284" w:type="dxa"/>
          </w:tcPr>
          <w:p w14:paraId="3D6BC830" w14:textId="5B167E58" w:rsidR="00AF392E" w:rsidRDefault="00AF392E" w:rsidP="001D6049">
            <w:r>
              <w:t>Male: 33.3%</w:t>
            </w:r>
          </w:p>
          <w:p w14:paraId="08F9DAAD" w14:textId="518CADAC" w:rsidR="00AF392E" w:rsidRPr="001D6049" w:rsidRDefault="00AF392E" w:rsidP="001D6049">
            <w:r>
              <w:t>Women: 15.0%</w:t>
            </w:r>
          </w:p>
          <w:p w14:paraId="757B297C" w14:textId="27F10F29" w:rsidR="00AF392E" w:rsidRDefault="00AF392E" w:rsidP="001D6049">
            <w:pPr>
              <w:tabs>
                <w:tab w:val="center" w:pos="1383"/>
              </w:tabs>
              <w:rPr>
                <w:b/>
                <w:bCs/>
              </w:rPr>
            </w:pPr>
          </w:p>
        </w:tc>
        <w:tc>
          <w:tcPr>
            <w:tcW w:w="3160" w:type="dxa"/>
          </w:tcPr>
          <w:p w14:paraId="64C01C5C" w14:textId="5F52117E" w:rsidR="00AF392E" w:rsidRDefault="00AF392E" w:rsidP="001D6049">
            <w:pPr>
              <w:rPr>
                <w:b/>
                <w:bCs/>
              </w:rPr>
            </w:pPr>
          </w:p>
        </w:tc>
        <w:tc>
          <w:tcPr>
            <w:tcW w:w="1946" w:type="dxa"/>
          </w:tcPr>
          <w:p w14:paraId="390CF134" w14:textId="65DF5A0E" w:rsidR="00AF392E" w:rsidRDefault="00AF392E" w:rsidP="001D6049">
            <w:pPr>
              <w:rPr>
                <w:b/>
                <w:bCs/>
              </w:rPr>
            </w:pPr>
            <w:hyperlink r:id="rId57" w:history="1">
              <w:r w:rsidRPr="008C58C0">
                <w:rPr>
                  <w:rStyle w:val="Hyperlink"/>
                  <w:rFonts w:ascii="Calibri" w:eastAsia="Calibri" w:hAnsi="Calibri" w:cs="Calibri"/>
                </w:rPr>
                <w:t>Fujimoto 2008</w:t>
              </w:r>
            </w:hyperlink>
          </w:p>
        </w:tc>
      </w:tr>
      <w:tr w:rsidR="00AF392E" w14:paraId="6B8718B5" w14:textId="77777777" w:rsidTr="00AF392E">
        <w:trPr>
          <w:trHeight w:val="527"/>
        </w:trPr>
        <w:tc>
          <w:tcPr>
            <w:tcW w:w="1790" w:type="dxa"/>
          </w:tcPr>
          <w:p w14:paraId="46CEE85B" w14:textId="4B0A33F9" w:rsidR="00AF392E" w:rsidRPr="006206D6" w:rsidRDefault="00AF392E" w:rsidP="001D6049">
            <w:r>
              <w:t>Non-cirrhotic MASLD to HCC</w:t>
            </w:r>
          </w:p>
        </w:tc>
        <w:tc>
          <w:tcPr>
            <w:tcW w:w="2284" w:type="dxa"/>
          </w:tcPr>
          <w:p w14:paraId="3B1D1F3F" w14:textId="3262C8B7" w:rsidR="00AF392E" w:rsidRDefault="00AF392E" w:rsidP="001D6049"/>
        </w:tc>
        <w:tc>
          <w:tcPr>
            <w:tcW w:w="3160" w:type="dxa"/>
          </w:tcPr>
          <w:p w14:paraId="47AEB043" w14:textId="2CF93FF5" w:rsidR="00AF392E" w:rsidRPr="00C0327D" w:rsidRDefault="00AF392E" w:rsidP="001D6049">
            <w:pPr>
              <w:jc w:val="center"/>
            </w:pPr>
          </w:p>
        </w:tc>
        <w:tc>
          <w:tcPr>
            <w:tcW w:w="1946" w:type="dxa"/>
          </w:tcPr>
          <w:p w14:paraId="5368836F" w14:textId="7C0E325A" w:rsidR="00AF392E" w:rsidRPr="00C0327D" w:rsidRDefault="00AF392E" w:rsidP="001D6049"/>
        </w:tc>
      </w:tr>
      <w:tr w:rsidR="00AF392E" w14:paraId="4A32A6D9" w14:textId="77777777" w:rsidTr="00AF392E">
        <w:trPr>
          <w:trHeight w:val="527"/>
        </w:trPr>
        <w:tc>
          <w:tcPr>
            <w:tcW w:w="1790" w:type="dxa"/>
          </w:tcPr>
          <w:p w14:paraId="7C8895B8" w14:textId="74CF37C5" w:rsidR="00AF392E" w:rsidRDefault="00AF392E" w:rsidP="00B8127A">
            <w:pPr>
              <w:jc w:val="right"/>
            </w:pPr>
            <w:r>
              <w:t>Male</w:t>
            </w:r>
          </w:p>
        </w:tc>
        <w:tc>
          <w:tcPr>
            <w:tcW w:w="2284" w:type="dxa"/>
          </w:tcPr>
          <w:p w14:paraId="44ED985A" w14:textId="26FD88E7" w:rsidR="00AF392E" w:rsidRPr="00AF392E" w:rsidRDefault="00AF392E" w:rsidP="00B8127A">
            <w:r>
              <w:t xml:space="preserve">a. 0.05 (0.04-0.06)/1000 PYs for low FIB-4 </w:t>
            </w:r>
          </w:p>
        </w:tc>
        <w:tc>
          <w:tcPr>
            <w:tcW w:w="3160" w:type="dxa"/>
          </w:tcPr>
          <w:p w14:paraId="39344E8D" w14:textId="77777777" w:rsidR="00AF392E" w:rsidRPr="007A1731" w:rsidRDefault="00AF392E" w:rsidP="00B8127A">
            <w:pPr>
              <w:rPr>
                <w:color w:val="000000" w:themeColor="text1"/>
              </w:rPr>
            </w:pPr>
            <w:r w:rsidRPr="007A1731">
              <w:rPr>
                <w:color w:val="000000" w:themeColor="text1"/>
              </w:rPr>
              <w:t>New “overall” in a 50/50 M/F cohort:</w:t>
            </w:r>
          </w:p>
          <w:p w14:paraId="5CEBCA59" w14:textId="77777777" w:rsidR="00AF392E" w:rsidRPr="007A1731" w:rsidRDefault="00AF392E" w:rsidP="00B8127A">
            <w:pPr>
              <w:rPr>
                <w:color w:val="000000" w:themeColor="text1"/>
              </w:rPr>
            </w:pPr>
          </w:p>
          <w:p w14:paraId="6BF7BD07" w14:textId="68A4938D" w:rsidR="00AF392E" w:rsidRPr="007A1731" w:rsidRDefault="00AF392E" w:rsidP="00B8127A">
            <w:pPr>
              <w:rPr>
                <w:color w:val="000000" w:themeColor="text1"/>
              </w:rPr>
            </w:pPr>
            <w:r w:rsidRPr="007A1731">
              <w:rPr>
                <w:color w:val="000000" w:themeColor="text1"/>
              </w:rPr>
              <w:t>0.005</w:t>
            </w:r>
            <w:proofErr w:type="gramStart"/>
            <w:r w:rsidRPr="007A1731">
              <w:rPr>
                <w:color w:val="000000" w:themeColor="text1"/>
              </w:rPr>
              <w:t>%(</w:t>
            </w:r>
            <w:proofErr w:type="gramEnd"/>
            <w:r w:rsidRPr="007A1731">
              <w:rPr>
                <w:color w:val="000000" w:themeColor="text1"/>
              </w:rPr>
              <w:t>0.50) + 0.002%(0.50) = 0.0035%</w:t>
            </w:r>
          </w:p>
          <w:p w14:paraId="00FD8768" w14:textId="77777777" w:rsidR="00AF392E" w:rsidRPr="007A1731" w:rsidRDefault="00AF392E" w:rsidP="00B8127A">
            <w:pPr>
              <w:rPr>
                <w:color w:val="000000" w:themeColor="text1"/>
              </w:rPr>
            </w:pPr>
          </w:p>
          <w:p w14:paraId="27A1DAE9" w14:textId="77777777" w:rsidR="00AF392E" w:rsidRPr="007A1731" w:rsidRDefault="00AF392E" w:rsidP="00B8127A">
            <w:pPr>
              <w:rPr>
                <w:color w:val="000000" w:themeColor="text1"/>
              </w:rPr>
            </w:pPr>
            <w:r w:rsidRPr="007A1731">
              <w:rPr>
                <w:color w:val="000000" w:themeColor="text1"/>
              </w:rPr>
              <w:t xml:space="preserve">Increment </w:t>
            </w:r>
            <w:proofErr w:type="spellStart"/>
            <w:r w:rsidRPr="007A1731">
              <w:rPr>
                <w:color w:val="000000" w:themeColor="text1"/>
              </w:rPr>
              <w:t>inc</w:t>
            </w:r>
            <w:proofErr w:type="spellEnd"/>
            <w:r w:rsidRPr="007A1731">
              <w:rPr>
                <w:color w:val="000000" w:themeColor="text1"/>
              </w:rPr>
              <w:t xml:space="preserve"> for M:</w:t>
            </w:r>
          </w:p>
          <w:p w14:paraId="3A61295E" w14:textId="310D739B" w:rsidR="00AF392E" w:rsidRPr="007A1731" w:rsidRDefault="00AF392E" w:rsidP="00B8127A">
            <w:pPr>
              <w:rPr>
                <w:color w:val="000000" w:themeColor="text1"/>
              </w:rPr>
            </w:pPr>
            <w:r w:rsidRPr="007A1731">
              <w:rPr>
                <w:color w:val="000000" w:themeColor="text1"/>
              </w:rPr>
              <w:t>0.005%-0.0035% = +0.0015%</w:t>
            </w:r>
          </w:p>
          <w:p w14:paraId="06BE71CA" w14:textId="218E83C3" w:rsidR="00AF392E" w:rsidRPr="007A1731" w:rsidRDefault="00AF392E" w:rsidP="00B8127A">
            <w:pPr>
              <w:rPr>
                <w:color w:val="000000" w:themeColor="text1"/>
              </w:rPr>
            </w:pPr>
            <w:r w:rsidRPr="007A1731">
              <w:rPr>
                <w:color w:val="000000" w:themeColor="text1"/>
              </w:rPr>
              <w:t>OR 42.9% increase</w:t>
            </w:r>
          </w:p>
          <w:p w14:paraId="0CB07011" w14:textId="76D7C207" w:rsidR="00AF392E" w:rsidRPr="007A1731" w:rsidRDefault="00AF392E" w:rsidP="00B8127A">
            <w:pPr>
              <w:rPr>
                <w:color w:val="000000" w:themeColor="text1"/>
              </w:rPr>
            </w:pPr>
          </w:p>
          <w:p w14:paraId="34CE08DB" w14:textId="191EC3EF" w:rsidR="00AF392E" w:rsidRDefault="00AF392E" w:rsidP="5606A867">
            <w:pPr>
              <w:rPr>
                <w:color w:val="000000" w:themeColor="text1"/>
              </w:rPr>
            </w:pPr>
            <w:r w:rsidRPr="5606A867">
              <w:rPr>
                <w:rStyle w:val="normaltextrun"/>
                <w:rFonts w:ascii="Calibri" w:hAnsi="Calibri" w:cs="Calibri"/>
              </w:rPr>
              <w:t>Base case value: 0.004% (0.004%-0.006%)</w:t>
            </w:r>
          </w:p>
          <w:p w14:paraId="4E3B82D9" w14:textId="4657DDE6" w:rsidR="00AF392E" w:rsidRPr="007A1731" w:rsidRDefault="00AF392E" w:rsidP="00B8127A">
            <w:pPr>
              <w:rPr>
                <w:color w:val="000000" w:themeColor="text1"/>
              </w:rPr>
            </w:pPr>
          </w:p>
          <w:p w14:paraId="7D4AEFEA" w14:textId="77777777" w:rsidR="00AF392E" w:rsidRPr="007A1731" w:rsidRDefault="00AF392E" w:rsidP="00B8127A">
            <w:pPr>
              <w:rPr>
                <w:color w:val="000000" w:themeColor="text1"/>
              </w:rPr>
            </w:pPr>
          </w:p>
          <w:p w14:paraId="09EDDB75" w14:textId="77777777" w:rsidR="00AF392E" w:rsidRPr="007A1731" w:rsidRDefault="00AF392E" w:rsidP="00B8127A">
            <w:pPr>
              <w:rPr>
                <w:color w:val="000000" w:themeColor="text1"/>
              </w:rPr>
            </w:pPr>
            <w:r w:rsidRPr="5606A867">
              <w:rPr>
                <w:color w:val="000000" w:themeColor="text1"/>
              </w:rPr>
              <w:t>Male subgroup value:</w:t>
            </w:r>
          </w:p>
          <w:p w14:paraId="1AB8A66A" w14:textId="69641D6D" w:rsidR="00AF392E" w:rsidRPr="00242F9E" w:rsidRDefault="00AF392E" w:rsidP="00B8127A">
            <w:pPr>
              <w:rPr>
                <w:color w:val="000000" w:themeColor="text1"/>
                <w:highlight w:val="yellow"/>
              </w:rPr>
            </w:pPr>
            <w:r w:rsidRPr="00242F9E">
              <w:rPr>
                <w:color w:val="000000" w:themeColor="text1"/>
                <w:highlight w:val="yellow"/>
              </w:rPr>
              <w:t xml:space="preserve">Add % </w:t>
            </w:r>
            <w:proofErr w:type="spellStart"/>
            <w:r w:rsidRPr="00242F9E">
              <w:rPr>
                <w:color w:val="000000" w:themeColor="text1"/>
                <w:highlight w:val="yellow"/>
              </w:rPr>
              <w:t>inc</w:t>
            </w:r>
            <w:proofErr w:type="spellEnd"/>
            <w:r w:rsidRPr="00242F9E">
              <w:rPr>
                <w:color w:val="000000" w:themeColor="text1"/>
                <w:highlight w:val="yellow"/>
              </w:rPr>
              <w:t>:</w:t>
            </w:r>
          </w:p>
          <w:p w14:paraId="6B2919CA" w14:textId="511683FB" w:rsidR="00AF392E" w:rsidRPr="00B568DA" w:rsidRDefault="00AF392E" w:rsidP="00B8127A">
            <w:pPr>
              <w:rPr>
                <w:color w:val="000000" w:themeColor="text1"/>
              </w:rPr>
            </w:pPr>
            <w:r w:rsidRPr="5606A867">
              <w:rPr>
                <w:color w:val="000000" w:themeColor="text1"/>
                <w:highlight w:val="yellow"/>
              </w:rPr>
              <w:t>0.006% (0.006%-0.009%)</w:t>
            </w:r>
          </w:p>
        </w:tc>
        <w:tc>
          <w:tcPr>
            <w:tcW w:w="1946" w:type="dxa"/>
          </w:tcPr>
          <w:p w14:paraId="093EE5C4" w14:textId="13ACE710" w:rsidR="00AF392E" w:rsidRPr="00D048A7" w:rsidRDefault="00AF392E" w:rsidP="00B8127A">
            <w:r w:rsidRPr="00D048A7">
              <w:t xml:space="preserve">a. </w:t>
            </w:r>
            <w:hyperlink r:id="rId58" w:anchor="S20" w:history="1">
              <w:r w:rsidRPr="00D048A7">
                <w:rPr>
                  <w:rStyle w:val="Hyperlink"/>
                </w:rPr>
                <w:t>Kanwal 2018</w:t>
              </w:r>
            </w:hyperlink>
            <w:r w:rsidRPr="00D048A7">
              <w:t xml:space="preserve"> (supp table 2)</w:t>
            </w:r>
          </w:p>
          <w:p w14:paraId="3920A78D" w14:textId="77777777" w:rsidR="00AF392E" w:rsidRPr="00D048A7" w:rsidRDefault="00AF392E" w:rsidP="00B8127A">
            <w:r w:rsidRPr="00D048A7">
              <w:t>(VA population)</w:t>
            </w:r>
          </w:p>
          <w:p w14:paraId="69FA80F8" w14:textId="6779D557" w:rsidR="00AF392E" w:rsidRDefault="00AF392E" w:rsidP="00B8127A"/>
        </w:tc>
      </w:tr>
      <w:tr w:rsidR="00AF392E" w14:paraId="7938AB5D" w14:textId="77777777" w:rsidTr="00AF392E">
        <w:trPr>
          <w:trHeight w:val="514"/>
        </w:trPr>
        <w:tc>
          <w:tcPr>
            <w:tcW w:w="1790" w:type="dxa"/>
          </w:tcPr>
          <w:p w14:paraId="2286730F" w14:textId="4AAF15F0" w:rsidR="00AF392E" w:rsidRDefault="00AF392E" w:rsidP="00B8127A">
            <w:pPr>
              <w:jc w:val="right"/>
            </w:pPr>
            <w:r>
              <w:t>Female</w:t>
            </w:r>
          </w:p>
        </w:tc>
        <w:tc>
          <w:tcPr>
            <w:tcW w:w="2284" w:type="dxa"/>
          </w:tcPr>
          <w:p w14:paraId="12BAF537" w14:textId="37BD18DB" w:rsidR="00AF392E" w:rsidRPr="00A97F20" w:rsidRDefault="00AF392E" w:rsidP="00B8127A">
            <w:r>
              <w:t>a. 0.02 (0.00-0.07)/1000 PYs for low FIB-</w:t>
            </w:r>
            <w:proofErr w:type="gramStart"/>
            <w:r>
              <w:t>4;</w:t>
            </w:r>
            <w:proofErr w:type="gramEnd"/>
          </w:p>
          <w:p w14:paraId="64D1D241" w14:textId="71C031A0" w:rsidR="00AF392E" w:rsidRPr="00A97F20" w:rsidRDefault="00AF392E" w:rsidP="00B8127A">
            <w:r w:rsidRPr="00A97F20">
              <w:t>0.20 (0.00-1.09) for high FIB-4</w:t>
            </w:r>
          </w:p>
          <w:p w14:paraId="5601083D" w14:textId="5F12DD49" w:rsidR="00AF392E" w:rsidRPr="00A97F20" w:rsidRDefault="00AF392E" w:rsidP="00B8127A">
            <w:r w:rsidRPr="00A97F20">
              <w:t>b. 10-year incidence of 0.20% (</w:t>
            </w:r>
            <w:r w:rsidRPr="00A97F20">
              <w:rPr>
                <w:rFonts w:ascii="Wingdings" w:eastAsia="Wingdings" w:hAnsi="Wingdings" w:cs="Wingdings"/>
              </w:rPr>
              <w:t>à</w:t>
            </w:r>
            <w:r w:rsidRPr="00A97F20">
              <w:t xml:space="preserve"> 0.020%)</w:t>
            </w:r>
          </w:p>
        </w:tc>
        <w:tc>
          <w:tcPr>
            <w:tcW w:w="3160" w:type="dxa"/>
            <w:shd w:val="clear" w:color="auto" w:fill="auto"/>
          </w:tcPr>
          <w:p w14:paraId="075A43AD" w14:textId="01783ACD" w:rsidR="00AF392E" w:rsidRPr="00607763" w:rsidRDefault="00AF392E" w:rsidP="00B8127A"/>
        </w:tc>
        <w:tc>
          <w:tcPr>
            <w:tcW w:w="1946" w:type="dxa"/>
          </w:tcPr>
          <w:p w14:paraId="16EA2645" w14:textId="22CF5771" w:rsidR="00AF392E" w:rsidRDefault="00AF392E" w:rsidP="00B8127A">
            <w:r>
              <w:t xml:space="preserve">a. </w:t>
            </w:r>
            <w:hyperlink r:id="rId59" w:anchor="S20" w:history="1">
              <w:r>
                <w:rPr>
                  <w:rStyle w:val="Hyperlink"/>
                </w:rPr>
                <w:t>Kanwal 2018</w:t>
              </w:r>
            </w:hyperlink>
            <w:r>
              <w:t xml:space="preserve"> (supp table 2)</w:t>
            </w:r>
          </w:p>
          <w:p w14:paraId="1348792B" w14:textId="77777777" w:rsidR="00AF392E" w:rsidRDefault="00AF392E" w:rsidP="00B8127A">
            <w:r>
              <w:t>(VA population)</w:t>
            </w:r>
          </w:p>
          <w:p w14:paraId="00A5F1C4" w14:textId="47FA5920" w:rsidR="00AF392E" w:rsidRPr="00D048A7" w:rsidRDefault="00AF392E" w:rsidP="00B8127A">
            <w:pPr>
              <w:rPr>
                <w:strike/>
              </w:rPr>
            </w:pPr>
          </w:p>
        </w:tc>
      </w:tr>
      <w:tr w:rsidR="00AF392E" w14:paraId="2A69F7E6" w14:textId="77777777" w:rsidTr="00AF392E">
        <w:trPr>
          <w:trHeight w:val="514"/>
        </w:trPr>
        <w:tc>
          <w:tcPr>
            <w:tcW w:w="1790" w:type="dxa"/>
          </w:tcPr>
          <w:p w14:paraId="0E54FFD3" w14:textId="686FB40B" w:rsidR="00AF392E" w:rsidRDefault="00AF392E" w:rsidP="00B8127A">
            <w:r>
              <w:t>Cirrhotic MASLD to HCC</w:t>
            </w:r>
          </w:p>
        </w:tc>
        <w:tc>
          <w:tcPr>
            <w:tcW w:w="2284" w:type="dxa"/>
          </w:tcPr>
          <w:p w14:paraId="6DE6ED55" w14:textId="77777777" w:rsidR="00AF392E" w:rsidRDefault="00AF392E" w:rsidP="00B8127A"/>
        </w:tc>
        <w:tc>
          <w:tcPr>
            <w:tcW w:w="3160" w:type="dxa"/>
          </w:tcPr>
          <w:p w14:paraId="186271E8" w14:textId="77777777" w:rsidR="00AF392E" w:rsidRDefault="00AF392E" w:rsidP="00B8127A"/>
        </w:tc>
        <w:tc>
          <w:tcPr>
            <w:tcW w:w="1946" w:type="dxa"/>
          </w:tcPr>
          <w:p w14:paraId="5F285C4E" w14:textId="2CE2EB1D" w:rsidR="00AF392E" w:rsidRDefault="00AF392E" w:rsidP="00B8127A"/>
        </w:tc>
      </w:tr>
      <w:tr w:rsidR="00AF392E" w14:paraId="3F4ECD9C" w14:textId="77777777" w:rsidTr="00AF392E">
        <w:trPr>
          <w:trHeight w:val="514"/>
        </w:trPr>
        <w:tc>
          <w:tcPr>
            <w:tcW w:w="1790" w:type="dxa"/>
          </w:tcPr>
          <w:p w14:paraId="7244078D" w14:textId="75E7520D" w:rsidR="00AF392E" w:rsidRDefault="00AF392E" w:rsidP="00B8127A">
            <w:pPr>
              <w:jc w:val="right"/>
            </w:pPr>
            <w:r>
              <w:t>Male</w:t>
            </w:r>
          </w:p>
        </w:tc>
        <w:tc>
          <w:tcPr>
            <w:tcW w:w="2284" w:type="dxa"/>
          </w:tcPr>
          <w:p w14:paraId="36E2A156" w14:textId="10C9E23D" w:rsidR="00AF392E" w:rsidRDefault="00AF392E" w:rsidP="00B8127A">
            <w:r>
              <w:t>11.05 (9.83-12.39)/1000 PYs</w:t>
            </w:r>
          </w:p>
        </w:tc>
        <w:tc>
          <w:tcPr>
            <w:tcW w:w="3160" w:type="dxa"/>
          </w:tcPr>
          <w:p w14:paraId="15EF5499" w14:textId="77777777" w:rsidR="00AF392E" w:rsidRDefault="00AF392E" w:rsidP="00ED5C57">
            <w:pPr>
              <w:rPr>
                <w:color w:val="000000" w:themeColor="text1"/>
              </w:rPr>
            </w:pPr>
            <w:r>
              <w:rPr>
                <w:color w:val="000000" w:themeColor="text1"/>
              </w:rPr>
              <w:t>New “overall” in a 50/50 M/F cohort:</w:t>
            </w:r>
          </w:p>
          <w:p w14:paraId="198D38D7" w14:textId="77777777" w:rsidR="00AF392E" w:rsidRDefault="00AF392E" w:rsidP="00ED5C57">
            <w:pPr>
              <w:rPr>
                <w:color w:val="000000" w:themeColor="text1"/>
              </w:rPr>
            </w:pPr>
          </w:p>
          <w:p w14:paraId="59CA5FFA" w14:textId="0F96CD7C" w:rsidR="00AF392E" w:rsidRDefault="00AF392E" w:rsidP="00ED5C57">
            <w:pPr>
              <w:rPr>
                <w:color w:val="000000" w:themeColor="text1"/>
              </w:rPr>
            </w:pPr>
            <w:r>
              <w:rPr>
                <w:color w:val="000000" w:themeColor="text1"/>
              </w:rPr>
              <w:t>1.105</w:t>
            </w:r>
            <w:proofErr w:type="gramStart"/>
            <w:r>
              <w:rPr>
                <w:color w:val="000000" w:themeColor="text1"/>
              </w:rPr>
              <w:t>%(</w:t>
            </w:r>
            <w:proofErr w:type="gramEnd"/>
            <w:r>
              <w:rPr>
                <w:color w:val="000000" w:themeColor="text1"/>
              </w:rPr>
              <w:t>0.50) + 0.162%(0.50) = 0.634%</w:t>
            </w:r>
          </w:p>
          <w:p w14:paraId="43D0EBC9" w14:textId="77777777" w:rsidR="00AF392E" w:rsidRDefault="00AF392E" w:rsidP="00ED5C57">
            <w:pPr>
              <w:rPr>
                <w:color w:val="000000" w:themeColor="text1"/>
              </w:rPr>
            </w:pPr>
          </w:p>
          <w:p w14:paraId="40F2626C" w14:textId="77777777" w:rsidR="00AF392E" w:rsidRDefault="00AF392E" w:rsidP="00ED5C57">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M:</w:t>
            </w:r>
          </w:p>
          <w:p w14:paraId="2DB6B25C" w14:textId="6E791017" w:rsidR="00AF392E" w:rsidRDefault="00AF392E" w:rsidP="00ED5C57">
            <w:pPr>
              <w:rPr>
                <w:color w:val="000000" w:themeColor="text1"/>
              </w:rPr>
            </w:pPr>
            <w:r>
              <w:rPr>
                <w:color w:val="000000" w:themeColor="text1"/>
              </w:rPr>
              <w:t>1.105%-0.634% = +0.471%</w:t>
            </w:r>
          </w:p>
          <w:p w14:paraId="54E54731" w14:textId="3E9D56CF" w:rsidR="00AF392E" w:rsidRDefault="00AF392E" w:rsidP="00ED5C57">
            <w:pPr>
              <w:rPr>
                <w:color w:val="000000" w:themeColor="text1"/>
              </w:rPr>
            </w:pPr>
            <w:r>
              <w:rPr>
                <w:color w:val="000000" w:themeColor="text1"/>
              </w:rPr>
              <w:lastRenderedPageBreak/>
              <w:t>OR 74.3% increase</w:t>
            </w:r>
          </w:p>
          <w:p w14:paraId="7AE8FF7C" w14:textId="77777777" w:rsidR="00AF392E" w:rsidRDefault="00AF392E" w:rsidP="00ED5C57">
            <w:pPr>
              <w:rPr>
                <w:color w:val="000000" w:themeColor="text1"/>
              </w:rPr>
            </w:pPr>
          </w:p>
          <w:p w14:paraId="6A2F18FF" w14:textId="77777777" w:rsidR="00AF392E" w:rsidRDefault="00AF392E" w:rsidP="00ED5C57">
            <w:pPr>
              <w:rPr>
                <w:rStyle w:val="normaltextrun"/>
                <w:rFonts w:ascii="Calibri" w:hAnsi="Calibri" w:cs="Calibri"/>
              </w:rPr>
            </w:pPr>
            <w:r w:rsidRPr="5606A867">
              <w:rPr>
                <w:rStyle w:val="normaltextrun"/>
                <w:rFonts w:ascii="Calibri" w:hAnsi="Calibri" w:cs="Calibri"/>
              </w:rPr>
              <w:t xml:space="preserve">Base case value: </w:t>
            </w:r>
          </w:p>
          <w:p w14:paraId="1633DF98" w14:textId="78716D32" w:rsidR="00AF392E" w:rsidRDefault="00AF392E" w:rsidP="5606A867">
            <w:pPr>
              <w:rPr>
                <w:rFonts w:ascii="Calibri" w:hAnsi="Calibri" w:cs="Calibri"/>
              </w:rPr>
            </w:pPr>
            <w:r w:rsidRPr="5606A867">
              <w:rPr>
                <w:rFonts w:ascii="Calibri" w:hAnsi="Calibri" w:cs="Calibri"/>
              </w:rPr>
              <w:t xml:space="preserve">2.25% (2.08%-2.43%)  </w:t>
            </w:r>
          </w:p>
          <w:p w14:paraId="6A17B57B" w14:textId="77777777" w:rsidR="00AF392E" w:rsidRDefault="00AF392E" w:rsidP="00ED5C57">
            <w:pPr>
              <w:rPr>
                <w:color w:val="000000" w:themeColor="text1"/>
              </w:rPr>
            </w:pPr>
          </w:p>
          <w:p w14:paraId="2A9A3283" w14:textId="77777777" w:rsidR="00AF392E" w:rsidRDefault="00AF392E" w:rsidP="00ED5C57">
            <w:pPr>
              <w:rPr>
                <w:color w:val="000000" w:themeColor="text1"/>
              </w:rPr>
            </w:pPr>
            <w:r w:rsidRPr="5606A867">
              <w:rPr>
                <w:color w:val="000000" w:themeColor="text1"/>
              </w:rPr>
              <w:t>Male subgroup value:</w:t>
            </w:r>
          </w:p>
          <w:p w14:paraId="30217A22" w14:textId="77777777" w:rsidR="00AF392E" w:rsidRDefault="00AF392E" w:rsidP="00ED5C57">
            <w:pPr>
              <w:rPr>
                <w:color w:val="000000" w:themeColor="text1"/>
              </w:rPr>
            </w:pPr>
            <w:r>
              <w:rPr>
                <w:color w:val="000000" w:themeColor="text1"/>
              </w:rPr>
              <w:t xml:space="preserve">Add % </w:t>
            </w:r>
            <w:proofErr w:type="spellStart"/>
            <w:r>
              <w:rPr>
                <w:color w:val="000000" w:themeColor="text1"/>
              </w:rPr>
              <w:t>inc</w:t>
            </w:r>
            <w:proofErr w:type="spellEnd"/>
            <w:r>
              <w:rPr>
                <w:color w:val="000000" w:themeColor="text1"/>
              </w:rPr>
              <w:t>:</w:t>
            </w:r>
          </w:p>
          <w:p w14:paraId="2BA6D72C" w14:textId="3E56D95A" w:rsidR="00AF392E" w:rsidRDefault="00AF392E" w:rsidP="00ED5C57">
            <w:r w:rsidRPr="5606A867">
              <w:rPr>
                <w:color w:val="000000" w:themeColor="text1"/>
                <w:highlight w:val="yellow"/>
              </w:rPr>
              <w:t>3.92% (3.63%-4.24%)</w:t>
            </w:r>
          </w:p>
        </w:tc>
        <w:tc>
          <w:tcPr>
            <w:tcW w:w="1946" w:type="dxa"/>
          </w:tcPr>
          <w:p w14:paraId="498E4307" w14:textId="13B897DE" w:rsidR="00AF392E" w:rsidRDefault="00AF392E" w:rsidP="00B8127A">
            <w:hyperlink r:id="rId60" w:anchor="S20" w:history="1">
              <w:r>
                <w:rPr>
                  <w:rStyle w:val="Hyperlink"/>
                </w:rPr>
                <w:t>Kanwal 2018</w:t>
              </w:r>
            </w:hyperlink>
            <w:r>
              <w:t xml:space="preserve"> (supp table 1)</w:t>
            </w:r>
          </w:p>
          <w:p w14:paraId="4CBB0F82" w14:textId="5B938FDF" w:rsidR="00AF392E" w:rsidRDefault="00AF392E" w:rsidP="00B8127A">
            <w:r>
              <w:t xml:space="preserve">(VA </w:t>
            </w:r>
            <w:proofErr w:type="spellStart"/>
            <w:r>
              <w:t>mpopulation</w:t>
            </w:r>
            <w:proofErr w:type="spellEnd"/>
            <w:r>
              <w:t>)</w:t>
            </w:r>
          </w:p>
        </w:tc>
      </w:tr>
      <w:tr w:rsidR="00AF392E" w14:paraId="2DCD6AB5" w14:textId="77777777" w:rsidTr="00AF392E">
        <w:trPr>
          <w:trHeight w:val="514"/>
        </w:trPr>
        <w:tc>
          <w:tcPr>
            <w:tcW w:w="1790" w:type="dxa"/>
          </w:tcPr>
          <w:p w14:paraId="76A5D038" w14:textId="4643A83F" w:rsidR="00AF392E" w:rsidRDefault="00AF392E" w:rsidP="00B8127A">
            <w:pPr>
              <w:jc w:val="right"/>
            </w:pPr>
            <w:r>
              <w:t>Female</w:t>
            </w:r>
          </w:p>
        </w:tc>
        <w:tc>
          <w:tcPr>
            <w:tcW w:w="2284" w:type="dxa"/>
          </w:tcPr>
          <w:p w14:paraId="5231DE97" w14:textId="2138E135" w:rsidR="00AF392E" w:rsidRDefault="00AF392E" w:rsidP="00B8127A">
            <w:r>
              <w:t>1.62 (0.20-5.85)/1000 PYs</w:t>
            </w:r>
          </w:p>
        </w:tc>
        <w:tc>
          <w:tcPr>
            <w:tcW w:w="3160" w:type="dxa"/>
            <w:shd w:val="clear" w:color="auto" w:fill="auto"/>
          </w:tcPr>
          <w:p w14:paraId="2D694719" w14:textId="7DD7A132" w:rsidR="00AF392E" w:rsidRPr="007C3489" w:rsidRDefault="00AF392E" w:rsidP="00B8127A">
            <w:pPr>
              <w:shd w:val="clear" w:color="auto" w:fill="D0CECE" w:themeFill="background2" w:themeFillShade="E6"/>
            </w:pPr>
          </w:p>
        </w:tc>
        <w:tc>
          <w:tcPr>
            <w:tcW w:w="1946" w:type="dxa"/>
          </w:tcPr>
          <w:p w14:paraId="42F19BBC" w14:textId="3A997D50" w:rsidR="00AF392E" w:rsidRDefault="00AF392E" w:rsidP="00B8127A">
            <w:hyperlink r:id="rId61" w:anchor="S20" w:history="1">
              <w:r>
                <w:rPr>
                  <w:rStyle w:val="Hyperlink"/>
                </w:rPr>
                <w:t>Kanwal 2018</w:t>
              </w:r>
            </w:hyperlink>
            <w:r>
              <w:t xml:space="preserve"> (supp table 1)</w:t>
            </w:r>
          </w:p>
          <w:p w14:paraId="3A7B7893" w14:textId="49F041A7" w:rsidR="00AF392E" w:rsidRDefault="00AF392E" w:rsidP="00B8127A">
            <w:r>
              <w:t>(VA population)</w:t>
            </w:r>
          </w:p>
        </w:tc>
      </w:tr>
      <w:tr w:rsidR="00AF392E" w14:paraId="170F1B72" w14:textId="77777777" w:rsidTr="00AF392E">
        <w:trPr>
          <w:trHeight w:val="527"/>
        </w:trPr>
        <w:tc>
          <w:tcPr>
            <w:tcW w:w="1790" w:type="dxa"/>
          </w:tcPr>
          <w:p w14:paraId="38CBBA5C" w14:textId="3C5731F8" w:rsidR="00AF392E" w:rsidRDefault="00AF392E" w:rsidP="00B8127A">
            <w:pPr>
              <w:rPr>
                <w:b/>
                <w:bCs/>
              </w:rPr>
            </w:pPr>
            <w:r>
              <w:t>Non-cirrhotic MASLD to cirrhosis</w:t>
            </w:r>
          </w:p>
        </w:tc>
        <w:tc>
          <w:tcPr>
            <w:tcW w:w="2284" w:type="dxa"/>
          </w:tcPr>
          <w:p w14:paraId="4C76A4CF" w14:textId="77777777" w:rsidR="00AF392E" w:rsidRDefault="00AF392E" w:rsidP="00B8127A">
            <w:pPr>
              <w:rPr>
                <w:b/>
                <w:bCs/>
              </w:rPr>
            </w:pPr>
          </w:p>
        </w:tc>
        <w:tc>
          <w:tcPr>
            <w:tcW w:w="3160" w:type="dxa"/>
          </w:tcPr>
          <w:p w14:paraId="3C65F9C0" w14:textId="77777777" w:rsidR="00AF392E" w:rsidRDefault="00AF392E" w:rsidP="00B8127A">
            <w:pPr>
              <w:rPr>
                <w:b/>
                <w:bCs/>
              </w:rPr>
            </w:pPr>
          </w:p>
        </w:tc>
        <w:tc>
          <w:tcPr>
            <w:tcW w:w="1946" w:type="dxa"/>
          </w:tcPr>
          <w:p w14:paraId="2E769A6D" w14:textId="3AD9462D" w:rsidR="00AF392E" w:rsidRDefault="00AF392E" w:rsidP="00B8127A">
            <w:pPr>
              <w:rPr>
                <w:b/>
                <w:bCs/>
              </w:rPr>
            </w:pPr>
          </w:p>
        </w:tc>
      </w:tr>
      <w:tr w:rsidR="00AF392E" w14:paraId="0CB97083" w14:textId="77777777" w:rsidTr="00AF392E">
        <w:trPr>
          <w:trHeight w:val="527"/>
        </w:trPr>
        <w:tc>
          <w:tcPr>
            <w:tcW w:w="1790" w:type="dxa"/>
          </w:tcPr>
          <w:p w14:paraId="70A3ADC3" w14:textId="35F96C3A" w:rsidR="00AF392E" w:rsidRDefault="00AF392E" w:rsidP="00004908">
            <w:pPr>
              <w:jc w:val="right"/>
            </w:pPr>
            <w:r>
              <w:t>Male</w:t>
            </w:r>
          </w:p>
        </w:tc>
        <w:tc>
          <w:tcPr>
            <w:tcW w:w="2284" w:type="dxa"/>
          </w:tcPr>
          <w:p w14:paraId="3FA500A0" w14:textId="77777777" w:rsidR="00AF392E" w:rsidRDefault="00AF392E" w:rsidP="00004908">
            <w:r>
              <w:t>10-year incidence of 3.78% (</w:t>
            </w:r>
            <w:r w:rsidRPr="00B57149">
              <w:t>3.74-3.82</w:t>
            </w:r>
            <w:r>
              <w:t>)</w:t>
            </w:r>
          </w:p>
          <w:p w14:paraId="524DF9FD" w14:textId="379A7115" w:rsidR="00AF392E" w:rsidRPr="00043C03" w:rsidRDefault="00AF392E" w:rsidP="00004908">
            <w:r w:rsidRPr="004C4E8B">
              <w:rPr>
                <w:rFonts w:ascii="Wingdings" w:eastAsia="Wingdings" w:hAnsi="Wingdings" w:cs="Wingdings"/>
              </w:rPr>
              <w:t>à</w:t>
            </w:r>
            <w:r>
              <w:t>0.385%</w:t>
            </w:r>
          </w:p>
        </w:tc>
        <w:tc>
          <w:tcPr>
            <w:tcW w:w="3160" w:type="dxa"/>
          </w:tcPr>
          <w:p w14:paraId="7986E0A6" w14:textId="77777777" w:rsidR="00AF392E" w:rsidRDefault="00AF392E" w:rsidP="00004908">
            <w:pPr>
              <w:rPr>
                <w:color w:val="000000" w:themeColor="text1"/>
              </w:rPr>
            </w:pPr>
            <w:r>
              <w:rPr>
                <w:color w:val="000000" w:themeColor="text1"/>
              </w:rPr>
              <w:t>New “overall” in a 50/50 M/F cohort:</w:t>
            </w:r>
          </w:p>
          <w:p w14:paraId="46652F20" w14:textId="77777777" w:rsidR="00AF392E" w:rsidRDefault="00AF392E" w:rsidP="00004908">
            <w:pPr>
              <w:rPr>
                <w:color w:val="000000" w:themeColor="text1"/>
              </w:rPr>
            </w:pPr>
          </w:p>
          <w:p w14:paraId="32CDAAFA" w14:textId="12CFA5E8" w:rsidR="00AF392E" w:rsidRDefault="00AF392E" w:rsidP="00004908">
            <w:pPr>
              <w:rPr>
                <w:color w:val="000000" w:themeColor="text1"/>
              </w:rPr>
            </w:pPr>
            <w:r>
              <w:t>0.385</w:t>
            </w:r>
            <w:proofErr w:type="gramStart"/>
            <w:r>
              <w:rPr>
                <w:color w:val="000000" w:themeColor="text1"/>
              </w:rPr>
              <w:t>%(</w:t>
            </w:r>
            <w:proofErr w:type="gramEnd"/>
            <w:r>
              <w:rPr>
                <w:color w:val="000000" w:themeColor="text1"/>
              </w:rPr>
              <w:t xml:space="preserve">0.50) + </w:t>
            </w:r>
            <w:r>
              <w:t>0.241</w:t>
            </w:r>
            <w:r>
              <w:rPr>
                <w:color w:val="000000" w:themeColor="text1"/>
              </w:rPr>
              <w:t>%(0.50) = 0.313%</w:t>
            </w:r>
          </w:p>
          <w:p w14:paraId="1725162F" w14:textId="77777777" w:rsidR="00AF392E" w:rsidRDefault="00AF392E" w:rsidP="00004908">
            <w:pPr>
              <w:rPr>
                <w:color w:val="000000" w:themeColor="text1"/>
              </w:rPr>
            </w:pPr>
          </w:p>
          <w:p w14:paraId="04D0C8FE" w14:textId="77777777" w:rsidR="00AF392E" w:rsidRDefault="00AF392E" w:rsidP="00004908">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M:</w:t>
            </w:r>
          </w:p>
          <w:p w14:paraId="58BB696D" w14:textId="194BD255" w:rsidR="00AF392E" w:rsidRDefault="00AF392E" w:rsidP="00004908">
            <w:pPr>
              <w:rPr>
                <w:color w:val="000000" w:themeColor="text1"/>
              </w:rPr>
            </w:pPr>
            <w:r>
              <w:rPr>
                <w:color w:val="000000" w:themeColor="text1"/>
              </w:rPr>
              <w:t>0.385%-0.313% = +0.072%</w:t>
            </w:r>
          </w:p>
          <w:p w14:paraId="28C85A6F" w14:textId="7EB489E1" w:rsidR="00AF392E" w:rsidRDefault="00AF392E" w:rsidP="00004908">
            <w:pPr>
              <w:rPr>
                <w:color w:val="000000" w:themeColor="text1"/>
              </w:rPr>
            </w:pPr>
            <w:r>
              <w:rPr>
                <w:color w:val="000000" w:themeColor="text1"/>
              </w:rPr>
              <w:t>OR 23.0% increase</w:t>
            </w:r>
          </w:p>
          <w:p w14:paraId="29421404" w14:textId="77777777" w:rsidR="00AF392E" w:rsidRDefault="00AF392E" w:rsidP="00004908">
            <w:pPr>
              <w:rPr>
                <w:color w:val="000000" w:themeColor="text1"/>
              </w:rPr>
            </w:pPr>
          </w:p>
          <w:p w14:paraId="6706A010" w14:textId="77777777" w:rsidR="00AF392E" w:rsidRDefault="00AF392E" w:rsidP="00004908">
            <w:pPr>
              <w:rPr>
                <w:rStyle w:val="normaltextrun"/>
                <w:rFonts w:ascii="Calibri" w:hAnsi="Calibri" w:cs="Calibri"/>
              </w:rPr>
            </w:pPr>
            <w:r w:rsidRPr="5606A867">
              <w:rPr>
                <w:rStyle w:val="normaltextrun"/>
                <w:rFonts w:ascii="Calibri" w:hAnsi="Calibri" w:cs="Calibri"/>
              </w:rPr>
              <w:t xml:space="preserve">Base case value: </w:t>
            </w:r>
          </w:p>
          <w:p w14:paraId="7E5858C8" w14:textId="408D497E" w:rsidR="00AF392E" w:rsidRDefault="00AF392E" w:rsidP="5606A867">
            <w:pPr>
              <w:rPr>
                <w:rFonts w:ascii="Calibri" w:hAnsi="Calibri" w:cs="Calibri"/>
              </w:rPr>
            </w:pPr>
            <w:r w:rsidRPr="5606A867">
              <w:rPr>
                <w:rStyle w:val="normaltextrun"/>
                <w:rFonts w:ascii="Calibri" w:hAnsi="Calibri" w:cs="Calibri"/>
              </w:rPr>
              <w:t xml:space="preserve">1.085% (0.665%-1.506%)  </w:t>
            </w:r>
          </w:p>
          <w:p w14:paraId="5E1D9BA7" w14:textId="77777777" w:rsidR="00AF392E" w:rsidRDefault="00AF392E" w:rsidP="00004908">
            <w:pPr>
              <w:rPr>
                <w:color w:val="000000" w:themeColor="text1"/>
              </w:rPr>
            </w:pPr>
          </w:p>
          <w:p w14:paraId="2153B472" w14:textId="600FFFFC" w:rsidR="00AF392E" w:rsidRDefault="00AF392E" w:rsidP="00004908">
            <w:pPr>
              <w:rPr>
                <w:color w:val="000000" w:themeColor="text1"/>
              </w:rPr>
            </w:pPr>
            <w:r w:rsidRPr="5606A867">
              <w:rPr>
                <w:color w:val="000000" w:themeColor="text1"/>
              </w:rPr>
              <w:t>Male subgroup value:</w:t>
            </w:r>
          </w:p>
          <w:p w14:paraId="233E2EB1" w14:textId="77777777" w:rsidR="00AF392E" w:rsidRDefault="00AF392E" w:rsidP="00004908">
            <w:pPr>
              <w:rPr>
                <w:color w:val="000000" w:themeColor="text1"/>
              </w:rPr>
            </w:pPr>
            <w:r>
              <w:rPr>
                <w:color w:val="000000" w:themeColor="text1"/>
              </w:rPr>
              <w:t xml:space="preserve">Add % </w:t>
            </w:r>
            <w:proofErr w:type="spellStart"/>
            <w:r>
              <w:rPr>
                <w:color w:val="000000" w:themeColor="text1"/>
              </w:rPr>
              <w:t>inc</w:t>
            </w:r>
            <w:proofErr w:type="spellEnd"/>
            <w:r>
              <w:rPr>
                <w:color w:val="000000" w:themeColor="text1"/>
              </w:rPr>
              <w:t>:</w:t>
            </w:r>
          </w:p>
          <w:p w14:paraId="20A82EB7" w14:textId="14786027" w:rsidR="00AF392E" w:rsidRDefault="00AF392E" w:rsidP="00004908">
            <w:r w:rsidRPr="5606A867">
              <w:rPr>
                <w:color w:val="000000" w:themeColor="text1"/>
                <w:highlight w:val="yellow"/>
              </w:rPr>
              <w:t>1.33% (0.818%- 1.85%)</w:t>
            </w:r>
          </w:p>
        </w:tc>
        <w:tc>
          <w:tcPr>
            <w:tcW w:w="1946" w:type="dxa"/>
          </w:tcPr>
          <w:p w14:paraId="7F62CF58" w14:textId="2F2B0694" w:rsidR="00AF392E" w:rsidRDefault="00AF392E" w:rsidP="00004908">
            <w:pPr>
              <w:rPr>
                <w:b/>
                <w:bCs/>
              </w:rPr>
            </w:pPr>
            <w:hyperlink r:id="rId62" w:history="1">
              <w:r>
                <w:rPr>
                  <w:rStyle w:val="Hyperlink"/>
                </w:rPr>
                <w:t>Yeoh 2024</w:t>
              </w:r>
            </w:hyperlink>
            <w:r>
              <w:t xml:space="preserve"> (VA)</w:t>
            </w:r>
          </w:p>
        </w:tc>
      </w:tr>
      <w:tr w:rsidR="00AF392E" w14:paraId="0BEC6036" w14:textId="77777777" w:rsidTr="00AF392E">
        <w:trPr>
          <w:trHeight w:val="527"/>
        </w:trPr>
        <w:tc>
          <w:tcPr>
            <w:tcW w:w="1790" w:type="dxa"/>
          </w:tcPr>
          <w:p w14:paraId="2135C0AD" w14:textId="3CB9C543" w:rsidR="00AF392E" w:rsidRDefault="00AF392E" w:rsidP="00004908">
            <w:pPr>
              <w:jc w:val="right"/>
            </w:pPr>
            <w:r>
              <w:t>Female</w:t>
            </w:r>
          </w:p>
        </w:tc>
        <w:tc>
          <w:tcPr>
            <w:tcW w:w="2284" w:type="dxa"/>
          </w:tcPr>
          <w:p w14:paraId="488456CA" w14:textId="77777777" w:rsidR="00AF392E" w:rsidRDefault="00AF392E" w:rsidP="00004908">
            <w:pPr>
              <w:rPr>
                <w:rFonts w:ascii="Fira Sans" w:hAnsi="Fira Sans"/>
                <w:color w:val="232323"/>
                <w:sz w:val="21"/>
                <w:szCs w:val="21"/>
                <w:shd w:val="clear" w:color="auto" w:fill="FFFFFF"/>
              </w:rPr>
            </w:pPr>
            <w:r>
              <w:t>10-year incidence of 2.38% (</w:t>
            </w:r>
            <w:r>
              <w:rPr>
                <w:rFonts w:ascii="Fira Sans" w:hAnsi="Fira Sans"/>
                <w:color w:val="232323"/>
                <w:sz w:val="21"/>
                <w:szCs w:val="21"/>
                <w:shd w:val="clear" w:color="auto" w:fill="FFFFFF"/>
              </w:rPr>
              <w:t>2.25-2.51)</w:t>
            </w:r>
          </w:p>
          <w:p w14:paraId="262D7036" w14:textId="4AED7C63" w:rsidR="00AF392E" w:rsidRPr="00043C03" w:rsidRDefault="00AF392E" w:rsidP="00004908">
            <w:r w:rsidRPr="004C4E8B">
              <w:rPr>
                <w:rFonts w:ascii="Wingdings" w:eastAsia="Wingdings" w:hAnsi="Wingdings" w:cs="Wingdings"/>
                <w:color w:val="232323"/>
                <w:sz w:val="21"/>
                <w:szCs w:val="21"/>
                <w:shd w:val="clear" w:color="auto" w:fill="FFFFFF"/>
              </w:rPr>
              <w:t>à</w:t>
            </w:r>
            <w:r>
              <w:rPr>
                <w:rFonts w:ascii="Fira Sans" w:hAnsi="Fira Sans"/>
                <w:color w:val="232323"/>
                <w:sz w:val="21"/>
                <w:szCs w:val="21"/>
                <w:shd w:val="clear" w:color="auto" w:fill="FFFFFF"/>
              </w:rPr>
              <w:t xml:space="preserve"> 0.241%</w:t>
            </w:r>
          </w:p>
        </w:tc>
        <w:tc>
          <w:tcPr>
            <w:tcW w:w="3160" w:type="dxa"/>
            <w:shd w:val="clear" w:color="auto" w:fill="auto"/>
          </w:tcPr>
          <w:p w14:paraId="0DD104A3" w14:textId="61201471" w:rsidR="00AF392E" w:rsidRDefault="00AF392E" w:rsidP="00004908"/>
        </w:tc>
        <w:commentRangeStart w:id="15"/>
        <w:tc>
          <w:tcPr>
            <w:tcW w:w="1946" w:type="dxa"/>
          </w:tcPr>
          <w:p w14:paraId="1ECF25DD" w14:textId="6F14D8E0" w:rsidR="00AF392E" w:rsidRDefault="00AF392E" w:rsidP="00004908">
            <w:pPr>
              <w:rPr>
                <w:b/>
                <w:bCs/>
              </w:rPr>
            </w:pPr>
            <w:r>
              <w:fldChar w:fldCharType="begin"/>
            </w:r>
            <w:r>
              <w:instrText>HYPERLINK "https://journals.lww.com/jcge/fulltext/2024/08000/incidence_of_cirrhosis_and_hepatocellular.13.aspx"</w:instrText>
            </w:r>
            <w:r>
              <w:fldChar w:fldCharType="separate"/>
            </w:r>
            <w:r>
              <w:rPr>
                <w:rStyle w:val="Hyperlink"/>
              </w:rPr>
              <w:t>Yeoh 2024</w:t>
            </w:r>
            <w:r>
              <w:fldChar w:fldCharType="end"/>
            </w:r>
            <w:r>
              <w:t xml:space="preserve"> (VA)</w:t>
            </w:r>
            <w:commentRangeEnd w:id="15"/>
            <w:r>
              <w:rPr>
                <w:rStyle w:val="CommentReference"/>
                <w:rFonts w:eastAsiaTheme="minorHAnsi"/>
                <w:lang w:eastAsia="en-US"/>
              </w:rPr>
              <w:commentReference w:id="15"/>
            </w:r>
          </w:p>
        </w:tc>
      </w:tr>
      <w:tr w:rsidR="00AF392E" w14:paraId="6571064C" w14:textId="77777777" w:rsidTr="00AF392E">
        <w:trPr>
          <w:trHeight w:val="527"/>
        </w:trPr>
        <w:tc>
          <w:tcPr>
            <w:tcW w:w="1790" w:type="dxa"/>
          </w:tcPr>
          <w:p w14:paraId="4C393844" w14:textId="6F1ACFBA" w:rsidR="00AF392E" w:rsidRDefault="00AF392E" w:rsidP="00004908">
            <w:r>
              <w:t xml:space="preserve">Non-cirrhotic MASLD to death </w:t>
            </w:r>
          </w:p>
        </w:tc>
        <w:tc>
          <w:tcPr>
            <w:tcW w:w="2284" w:type="dxa"/>
          </w:tcPr>
          <w:p w14:paraId="0D823725" w14:textId="77777777" w:rsidR="00AF392E" w:rsidRDefault="00AF392E" w:rsidP="00004908">
            <w:r>
              <w:t>From actuarial life table</w:t>
            </w:r>
          </w:p>
          <w:p w14:paraId="7C1078BF" w14:textId="3B0A6773" w:rsidR="00AF392E" w:rsidRPr="004D61F2" w:rsidRDefault="00AF392E" w:rsidP="00004908">
            <w:pPr>
              <w:rPr>
                <w:b/>
                <w:bCs/>
                <w:color w:val="FF0000"/>
              </w:rPr>
            </w:pPr>
            <w:r>
              <w:rPr>
                <w:b/>
                <w:bCs/>
                <w:color w:val="FF0000"/>
              </w:rPr>
              <w:t xml:space="preserve">Make sure to change the death% used in </w:t>
            </w:r>
            <w:proofErr w:type="spellStart"/>
            <w:r>
              <w:rPr>
                <w:b/>
                <w:bCs/>
                <w:color w:val="FF0000"/>
              </w:rPr>
              <w:t>ActuarialTables</w:t>
            </w:r>
            <w:proofErr w:type="spellEnd"/>
            <w:r>
              <w:rPr>
                <w:b/>
                <w:bCs/>
                <w:color w:val="FF0000"/>
              </w:rPr>
              <w:t xml:space="preserve"> sheet</w:t>
            </w:r>
          </w:p>
        </w:tc>
        <w:tc>
          <w:tcPr>
            <w:tcW w:w="3160" w:type="dxa"/>
          </w:tcPr>
          <w:p w14:paraId="1E4EE92B" w14:textId="77777777" w:rsidR="00AF392E" w:rsidRDefault="00AF392E" w:rsidP="00004908"/>
        </w:tc>
        <w:tc>
          <w:tcPr>
            <w:tcW w:w="1946" w:type="dxa"/>
          </w:tcPr>
          <w:p w14:paraId="3FCAE2F1" w14:textId="26AB8D0D" w:rsidR="00AF392E" w:rsidRDefault="00AF392E" w:rsidP="00004908">
            <w:pPr>
              <w:rPr>
                <w:b/>
                <w:bCs/>
              </w:rPr>
            </w:pPr>
            <w:hyperlink r:id="rId63" w:history="1">
              <w:r>
                <w:rPr>
                  <w:rStyle w:val="Hyperlink"/>
                </w:rPr>
                <w:t>Actuarial Life Table</w:t>
              </w:r>
            </w:hyperlink>
          </w:p>
        </w:tc>
      </w:tr>
    </w:tbl>
    <w:p w14:paraId="23E29179" w14:textId="50C38C4E" w:rsidR="39501238" w:rsidRDefault="39501238"/>
    <w:p w14:paraId="2338F073" w14:textId="559FF4FC" w:rsidR="00B57149" w:rsidRDefault="00B57149" w:rsidP="3FD443D1">
      <w:pPr>
        <w:rPr>
          <w:b/>
          <w:bCs/>
        </w:rPr>
      </w:pPr>
    </w:p>
    <w:p w14:paraId="0D7E0F23" w14:textId="33EFF95A" w:rsidR="00B57149" w:rsidRDefault="00B57149">
      <w:pPr>
        <w:rPr>
          <w:b/>
          <w:bCs/>
        </w:rPr>
      </w:pPr>
      <w:r>
        <w:rPr>
          <w:b/>
          <w:bCs/>
        </w:rPr>
        <w:br w:type="page"/>
      </w:r>
    </w:p>
    <w:p w14:paraId="183DB163" w14:textId="468A7AF5" w:rsidR="00B57149" w:rsidRDefault="00B57149">
      <w:pPr>
        <w:rPr>
          <w:b/>
          <w:bCs/>
        </w:rPr>
      </w:pPr>
      <w:r>
        <w:rPr>
          <w:b/>
          <w:bCs/>
        </w:rPr>
        <w:lastRenderedPageBreak/>
        <w:t>2. By age &lt; or &gt;= 6</w:t>
      </w:r>
      <w:r w:rsidR="001275A3">
        <w:rPr>
          <w:b/>
          <w:bCs/>
        </w:rPr>
        <w:t>0~65</w:t>
      </w:r>
    </w:p>
    <w:p w14:paraId="1E96CA33" w14:textId="77777777" w:rsidR="00AC4849" w:rsidRDefault="00C673C2">
      <w:r>
        <w:t xml:space="preserve">Our base case </w:t>
      </w:r>
      <w:r w:rsidR="00AC4849">
        <w:t>cohort age distribution:</w:t>
      </w:r>
    </w:p>
    <w:p w14:paraId="499BDA87" w14:textId="22F7FC4D" w:rsidR="00C673C2" w:rsidRDefault="00C673C2">
      <w:r>
        <w:t xml:space="preserve"> </w:t>
      </w:r>
    </w:p>
    <w:p w14:paraId="68F1D00F" w14:textId="04A716CB" w:rsidR="00242F9E" w:rsidRDefault="00242F9E">
      <w:r>
        <w:t>Yeoh:</w:t>
      </w:r>
      <w:r w:rsidR="00AC4849">
        <w:t xml:space="preserve"> cutoff is at 60</w:t>
      </w:r>
    </w:p>
    <w:p w14:paraId="13513D19" w14:textId="77777777" w:rsidR="00751E49" w:rsidRDefault="00751E49" w:rsidP="00751E49">
      <w:r>
        <w:t>19% 18-39y/o</w:t>
      </w:r>
    </w:p>
    <w:p w14:paraId="2EA1AE24" w14:textId="77777777" w:rsidR="00751E49" w:rsidRDefault="00751E49" w:rsidP="00751E49">
      <w:r>
        <w:t>57% 40-59 y/o</w:t>
      </w:r>
    </w:p>
    <w:p w14:paraId="54CA9B99" w14:textId="7FB7AEBC" w:rsidR="00751E49" w:rsidRDefault="00751E49">
      <w:r>
        <w:t>24% 60+ y/o</w:t>
      </w:r>
    </w:p>
    <w:p w14:paraId="44B74DD2" w14:textId="77777777" w:rsidR="00242F9E" w:rsidRDefault="00242F9E"/>
    <w:p w14:paraId="75A3C52A" w14:textId="2B94725C" w:rsidR="001A343B" w:rsidRDefault="00242F9E">
      <w:r>
        <w:t xml:space="preserve">Kanwal: </w:t>
      </w:r>
      <w:r w:rsidR="00AC4849">
        <w:t>cutoff is at 65</w:t>
      </w:r>
    </w:p>
    <w:p w14:paraId="0DFBFB9E" w14:textId="4F4BBA00" w:rsidR="001A343B" w:rsidRDefault="001A343B">
      <w:r>
        <w:t>85.</w:t>
      </w:r>
      <w:r w:rsidR="00AC4849">
        <w:t>6</w:t>
      </w:r>
      <w:r>
        <w:t>% &lt;65</w:t>
      </w:r>
    </w:p>
    <w:p w14:paraId="423BD8ED" w14:textId="1249FB64" w:rsidR="001A343B" w:rsidRPr="00C673C2" w:rsidRDefault="001A343B">
      <w:r>
        <w:t>14.</w:t>
      </w:r>
      <w:r w:rsidR="00AC4849">
        <w:t>4</w:t>
      </w:r>
      <w:r>
        <w:t>% &gt;=65</w:t>
      </w:r>
    </w:p>
    <w:p w14:paraId="717CDE55" w14:textId="685574D5" w:rsidR="00F852D5" w:rsidRPr="00F852D5" w:rsidRDefault="00F852D5">
      <w:pPr>
        <w:rPr>
          <w:b/>
          <w:bCs/>
          <w:color w:val="FF0000"/>
        </w:rPr>
      </w:pPr>
      <w:r>
        <w:rPr>
          <w:b/>
          <w:bCs/>
          <w:color w:val="FF0000"/>
        </w:rPr>
        <w:t>Make sure to change age distribution in sheet</w:t>
      </w:r>
      <w:r w:rsidR="00B37152">
        <w:rPr>
          <w:b/>
          <w:bCs/>
          <w:color w:val="FF0000"/>
        </w:rPr>
        <w:t xml:space="preserve">. For </w:t>
      </w:r>
      <w:r w:rsidR="009D73E4">
        <w:rPr>
          <w:b/>
          <w:bCs/>
          <w:color w:val="FF0000"/>
        </w:rPr>
        <w:t>Actuarial Tables</w:t>
      </w:r>
      <w:r w:rsidR="00B37152">
        <w:rPr>
          <w:b/>
          <w:bCs/>
          <w:color w:val="FF0000"/>
        </w:rPr>
        <w:t xml:space="preserve">, </w:t>
      </w:r>
      <w:r w:rsidR="009D73E4">
        <w:rPr>
          <w:b/>
          <w:bCs/>
          <w:color w:val="FF0000"/>
        </w:rPr>
        <w:t>use probability for M+F</w:t>
      </w:r>
    </w:p>
    <w:tbl>
      <w:tblPr>
        <w:tblStyle w:val="TableGrid"/>
        <w:tblW w:w="9320" w:type="dxa"/>
        <w:tblInd w:w="0" w:type="dxa"/>
        <w:tblLook w:val="04A0" w:firstRow="1" w:lastRow="0" w:firstColumn="1" w:lastColumn="0" w:noHBand="0" w:noVBand="1"/>
      </w:tblPr>
      <w:tblGrid>
        <w:gridCol w:w="1994"/>
        <w:gridCol w:w="2157"/>
        <w:gridCol w:w="3035"/>
        <w:gridCol w:w="2134"/>
      </w:tblGrid>
      <w:tr w:rsidR="00AF392E" w14:paraId="6E606083" w14:textId="77777777" w:rsidTr="00AF392E">
        <w:trPr>
          <w:trHeight w:val="256"/>
        </w:trPr>
        <w:tc>
          <w:tcPr>
            <w:tcW w:w="1994" w:type="dxa"/>
          </w:tcPr>
          <w:p w14:paraId="19AF9A4C" w14:textId="77777777" w:rsidR="00AF392E" w:rsidRDefault="00AF392E" w:rsidP="00660D40">
            <w:pPr>
              <w:rPr>
                <w:b/>
                <w:bCs/>
              </w:rPr>
            </w:pPr>
          </w:p>
        </w:tc>
        <w:tc>
          <w:tcPr>
            <w:tcW w:w="2157" w:type="dxa"/>
          </w:tcPr>
          <w:p w14:paraId="00BF1F45" w14:textId="77777777" w:rsidR="00AF392E" w:rsidRDefault="00AF392E" w:rsidP="00660D40">
            <w:pPr>
              <w:tabs>
                <w:tab w:val="center" w:pos="1383"/>
              </w:tabs>
              <w:rPr>
                <w:b/>
                <w:bCs/>
              </w:rPr>
            </w:pPr>
            <w:r>
              <w:rPr>
                <w:b/>
                <w:bCs/>
              </w:rPr>
              <w:t>Original data from reference</w:t>
            </w:r>
            <w:r>
              <w:rPr>
                <w:b/>
                <w:bCs/>
              </w:rPr>
              <w:tab/>
            </w:r>
          </w:p>
        </w:tc>
        <w:tc>
          <w:tcPr>
            <w:tcW w:w="3035" w:type="dxa"/>
          </w:tcPr>
          <w:p w14:paraId="51204625" w14:textId="33446129" w:rsidR="00AF392E" w:rsidRDefault="00AF392E" w:rsidP="00660D40">
            <w:pPr>
              <w:rPr>
                <w:b/>
                <w:bCs/>
              </w:rPr>
            </w:pPr>
            <w:r>
              <w:rPr>
                <w:b/>
                <w:bCs/>
              </w:rPr>
              <w:t xml:space="preserve">New Value  </w:t>
            </w:r>
          </w:p>
        </w:tc>
        <w:tc>
          <w:tcPr>
            <w:tcW w:w="2134" w:type="dxa"/>
          </w:tcPr>
          <w:p w14:paraId="2C5C5CC9" w14:textId="6BEF29B7" w:rsidR="00AF392E" w:rsidRDefault="00AF392E" w:rsidP="00660D40">
            <w:pPr>
              <w:rPr>
                <w:b/>
                <w:bCs/>
              </w:rPr>
            </w:pPr>
            <w:r>
              <w:rPr>
                <w:b/>
                <w:bCs/>
              </w:rPr>
              <w:t>Reference</w:t>
            </w:r>
          </w:p>
        </w:tc>
      </w:tr>
      <w:tr w:rsidR="00AF392E" w14:paraId="5106EF52" w14:textId="77777777" w:rsidTr="00AF392E">
        <w:trPr>
          <w:trHeight w:val="256"/>
        </w:trPr>
        <w:tc>
          <w:tcPr>
            <w:tcW w:w="1994" w:type="dxa"/>
          </w:tcPr>
          <w:p w14:paraId="3DA9A251" w14:textId="5691D813" w:rsidR="00AF392E" w:rsidRPr="001D6049" w:rsidRDefault="00AF392E" w:rsidP="00660D40">
            <w:proofErr w:type="spellStart"/>
            <w:r>
              <w:t>Undiagnosis</w:t>
            </w:r>
            <w:proofErr w:type="spellEnd"/>
            <w:r>
              <w:t xml:space="preserve"> rate of cirrhosis </w:t>
            </w:r>
          </w:p>
        </w:tc>
        <w:tc>
          <w:tcPr>
            <w:tcW w:w="2157" w:type="dxa"/>
          </w:tcPr>
          <w:p w14:paraId="17BF6851" w14:textId="1980BA4A" w:rsidR="00AF392E" w:rsidRDefault="00AF392E" w:rsidP="00660D40">
            <w:pPr>
              <w:tabs>
                <w:tab w:val="center" w:pos="1383"/>
              </w:tabs>
            </w:pPr>
            <w:r>
              <w:t>&lt;65 y/o: 17.9%</w:t>
            </w:r>
          </w:p>
          <w:p w14:paraId="337FA912" w14:textId="317CB1D8" w:rsidR="00AF392E" w:rsidRDefault="00AF392E" w:rsidP="00660D40">
            <w:pPr>
              <w:tabs>
                <w:tab w:val="center" w:pos="1383"/>
              </w:tabs>
            </w:pPr>
            <w:r>
              <w:t>&gt;65 y/o: 40.3%</w:t>
            </w:r>
          </w:p>
          <w:p w14:paraId="2FC4D77E" w14:textId="02D7F272" w:rsidR="00AF392E" w:rsidRPr="001D6049" w:rsidRDefault="00AF392E" w:rsidP="00660D40">
            <w:pPr>
              <w:tabs>
                <w:tab w:val="center" w:pos="1383"/>
              </w:tabs>
            </w:pPr>
          </w:p>
        </w:tc>
        <w:tc>
          <w:tcPr>
            <w:tcW w:w="3035" w:type="dxa"/>
          </w:tcPr>
          <w:p w14:paraId="64DE02EF" w14:textId="26E40299" w:rsidR="00AF392E" w:rsidRDefault="00AF392E" w:rsidP="001D6049">
            <w:pPr>
              <w:rPr>
                <w:b/>
                <w:bCs/>
              </w:rPr>
            </w:pPr>
          </w:p>
        </w:tc>
        <w:tc>
          <w:tcPr>
            <w:tcW w:w="2134" w:type="dxa"/>
          </w:tcPr>
          <w:p w14:paraId="3423808A" w14:textId="1444809A" w:rsidR="00AF392E" w:rsidRDefault="00AF392E" w:rsidP="00660D40">
            <w:pPr>
              <w:rPr>
                <w:b/>
                <w:bCs/>
              </w:rPr>
            </w:pPr>
            <w:hyperlink r:id="rId64" w:history="1">
              <w:r w:rsidRPr="008C58C0">
                <w:rPr>
                  <w:rStyle w:val="Hyperlink"/>
                  <w:rFonts w:ascii="Calibri" w:eastAsia="Calibri" w:hAnsi="Calibri" w:cs="Calibri"/>
                </w:rPr>
                <w:t>Walker 2016</w:t>
              </w:r>
            </w:hyperlink>
          </w:p>
        </w:tc>
      </w:tr>
      <w:tr w:rsidR="00AF392E" w14:paraId="5C7A3466" w14:textId="77777777" w:rsidTr="00AF392E">
        <w:trPr>
          <w:trHeight w:val="527"/>
        </w:trPr>
        <w:tc>
          <w:tcPr>
            <w:tcW w:w="1994" w:type="dxa"/>
          </w:tcPr>
          <w:p w14:paraId="02636519" w14:textId="77777777" w:rsidR="00AF392E" w:rsidRPr="006206D6" w:rsidRDefault="00AF392E" w:rsidP="00660D40">
            <w:r>
              <w:t>Non-cirrhotic MASLD to HCC</w:t>
            </w:r>
          </w:p>
        </w:tc>
        <w:tc>
          <w:tcPr>
            <w:tcW w:w="2157" w:type="dxa"/>
          </w:tcPr>
          <w:p w14:paraId="3A2A2BF3" w14:textId="77777777" w:rsidR="00AF392E" w:rsidRDefault="00AF392E" w:rsidP="00660D40"/>
        </w:tc>
        <w:tc>
          <w:tcPr>
            <w:tcW w:w="3035" w:type="dxa"/>
          </w:tcPr>
          <w:p w14:paraId="6ABB0EFC" w14:textId="77777777" w:rsidR="00AF392E" w:rsidRPr="00C0327D" w:rsidRDefault="00AF392E" w:rsidP="00660D40"/>
        </w:tc>
        <w:tc>
          <w:tcPr>
            <w:tcW w:w="2134" w:type="dxa"/>
          </w:tcPr>
          <w:p w14:paraId="2EAA75E9" w14:textId="5E2FCC3C" w:rsidR="00AF392E" w:rsidRPr="00C0327D" w:rsidRDefault="00AF392E" w:rsidP="00660D40"/>
        </w:tc>
      </w:tr>
      <w:tr w:rsidR="00AF392E" w14:paraId="4BFFF10C" w14:textId="77777777" w:rsidTr="00AF392E">
        <w:trPr>
          <w:trHeight w:val="527"/>
        </w:trPr>
        <w:tc>
          <w:tcPr>
            <w:tcW w:w="1994" w:type="dxa"/>
          </w:tcPr>
          <w:p w14:paraId="57391534" w14:textId="5A64FDDB" w:rsidR="00AF392E" w:rsidRDefault="00AF392E" w:rsidP="00B8127A">
            <w:pPr>
              <w:jc w:val="right"/>
            </w:pPr>
            <w:r>
              <w:t>&lt;65</w:t>
            </w:r>
          </w:p>
        </w:tc>
        <w:tc>
          <w:tcPr>
            <w:tcW w:w="2157" w:type="dxa"/>
          </w:tcPr>
          <w:p w14:paraId="660D2D88" w14:textId="0E9DC1A8" w:rsidR="00AF392E" w:rsidRDefault="00AF392E" w:rsidP="00B8127A">
            <w:r>
              <w:t xml:space="preserve">a. 0.02(0.02-0.03)/1000 PYs for low FIB-4; </w:t>
            </w:r>
            <w:r w:rsidRPr="00EE0B56">
              <w:rPr>
                <w:rFonts w:ascii="Wingdings" w:eastAsia="Wingdings" w:hAnsi="Wingdings" w:cs="Wingdings"/>
              </w:rPr>
              <w:t>à</w:t>
            </w:r>
            <w:r>
              <w:t xml:space="preserve"> </w:t>
            </w:r>
            <w:r>
              <w:rPr>
                <w:b/>
                <w:bCs/>
              </w:rPr>
              <w:t xml:space="preserve">0.002% </w:t>
            </w:r>
            <w:r>
              <w:t xml:space="preserve"> </w:t>
            </w:r>
          </w:p>
          <w:p w14:paraId="22989CCA" w14:textId="5CA82B21" w:rsidR="00AF392E" w:rsidRDefault="00AF392E" w:rsidP="00B8127A">
            <w:pPr>
              <w:rPr>
                <w:b/>
                <w:bCs/>
              </w:rPr>
            </w:pPr>
            <w:r>
              <w:t xml:space="preserve">0.29 (0.20-0.40)/1000 PYs for high FIB-4 </w:t>
            </w:r>
            <w:r w:rsidRPr="00EE0B56">
              <w:rPr>
                <w:rFonts w:ascii="Wingdings" w:eastAsia="Wingdings" w:hAnsi="Wingdings" w:cs="Wingdings"/>
              </w:rPr>
              <w:t>à</w:t>
            </w:r>
            <w:r>
              <w:t xml:space="preserve"> </w:t>
            </w:r>
            <w:r>
              <w:rPr>
                <w:b/>
                <w:bCs/>
              </w:rPr>
              <w:t>0.029%</w:t>
            </w:r>
          </w:p>
          <w:p w14:paraId="161767CF" w14:textId="77777777" w:rsidR="00AF392E" w:rsidRDefault="00AF392E" w:rsidP="00B8127A"/>
          <w:p w14:paraId="52EF084D" w14:textId="4AB48FBB" w:rsidR="00AF392E" w:rsidRDefault="00AF392E" w:rsidP="00B8127A">
            <w:r>
              <w:t xml:space="preserve">b. For 18-39 y/o: 10-year incidence of 0.09% (0.06-0.11); </w:t>
            </w:r>
            <w:r w:rsidRPr="00EE0B56">
              <w:rPr>
                <w:rFonts w:ascii="Wingdings" w:eastAsia="Wingdings" w:hAnsi="Wingdings" w:cs="Wingdings"/>
              </w:rPr>
              <w:t>à</w:t>
            </w:r>
            <w:r>
              <w:t xml:space="preserve"> </w:t>
            </w:r>
            <w:r>
              <w:rPr>
                <w:b/>
                <w:bCs/>
              </w:rPr>
              <w:t>0.009%</w:t>
            </w:r>
          </w:p>
          <w:p w14:paraId="785C1CCC" w14:textId="57D28632" w:rsidR="00AF392E" w:rsidRDefault="00AF392E" w:rsidP="00B8127A">
            <w:r>
              <w:t>for 40-59 y/o: 0.62% (0.59-0.65)</w:t>
            </w:r>
            <w:r w:rsidRPr="00EE0B56">
              <w:t xml:space="preserve"> </w:t>
            </w:r>
            <w:r w:rsidRPr="00EE0B56">
              <w:rPr>
                <w:rFonts w:ascii="Wingdings" w:eastAsia="Wingdings" w:hAnsi="Wingdings" w:cs="Wingdings"/>
              </w:rPr>
              <w:t>à</w:t>
            </w:r>
            <w:r>
              <w:t xml:space="preserve"> </w:t>
            </w:r>
            <w:r>
              <w:rPr>
                <w:b/>
                <w:bCs/>
              </w:rPr>
              <w:t>0.062%</w:t>
            </w:r>
          </w:p>
        </w:tc>
        <w:tc>
          <w:tcPr>
            <w:tcW w:w="3035" w:type="dxa"/>
            <w:shd w:val="clear" w:color="auto" w:fill="auto"/>
          </w:tcPr>
          <w:p w14:paraId="674D4B52" w14:textId="77777777" w:rsidR="00AF392E" w:rsidRDefault="00AF392E" w:rsidP="00B8127A"/>
          <w:p w14:paraId="587F28F2" w14:textId="3F61E47F" w:rsidR="00AF392E" w:rsidRDefault="00AF392E" w:rsidP="00B8127A"/>
        </w:tc>
        <w:tc>
          <w:tcPr>
            <w:tcW w:w="2134" w:type="dxa"/>
          </w:tcPr>
          <w:p w14:paraId="6B78E1DA" w14:textId="253AB6AF" w:rsidR="00AF392E" w:rsidRDefault="00AF392E" w:rsidP="00B8127A">
            <w:r>
              <w:t xml:space="preserve">a. </w:t>
            </w:r>
            <w:hyperlink r:id="rId65" w:anchor="S20" w:history="1">
              <w:r>
                <w:rPr>
                  <w:rStyle w:val="Hyperlink"/>
                </w:rPr>
                <w:t>Kanwal 2018</w:t>
              </w:r>
            </w:hyperlink>
            <w:r>
              <w:t xml:space="preserve"> (supp table 2)</w:t>
            </w:r>
          </w:p>
          <w:p w14:paraId="177D4CC0" w14:textId="77777777" w:rsidR="00AF392E" w:rsidRDefault="00AF392E" w:rsidP="00B8127A">
            <w:r>
              <w:t>(VA population)</w:t>
            </w:r>
          </w:p>
          <w:p w14:paraId="3CF63299" w14:textId="158E39CD" w:rsidR="00AF392E" w:rsidRPr="00071614" w:rsidRDefault="00AF392E" w:rsidP="00B8127A">
            <w:pPr>
              <w:rPr>
                <w:strike/>
              </w:rPr>
            </w:pPr>
          </w:p>
        </w:tc>
      </w:tr>
      <w:tr w:rsidR="00AF392E" w14:paraId="0AC85809" w14:textId="77777777" w:rsidTr="00AF392E">
        <w:trPr>
          <w:trHeight w:val="514"/>
        </w:trPr>
        <w:tc>
          <w:tcPr>
            <w:tcW w:w="1994" w:type="dxa"/>
          </w:tcPr>
          <w:p w14:paraId="34CF2E8E" w14:textId="72D074CC" w:rsidR="00AF392E" w:rsidRDefault="00AF392E" w:rsidP="00B8127A">
            <w:pPr>
              <w:jc w:val="right"/>
            </w:pPr>
            <w:r>
              <w:rPr>
                <w:rFonts w:cstheme="minorHAnsi"/>
              </w:rPr>
              <w:t>≥</w:t>
            </w:r>
            <w:r>
              <w:t>65</w:t>
            </w:r>
          </w:p>
        </w:tc>
        <w:tc>
          <w:tcPr>
            <w:tcW w:w="2157" w:type="dxa"/>
          </w:tcPr>
          <w:p w14:paraId="166F9CE1" w14:textId="23F952B2" w:rsidR="00AF392E" w:rsidRDefault="00AF392E" w:rsidP="00AF392E">
            <w:r>
              <w:t>a</w:t>
            </w:r>
            <w:r w:rsidRPr="00AC4849">
              <w:rPr>
                <w:highlight w:val="yellow"/>
              </w:rPr>
              <w:t>. 0.14 (0.10-0.18)/1000 PYs for low FIB-4</w:t>
            </w:r>
            <w:r>
              <w:t xml:space="preserve"> </w:t>
            </w:r>
          </w:p>
          <w:p w14:paraId="08C6A707" w14:textId="0C4C18B6" w:rsidR="00AF392E" w:rsidRDefault="00AF392E" w:rsidP="00B8127A"/>
        </w:tc>
        <w:tc>
          <w:tcPr>
            <w:tcW w:w="3035" w:type="dxa"/>
          </w:tcPr>
          <w:p w14:paraId="62741A85" w14:textId="35B9395D" w:rsidR="00AF392E" w:rsidRPr="00AC4849" w:rsidRDefault="00AF392E" w:rsidP="00C673C2">
            <w:pPr>
              <w:rPr>
                <w:color w:val="000000" w:themeColor="text1"/>
              </w:rPr>
            </w:pPr>
            <w:commentRangeStart w:id="16"/>
            <w:commentRangeStart w:id="17"/>
            <w:r w:rsidRPr="00AC4849">
              <w:rPr>
                <w:color w:val="000000" w:themeColor="text1"/>
              </w:rPr>
              <w:t>New “overall”:</w:t>
            </w:r>
          </w:p>
          <w:p w14:paraId="0F9B341C" w14:textId="4EC43C0E" w:rsidR="00AF392E" w:rsidRPr="00AC4849" w:rsidRDefault="00AF392E" w:rsidP="00C673C2">
            <w:pPr>
              <w:rPr>
                <w:color w:val="000000" w:themeColor="text1"/>
              </w:rPr>
            </w:pPr>
            <w:r w:rsidRPr="00AC4849">
              <w:rPr>
                <w:color w:val="000000" w:themeColor="text1"/>
              </w:rPr>
              <w:t>0.</w:t>
            </w:r>
            <w:r>
              <w:rPr>
                <w:color w:val="000000" w:themeColor="text1"/>
              </w:rPr>
              <w:t>002</w:t>
            </w:r>
            <w:proofErr w:type="gramStart"/>
            <w:r w:rsidRPr="00AC4849">
              <w:rPr>
                <w:color w:val="000000" w:themeColor="text1"/>
              </w:rPr>
              <w:t>%(</w:t>
            </w:r>
            <w:proofErr w:type="gramEnd"/>
            <w:r w:rsidRPr="00AC4849">
              <w:rPr>
                <w:color w:val="000000" w:themeColor="text1"/>
              </w:rPr>
              <w:t>0.</w:t>
            </w:r>
            <w:r>
              <w:rPr>
                <w:color w:val="000000" w:themeColor="text1"/>
              </w:rPr>
              <w:t>856</w:t>
            </w:r>
            <w:r w:rsidRPr="00AC4849">
              <w:rPr>
                <w:color w:val="000000" w:themeColor="text1"/>
              </w:rPr>
              <w:t>)+</w:t>
            </w:r>
          </w:p>
          <w:p w14:paraId="4302625E" w14:textId="00B0E826" w:rsidR="00AF392E" w:rsidRPr="00AC4849" w:rsidRDefault="00AF392E" w:rsidP="00C673C2">
            <w:pPr>
              <w:rPr>
                <w:color w:val="000000" w:themeColor="text1"/>
              </w:rPr>
            </w:pPr>
            <w:r w:rsidRPr="00AC4849">
              <w:rPr>
                <w:color w:val="000000" w:themeColor="text1"/>
              </w:rPr>
              <w:t>0.</w:t>
            </w:r>
            <w:r>
              <w:rPr>
                <w:color w:val="000000" w:themeColor="text1"/>
              </w:rPr>
              <w:t>014</w:t>
            </w:r>
            <w:proofErr w:type="gramStart"/>
            <w:r w:rsidRPr="00AC4849">
              <w:rPr>
                <w:color w:val="000000" w:themeColor="text1"/>
              </w:rPr>
              <w:t>%(</w:t>
            </w:r>
            <w:proofErr w:type="gramEnd"/>
            <w:r w:rsidRPr="00AC4849">
              <w:rPr>
                <w:color w:val="000000" w:themeColor="text1"/>
              </w:rPr>
              <w:t>0.</w:t>
            </w:r>
            <w:r>
              <w:rPr>
                <w:color w:val="000000" w:themeColor="text1"/>
              </w:rPr>
              <w:t>144</w:t>
            </w:r>
            <w:r w:rsidRPr="00AC4849">
              <w:rPr>
                <w:color w:val="000000" w:themeColor="text1"/>
              </w:rPr>
              <w:t>)=</w:t>
            </w:r>
          </w:p>
          <w:p w14:paraId="78F759A9" w14:textId="21975BE6" w:rsidR="00AF392E" w:rsidRDefault="00AF392E" w:rsidP="00C673C2">
            <w:pPr>
              <w:rPr>
                <w:color w:val="000000" w:themeColor="text1"/>
              </w:rPr>
            </w:pPr>
            <w:r w:rsidRPr="00AC4849">
              <w:rPr>
                <w:color w:val="000000" w:themeColor="text1"/>
              </w:rPr>
              <w:t>0.</w:t>
            </w:r>
            <w:r>
              <w:rPr>
                <w:color w:val="000000" w:themeColor="text1"/>
              </w:rPr>
              <w:t>0037</w:t>
            </w:r>
            <w:r w:rsidRPr="00AC4849">
              <w:rPr>
                <w:color w:val="000000" w:themeColor="text1"/>
              </w:rPr>
              <w:t>%</w:t>
            </w:r>
          </w:p>
          <w:p w14:paraId="13CEADCF" w14:textId="77777777" w:rsidR="00AF392E" w:rsidRPr="00AC4849" w:rsidRDefault="00AF392E" w:rsidP="00C673C2">
            <w:pPr>
              <w:rPr>
                <w:color w:val="000000" w:themeColor="text1"/>
              </w:rPr>
            </w:pPr>
          </w:p>
          <w:p w14:paraId="10A554AC" w14:textId="2EBA58B2" w:rsidR="00AF392E" w:rsidRPr="00AC4849" w:rsidRDefault="00AF392E" w:rsidP="00C673C2">
            <w:pPr>
              <w:rPr>
                <w:color w:val="000000" w:themeColor="text1"/>
              </w:rPr>
            </w:pPr>
            <w:r w:rsidRPr="00AC4849">
              <w:rPr>
                <w:color w:val="000000" w:themeColor="text1"/>
              </w:rPr>
              <w:t xml:space="preserve">Increment </w:t>
            </w:r>
            <w:proofErr w:type="spellStart"/>
            <w:r w:rsidRPr="00AC4849">
              <w:rPr>
                <w:color w:val="000000" w:themeColor="text1"/>
              </w:rPr>
              <w:t>inc</w:t>
            </w:r>
            <w:proofErr w:type="spellEnd"/>
            <w:r w:rsidRPr="00AC4849">
              <w:rPr>
                <w:color w:val="000000" w:themeColor="text1"/>
              </w:rPr>
              <w:t xml:space="preserve"> for older pts:</w:t>
            </w:r>
          </w:p>
          <w:p w14:paraId="31ADF5CB" w14:textId="0C1E0554" w:rsidR="00AF392E" w:rsidRPr="00AC4849" w:rsidRDefault="00AF392E" w:rsidP="00C673C2">
            <w:pPr>
              <w:rPr>
                <w:color w:val="000000" w:themeColor="text1"/>
              </w:rPr>
            </w:pPr>
            <w:r w:rsidRPr="00AC4849">
              <w:rPr>
                <w:color w:val="000000" w:themeColor="text1"/>
              </w:rPr>
              <w:t>0.</w:t>
            </w:r>
            <w:r>
              <w:rPr>
                <w:color w:val="000000" w:themeColor="text1"/>
              </w:rPr>
              <w:t>014</w:t>
            </w:r>
            <w:r w:rsidRPr="00AC4849">
              <w:rPr>
                <w:color w:val="000000" w:themeColor="text1"/>
              </w:rPr>
              <w:t>%-0.</w:t>
            </w:r>
            <w:r>
              <w:rPr>
                <w:color w:val="000000" w:themeColor="text1"/>
              </w:rPr>
              <w:t>0037</w:t>
            </w:r>
            <w:r w:rsidRPr="00AC4849">
              <w:rPr>
                <w:color w:val="000000" w:themeColor="text1"/>
              </w:rPr>
              <w:t>% = +0.</w:t>
            </w:r>
            <w:r>
              <w:rPr>
                <w:color w:val="000000" w:themeColor="text1"/>
              </w:rPr>
              <w:t>0103</w:t>
            </w:r>
            <w:r w:rsidRPr="00AC4849">
              <w:rPr>
                <w:color w:val="000000" w:themeColor="text1"/>
              </w:rPr>
              <w:t>%</w:t>
            </w:r>
          </w:p>
          <w:p w14:paraId="79BB4622" w14:textId="7107C0DB" w:rsidR="00AF392E" w:rsidRPr="00AC4849" w:rsidRDefault="00AF392E" w:rsidP="00C673C2">
            <w:pPr>
              <w:rPr>
                <w:color w:val="000000" w:themeColor="text1"/>
              </w:rPr>
            </w:pPr>
            <w:r w:rsidRPr="00AC4849">
              <w:rPr>
                <w:color w:val="000000" w:themeColor="text1"/>
              </w:rPr>
              <w:t xml:space="preserve">OR </w:t>
            </w:r>
            <w:r>
              <w:rPr>
                <w:color w:val="000000" w:themeColor="text1"/>
              </w:rPr>
              <w:t>277.6</w:t>
            </w:r>
            <w:r w:rsidRPr="00AC4849">
              <w:rPr>
                <w:color w:val="000000" w:themeColor="text1"/>
              </w:rPr>
              <w:t>% increase</w:t>
            </w:r>
          </w:p>
          <w:p w14:paraId="207E7AF1" w14:textId="77777777" w:rsidR="00AF392E" w:rsidRPr="00AC4849" w:rsidRDefault="00AF392E" w:rsidP="00C673C2">
            <w:pPr>
              <w:rPr>
                <w:color w:val="000000" w:themeColor="text1"/>
              </w:rPr>
            </w:pPr>
          </w:p>
          <w:p w14:paraId="64862527" w14:textId="62DB289A" w:rsidR="00AF392E" w:rsidRPr="007A1731" w:rsidRDefault="00AF392E" w:rsidP="0031756E">
            <w:pPr>
              <w:rPr>
                <w:color w:val="000000" w:themeColor="text1"/>
              </w:rPr>
            </w:pPr>
            <w:r w:rsidRPr="5606A867">
              <w:rPr>
                <w:rStyle w:val="normaltextrun"/>
                <w:rFonts w:ascii="Calibri" w:hAnsi="Calibri" w:cs="Calibri"/>
              </w:rPr>
              <w:t>Base case value: 0.004% (0.004%-0.006%)</w:t>
            </w:r>
          </w:p>
          <w:p w14:paraId="27D2EB51" w14:textId="77777777" w:rsidR="00AF392E" w:rsidRPr="00A3160D" w:rsidRDefault="00AF392E" w:rsidP="00C673C2">
            <w:pPr>
              <w:rPr>
                <w:color w:val="000000" w:themeColor="text1"/>
                <w:highlight w:val="yellow"/>
              </w:rPr>
            </w:pPr>
          </w:p>
          <w:p w14:paraId="619A3CF1" w14:textId="251295A4" w:rsidR="00AF392E" w:rsidRPr="00690862" w:rsidRDefault="00AF392E" w:rsidP="00C673C2">
            <w:pPr>
              <w:rPr>
                <w:color w:val="000000" w:themeColor="text1"/>
              </w:rPr>
            </w:pPr>
            <w:r w:rsidRPr="00690862">
              <w:rPr>
                <w:color w:val="000000" w:themeColor="text1"/>
              </w:rPr>
              <w:t>Older subgroup value:</w:t>
            </w:r>
          </w:p>
          <w:p w14:paraId="2FB73440" w14:textId="4EC62F90" w:rsidR="00AF392E" w:rsidRPr="00A3160D" w:rsidRDefault="00AF392E" w:rsidP="00C673C2">
            <w:pPr>
              <w:rPr>
                <w:color w:val="000000" w:themeColor="text1"/>
                <w:highlight w:val="yellow"/>
              </w:rPr>
            </w:pPr>
            <w:r w:rsidRPr="5606A867">
              <w:rPr>
                <w:color w:val="000000" w:themeColor="text1"/>
                <w:highlight w:val="yellow"/>
              </w:rPr>
              <w:t xml:space="preserve">Add % </w:t>
            </w:r>
            <w:proofErr w:type="spellStart"/>
            <w:r w:rsidRPr="5606A867">
              <w:rPr>
                <w:color w:val="000000" w:themeColor="text1"/>
                <w:highlight w:val="yellow"/>
              </w:rPr>
              <w:t>inc</w:t>
            </w:r>
            <w:proofErr w:type="spellEnd"/>
            <w:r w:rsidRPr="5606A867">
              <w:rPr>
                <w:color w:val="000000" w:themeColor="text1"/>
                <w:highlight w:val="yellow"/>
              </w:rPr>
              <w:t>:</w:t>
            </w:r>
          </w:p>
          <w:p w14:paraId="7C2EDD74" w14:textId="596F75E4" w:rsidR="00AF392E" w:rsidRPr="00A3160D" w:rsidRDefault="00AF392E" w:rsidP="00C673C2">
            <w:pPr>
              <w:rPr>
                <w:strike/>
                <w:highlight w:val="yellow"/>
              </w:rPr>
            </w:pPr>
            <w:r w:rsidRPr="5606A867">
              <w:rPr>
                <w:color w:val="000000" w:themeColor="text1"/>
                <w:highlight w:val="yellow"/>
              </w:rPr>
              <w:t>0.02% (0.02%-0.02%)</w:t>
            </w:r>
            <w:commentRangeEnd w:id="16"/>
            <w:r>
              <w:rPr>
                <w:rStyle w:val="CommentReference"/>
              </w:rPr>
              <w:commentReference w:id="16"/>
            </w:r>
            <w:commentRangeEnd w:id="17"/>
            <w:r>
              <w:rPr>
                <w:rStyle w:val="CommentReference"/>
              </w:rPr>
              <w:commentReference w:id="17"/>
            </w:r>
          </w:p>
        </w:tc>
        <w:tc>
          <w:tcPr>
            <w:tcW w:w="2134" w:type="dxa"/>
          </w:tcPr>
          <w:p w14:paraId="21AD9B06" w14:textId="2152AFCC" w:rsidR="00AF392E" w:rsidRPr="00071614" w:rsidRDefault="00AF392E" w:rsidP="00B8127A">
            <w:pPr>
              <w:rPr>
                <w:highlight w:val="yellow"/>
              </w:rPr>
            </w:pPr>
            <w:r w:rsidRPr="00071614">
              <w:rPr>
                <w:highlight w:val="yellow"/>
              </w:rPr>
              <w:lastRenderedPageBreak/>
              <w:t xml:space="preserve">a. </w:t>
            </w:r>
            <w:hyperlink r:id="rId66" w:anchor="S20" w:history="1">
              <w:r w:rsidRPr="00071614">
                <w:rPr>
                  <w:rStyle w:val="Hyperlink"/>
                  <w:highlight w:val="yellow"/>
                </w:rPr>
                <w:t>Kanwal 2018</w:t>
              </w:r>
            </w:hyperlink>
            <w:r w:rsidRPr="00071614">
              <w:rPr>
                <w:highlight w:val="yellow"/>
              </w:rPr>
              <w:t xml:space="preserve"> (supp table 2)</w:t>
            </w:r>
          </w:p>
          <w:p w14:paraId="1C20EEA7" w14:textId="77777777" w:rsidR="00AF392E" w:rsidRPr="00071614" w:rsidRDefault="00AF392E" w:rsidP="00B8127A">
            <w:r w:rsidRPr="00071614">
              <w:rPr>
                <w:highlight w:val="yellow"/>
              </w:rPr>
              <w:t>(VA population)</w:t>
            </w:r>
          </w:p>
          <w:p w14:paraId="36703C5C" w14:textId="77E29EFA" w:rsidR="00AF392E" w:rsidRPr="00A5224A" w:rsidRDefault="00AF392E" w:rsidP="00AF392E"/>
        </w:tc>
      </w:tr>
      <w:tr w:rsidR="00AF392E" w14:paraId="0155251D" w14:textId="77777777" w:rsidTr="00AF392E">
        <w:trPr>
          <w:trHeight w:val="514"/>
        </w:trPr>
        <w:tc>
          <w:tcPr>
            <w:tcW w:w="1994" w:type="dxa"/>
          </w:tcPr>
          <w:p w14:paraId="42E6171A" w14:textId="77777777" w:rsidR="00AF392E" w:rsidRDefault="00AF392E" w:rsidP="00B8127A">
            <w:r>
              <w:t>Cirrhotic MASLD to HCC</w:t>
            </w:r>
          </w:p>
        </w:tc>
        <w:tc>
          <w:tcPr>
            <w:tcW w:w="2157" w:type="dxa"/>
          </w:tcPr>
          <w:p w14:paraId="10112561" w14:textId="77777777" w:rsidR="00AF392E" w:rsidRDefault="00AF392E" w:rsidP="00B8127A"/>
        </w:tc>
        <w:tc>
          <w:tcPr>
            <w:tcW w:w="3035" w:type="dxa"/>
          </w:tcPr>
          <w:p w14:paraId="724E3B9D" w14:textId="77777777" w:rsidR="00AF392E" w:rsidRDefault="00AF392E" w:rsidP="00B8127A"/>
        </w:tc>
        <w:tc>
          <w:tcPr>
            <w:tcW w:w="2134" w:type="dxa"/>
          </w:tcPr>
          <w:p w14:paraId="5DD64D02" w14:textId="2CF29BC2" w:rsidR="00AF392E" w:rsidRDefault="00AF392E" w:rsidP="00B8127A"/>
        </w:tc>
      </w:tr>
      <w:tr w:rsidR="00AF392E" w14:paraId="63FFD1BF" w14:textId="77777777" w:rsidTr="00AF392E">
        <w:trPr>
          <w:trHeight w:val="514"/>
        </w:trPr>
        <w:tc>
          <w:tcPr>
            <w:tcW w:w="1994" w:type="dxa"/>
          </w:tcPr>
          <w:p w14:paraId="3A7D85C7" w14:textId="40C4DD42" w:rsidR="00AF392E" w:rsidRDefault="00AF392E" w:rsidP="00B8127A">
            <w:pPr>
              <w:jc w:val="right"/>
            </w:pPr>
            <w:r>
              <w:t>&lt;65</w:t>
            </w:r>
          </w:p>
        </w:tc>
        <w:tc>
          <w:tcPr>
            <w:tcW w:w="2157" w:type="dxa"/>
          </w:tcPr>
          <w:p w14:paraId="7C81FEA1" w14:textId="5D88A61C" w:rsidR="00AF392E" w:rsidRDefault="00AF392E" w:rsidP="00B8127A">
            <w:r>
              <w:t>9.74 (8.46-11.17) per 1000 PY</w:t>
            </w:r>
          </w:p>
        </w:tc>
        <w:tc>
          <w:tcPr>
            <w:tcW w:w="3035" w:type="dxa"/>
          </w:tcPr>
          <w:p w14:paraId="6694942F" w14:textId="4A03B303" w:rsidR="00AF392E" w:rsidRDefault="00AF392E" w:rsidP="00B8127A"/>
        </w:tc>
        <w:tc>
          <w:tcPr>
            <w:tcW w:w="2134" w:type="dxa"/>
          </w:tcPr>
          <w:p w14:paraId="355C78AC" w14:textId="3E51E395" w:rsidR="00AF392E" w:rsidRDefault="00AF392E" w:rsidP="00B8127A">
            <w:hyperlink r:id="rId67" w:anchor="S20" w:history="1">
              <w:r>
                <w:rPr>
                  <w:rStyle w:val="Hyperlink"/>
                </w:rPr>
                <w:t>Kanwal 2018</w:t>
              </w:r>
            </w:hyperlink>
            <w:r>
              <w:t xml:space="preserve"> (supp table 1)</w:t>
            </w:r>
          </w:p>
          <w:p w14:paraId="378E2A76" w14:textId="77777777" w:rsidR="00AF392E" w:rsidRDefault="00AF392E" w:rsidP="00B8127A">
            <w:r>
              <w:t xml:space="preserve">(VA </w:t>
            </w:r>
            <w:proofErr w:type="spellStart"/>
            <w:r>
              <w:t>mpopulation</w:t>
            </w:r>
            <w:proofErr w:type="spellEnd"/>
            <w:r>
              <w:t>)</w:t>
            </w:r>
          </w:p>
        </w:tc>
      </w:tr>
      <w:tr w:rsidR="00AF392E" w14:paraId="5EB54638" w14:textId="77777777" w:rsidTr="00AF392E">
        <w:trPr>
          <w:trHeight w:val="514"/>
        </w:trPr>
        <w:tc>
          <w:tcPr>
            <w:tcW w:w="1994" w:type="dxa"/>
          </w:tcPr>
          <w:p w14:paraId="681E8744" w14:textId="65F56015" w:rsidR="00AF392E" w:rsidRDefault="00AF392E" w:rsidP="00751E49">
            <w:pPr>
              <w:jc w:val="right"/>
            </w:pPr>
            <w:r>
              <w:rPr>
                <w:rFonts w:cstheme="minorHAnsi"/>
              </w:rPr>
              <w:t>≥</w:t>
            </w:r>
            <w:r>
              <w:t>65</w:t>
            </w:r>
          </w:p>
        </w:tc>
        <w:tc>
          <w:tcPr>
            <w:tcW w:w="2157" w:type="dxa"/>
          </w:tcPr>
          <w:p w14:paraId="763837B5" w14:textId="5471FD6A" w:rsidR="00AF392E" w:rsidRDefault="00AF392E" w:rsidP="00751E49">
            <w:r>
              <w:t>13.43 (10.82-16.49) per 1000 PY</w:t>
            </w:r>
          </w:p>
        </w:tc>
        <w:tc>
          <w:tcPr>
            <w:tcW w:w="3035" w:type="dxa"/>
          </w:tcPr>
          <w:p w14:paraId="11F0FC5B" w14:textId="77777777" w:rsidR="00AF392E" w:rsidRDefault="00AF392E" w:rsidP="00751E49">
            <w:pPr>
              <w:rPr>
                <w:color w:val="000000" w:themeColor="text1"/>
              </w:rPr>
            </w:pPr>
            <w:r>
              <w:rPr>
                <w:color w:val="000000" w:themeColor="text1"/>
              </w:rPr>
              <w:t>New “overall”:</w:t>
            </w:r>
          </w:p>
          <w:p w14:paraId="636494A9" w14:textId="420B351E" w:rsidR="00AF392E" w:rsidRDefault="00AF392E" w:rsidP="00751E49">
            <w:pPr>
              <w:rPr>
                <w:color w:val="000000" w:themeColor="text1"/>
              </w:rPr>
            </w:pPr>
            <w:r>
              <w:rPr>
                <w:color w:val="000000" w:themeColor="text1"/>
              </w:rPr>
              <w:t>0.974</w:t>
            </w:r>
            <w:proofErr w:type="gramStart"/>
            <w:r>
              <w:rPr>
                <w:color w:val="000000" w:themeColor="text1"/>
              </w:rPr>
              <w:t>%(</w:t>
            </w:r>
            <w:proofErr w:type="gramEnd"/>
            <w:r>
              <w:rPr>
                <w:color w:val="000000" w:themeColor="text1"/>
              </w:rPr>
              <w:t>0.856)+</w:t>
            </w:r>
          </w:p>
          <w:p w14:paraId="24A8016C" w14:textId="6D634E68" w:rsidR="00AF392E" w:rsidRDefault="00AF392E" w:rsidP="00751E49">
            <w:pPr>
              <w:rPr>
                <w:color w:val="000000" w:themeColor="text1"/>
              </w:rPr>
            </w:pPr>
            <w:r>
              <w:rPr>
                <w:color w:val="000000" w:themeColor="text1"/>
              </w:rPr>
              <w:t>1.343</w:t>
            </w:r>
            <w:proofErr w:type="gramStart"/>
            <w:r>
              <w:rPr>
                <w:color w:val="000000" w:themeColor="text1"/>
              </w:rPr>
              <w:t>%(</w:t>
            </w:r>
            <w:proofErr w:type="gramEnd"/>
            <w:r>
              <w:rPr>
                <w:color w:val="000000" w:themeColor="text1"/>
              </w:rPr>
              <w:t>0.144)=</w:t>
            </w:r>
          </w:p>
          <w:p w14:paraId="5C4B4088" w14:textId="10F60300" w:rsidR="00AF392E" w:rsidRDefault="00AF392E" w:rsidP="00751E49">
            <w:pPr>
              <w:rPr>
                <w:color w:val="000000" w:themeColor="text1"/>
              </w:rPr>
            </w:pPr>
            <w:r>
              <w:rPr>
                <w:color w:val="000000" w:themeColor="text1"/>
              </w:rPr>
              <w:t>1.027%</w:t>
            </w:r>
          </w:p>
          <w:p w14:paraId="4DF7995E" w14:textId="77777777" w:rsidR="00AF392E" w:rsidRDefault="00AF392E" w:rsidP="00751E49">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older pts:</w:t>
            </w:r>
          </w:p>
          <w:p w14:paraId="2EC37D92" w14:textId="4F3BF3FD" w:rsidR="00AF392E" w:rsidRDefault="00AF392E" w:rsidP="00751E49">
            <w:pPr>
              <w:rPr>
                <w:color w:val="000000" w:themeColor="text1"/>
              </w:rPr>
            </w:pPr>
            <w:r>
              <w:rPr>
                <w:color w:val="000000" w:themeColor="text1"/>
              </w:rPr>
              <w:t>1.343%-1.027 % = +0.316%</w:t>
            </w:r>
          </w:p>
          <w:p w14:paraId="1CB51C63" w14:textId="019AB3E5" w:rsidR="00AF392E" w:rsidRDefault="00AF392E" w:rsidP="00751E49">
            <w:pPr>
              <w:rPr>
                <w:color w:val="000000" w:themeColor="text1"/>
              </w:rPr>
            </w:pPr>
            <w:r>
              <w:rPr>
                <w:color w:val="000000" w:themeColor="text1"/>
              </w:rPr>
              <w:t>OR 30.8% increase</w:t>
            </w:r>
          </w:p>
          <w:p w14:paraId="6B0ECD57" w14:textId="77777777" w:rsidR="00AF392E" w:rsidRDefault="00AF392E" w:rsidP="00751E49">
            <w:pPr>
              <w:rPr>
                <w:color w:val="000000" w:themeColor="text1"/>
              </w:rPr>
            </w:pPr>
          </w:p>
          <w:p w14:paraId="09C991DF" w14:textId="586D8AEA" w:rsidR="00AF392E" w:rsidRDefault="00AF392E" w:rsidP="5606A867">
            <w:pPr>
              <w:rPr>
                <w:color w:val="000000" w:themeColor="text1"/>
              </w:rPr>
            </w:pPr>
            <w:r w:rsidRPr="5606A867">
              <w:rPr>
                <w:rStyle w:val="normaltextrun"/>
                <w:rFonts w:ascii="Calibri" w:hAnsi="Calibri" w:cs="Calibri"/>
              </w:rPr>
              <w:t xml:space="preserve">Base case value: 2.25% (2.08%-2.43%)  </w:t>
            </w:r>
          </w:p>
          <w:p w14:paraId="3E6262CB" w14:textId="77777777" w:rsidR="00AF392E" w:rsidRDefault="00AF392E" w:rsidP="00751E49">
            <w:pPr>
              <w:rPr>
                <w:color w:val="000000" w:themeColor="text1"/>
              </w:rPr>
            </w:pPr>
          </w:p>
          <w:p w14:paraId="05C099FB" w14:textId="5066B6C2" w:rsidR="00AF392E" w:rsidRDefault="00AF392E" w:rsidP="00751E49">
            <w:pPr>
              <w:rPr>
                <w:color w:val="000000" w:themeColor="text1"/>
              </w:rPr>
            </w:pPr>
            <w:r w:rsidRPr="5606A867">
              <w:rPr>
                <w:color w:val="000000" w:themeColor="text1"/>
              </w:rPr>
              <w:t>Older subgroup value:</w:t>
            </w:r>
          </w:p>
          <w:p w14:paraId="48DFD8EC" w14:textId="77777777" w:rsidR="00AF392E" w:rsidRPr="00A913E9" w:rsidRDefault="00AF392E" w:rsidP="00751E49">
            <w:pPr>
              <w:rPr>
                <w:color w:val="000000" w:themeColor="text1"/>
                <w:highlight w:val="yellow"/>
              </w:rPr>
            </w:pPr>
            <w:r w:rsidRPr="00A913E9">
              <w:rPr>
                <w:color w:val="000000" w:themeColor="text1"/>
                <w:highlight w:val="yellow"/>
              </w:rPr>
              <w:t xml:space="preserve">Add % </w:t>
            </w:r>
            <w:proofErr w:type="spellStart"/>
            <w:r w:rsidRPr="00A913E9">
              <w:rPr>
                <w:color w:val="000000" w:themeColor="text1"/>
                <w:highlight w:val="yellow"/>
              </w:rPr>
              <w:t>inc</w:t>
            </w:r>
            <w:proofErr w:type="spellEnd"/>
            <w:r w:rsidRPr="00A913E9">
              <w:rPr>
                <w:color w:val="000000" w:themeColor="text1"/>
                <w:highlight w:val="yellow"/>
              </w:rPr>
              <w:t>:</w:t>
            </w:r>
          </w:p>
          <w:p w14:paraId="0DC08416" w14:textId="33B87C92" w:rsidR="00AF392E" w:rsidRDefault="00AF392E" w:rsidP="00751E49">
            <w:r w:rsidRPr="5606A867">
              <w:rPr>
                <w:color w:val="000000" w:themeColor="text1"/>
                <w:highlight w:val="yellow"/>
              </w:rPr>
              <w:t>2.94% (2.72%-3.18%)</w:t>
            </w:r>
          </w:p>
        </w:tc>
        <w:tc>
          <w:tcPr>
            <w:tcW w:w="2134" w:type="dxa"/>
          </w:tcPr>
          <w:p w14:paraId="46E6B44D" w14:textId="6D05ACBB" w:rsidR="00AF392E" w:rsidRDefault="00AF392E" w:rsidP="00751E49">
            <w:hyperlink r:id="rId68" w:anchor="S20" w:history="1">
              <w:r>
                <w:rPr>
                  <w:rStyle w:val="Hyperlink"/>
                </w:rPr>
                <w:t>Kanwal 2018</w:t>
              </w:r>
            </w:hyperlink>
            <w:r>
              <w:t xml:space="preserve"> (supp table 1)</w:t>
            </w:r>
          </w:p>
          <w:p w14:paraId="1B9FDB85" w14:textId="77777777" w:rsidR="00AF392E" w:rsidRDefault="00AF392E" w:rsidP="00751E49">
            <w:r>
              <w:t>(VA population)</w:t>
            </w:r>
          </w:p>
        </w:tc>
      </w:tr>
      <w:tr w:rsidR="00AF392E" w14:paraId="206E5E13" w14:textId="77777777" w:rsidTr="00AF392E">
        <w:trPr>
          <w:trHeight w:val="527"/>
        </w:trPr>
        <w:tc>
          <w:tcPr>
            <w:tcW w:w="1994" w:type="dxa"/>
          </w:tcPr>
          <w:p w14:paraId="6B53C86E" w14:textId="77777777" w:rsidR="00AF392E" w:rsidRDefault="00AF392E" w:rsidP="00751E49">
            <w:pPr>
              <w:rPr>
                <w:b/>
                <w:bCs/>
              </w:rPr>
            </w:pPr>
            <w:r>
              <w:t>Non-cirrhotic MASLD to cirrhosis</w:t>
            </w:r>
          </w:p>
        </w:tc>
        <w:tc>
          <w:tcPr>
            <w:tcW w:w="2157" w:type="dxa"/>
          </w:tcPr>
          <w:p w14:paraId="083D07FE" w14:textId="77777777" w:rsidR="00AF392E" w:rsidRDefault="00AF392E" w:rsidP="00751E49">
            <w:pPr>
              <w:rPr>
                <w:b/>
                <w:bCs/>
              </w:rPr>
            </w:pPr>
          </w:p>
        </w:tc>
        <w:tc>
          <w:tcPr>
            <w:tcW w:w="3035" w:type="dxa"/>
          </w:tcPr>
          <w:p w14:paraId="3C553262" w14:textId="77777777" w:rsidR="00AF392E" w:rsidRDefault="00AF392E" w:rsidP="00751E49">
            <w:pPr>
              <w:rPr>
                <w:b/>
                <w:bCs/>
              </w:rPr>
            </w:pPr>
          </w:p>
        </w:tc>
        <w:tc>
          <w:tcPr>
            <w:tcW w:w="2134" w:type="dxa"/>
          </w:tcPr>
          <w:p w14:paraId="47764CD5" w14:textId="2D98071A" w:rsidR="00AF392E" w:rsidRDefault="00AF392E" w:rsidP="00751E49">
            <w:pPr>
              <w:rPr>
                <w:b/>
                <w:bCs/>
              </w:rPr>
            </w:pPr>
          </w:p>
        </w:tc>
      </w:tr>
      <w:tr w:rsidR="00AF392E" w14:paraId="5E3A1BDA" w14:textId="77777777" w:rsidTr="00AF392E">
        <w:trPr>
          <w:trHeight w:val="527"/>
        </w:trPr>
        <w:tc>
          <w:tcPr>
            <w:tcW w:w="1994" w:type="dxa"/>
          </w:tcPr>
          <w:p w14:paraId="451BB873" w14:textId="4D5253E7" w:rsidR="00AF392E" w:rsidRDefault="00AF392E" w:rsidP="00751E49">
            <w:pPr>
              <w:jc w:val="right"/>
            </w:pPr>
            <w:r>
              <w:t>&lt;65</w:t>
            </w:r>
          </w:p>
        </w:tc>
        <w:tc>
          <w:tcPr>
            <w:tcW w:w="2157" w:type="dxa"/>
          </w:tcPr>
          <w:p w14:paraId="2A26443F" w14:textId="43DEC414" w:rsidR="00AF392E" w:rsidRDefault="00AF392E" w:rsidP="00751E49">
            <w:r>
              <w:t xml:space="preserve">For 18-39 y/o: 10-year incidence of </w:t>
            </w:r>
            <w:r w:rsidRPr="007B6FA3">
              <w:t>1.23</w:t>
            </w:r>
            <w:r>
              <w:t>% (</w:t>
            </w:r>
            <w:r w:rsidRPr="007B6FA3">
              <w:t>1.13-1.</w:t>
            </w:r>
            <w:proofErr w:type="gramStart"/>
            <w:r w:rsidRPr="007B6FA3">
              <w:t>34</w:t>
            </w:r>
            <w:r>
              <w:t>)</w:t>
            </w:r>
            <w:r w:rsidRPr="007B6FA3">
              <w:rPr>
                <w:rFonts w:ascii="Wingdings" w:eastAsia="Wingdings" w:hAnsi="Wingdings" w:cs="Wingdings"/>
              </w:rPr>
              <w:t>à</w:t>
            </w:r>
            <w:proofErr w:type="gramEnd"/>
            <w:r>
              <w:t xml:space="preserve"> </w:t>
            </w:r>
            <w:r w:rsidRPr="007B6FA3">
              <w:rPr>
                <w:b/>
                <w:bCs/>
              </w:rPr>
              <w:t>0.124%</w:t>
            </w:r>
            <w:r>
              <w:rPr>
                <w:b/>
                <w:bCs/>
              </w:rPr>
              <w:t xml:space="preserve"> (0.131-0.135)</w:t>
            </w:r>
          </w:p>
          <w:p w14:paraId="537FDA6F" w14:textId="10290172" w:rsidR="00AF392E" w:rsidRPr="007B6FA3" w:rsidRDefault="00AF392E" w:rsidP="00751E49">
            <w:pPr>
              <w:rPr>
                <w:b/>
                <w:bCs/>
              </w:rPr>
            </w:pPr>
            <w:r>
              <w:t xml:space="preserve">For 40-59 y/o: 10-year incidence of </w:t>
            </w:r>
            <w:r w:rsidRPr="007B6FA3">
              <w:t>4.68</w:t>
            </w:r>
            <w:r>
              <w:t>% (</w:t>
            </w:r>
            <w:r w:rsidRPr="007B6FA3">
              <w:t>4.60-4.</w:t>
            </w:r>
            <w:proofErr w:type="gramStart"/>
            <w:r w:rsidRPr="007B6FA3">
              <w:t>76</w:t>
            </w:r>
            <w:r>
              <w:t>)</w:t>
            </w:r>
            <w:r w:rsidRPr="007B6FA3">
              <w:rPr>
                <w:rFonts w:ascii="Wingdings" w:eastAsia="Wingdings" w:hAnsi="Wingdings" w:cs="Wingdings"/>
              </w:rPr>
              <w:t>à</w:t>
            </w:r>
            <w:proofErr w:type="gramEnd"/>
            <w:r>
              <w:t xml:space="preserve"> </w:t>
            </w:r>
            <w:r w:rsidRPr="007B6FA3">
              <w:rPr>
                <w:b/>
                <w:bCs/>
              </w:rPr>
              <w:t>0.478%</w:t>
            </w:r>
            <w:r>
              <w:rPr>
                <w:b/>
                <w:bCs/>
              </w:rPr>
              <w:t xml:space="preserve"> (0.470-0.487)</w:t>
            </w:r>
          </w:p>
        </w:tc>
        <w:tc>
          <w:tcPr>
            <w:tcW w:w="3035" w:type="dxa"/>
          </w:tcPr>
          <w:p w14:paraId="1C5CD212" w14:textId="4B093311" w:rsidR="00AF392E" w:rsidRDefault="00AF392E" w:rsidP="00751E49"/>
        </w:tc>
        <w:tc>
          <w:tcPr>
            <w:tcW w:w="2134" w:type="dxa"/>
          </w:tcPr>
          <w:p w14:paraId="702BDFEB" w14:textId="2B7AAD73" w:rsidR="00AF392E" w:rsidRDefault="00AF392E" w:rsidP="00751E49">
            <w:pPr>
              <w:rPr>
                <w:b/>
                <w:bCs/>
              </w:rPr>
            </w:pPr>
            <w:hyperlink r:id="rId69" w:history="1">
              <w:r>
                <w:rPr>
                  <w:rStyle w:val="Hyperlink"/>
                </w:rPr>
                <w:t>Yeoh 2024</w:t>
              </w:r>
            </w:hyperlink>
            <w:r>
              <w:t xml:space="preserve"> (VA)</w:t>
            </w:r>
          </w:p>
        </w:tc>
      </w:tr>
      <w:tr w:rsidR="00AF392E" w14:paraId="120BD2FA" w14:textId="77777777" w:rsidTr="00AF392E">
        <w:trPr>
          <w:trHeight w:val="527"/>
        </w:trPr>
        <w:tc>
          <w:tcPr>
            <w:tcW w:w="1994" w:type="dxa"/>
          </w:tcPr>
          <w:p w14:paraId="764B602B" w14:textId="739CEBE2" w:rsidR="00AF392E" w:rsidRDefault="00AF392E" w:rsidP="00406484">
            <w:pPr>
              <w:jc w:val="right"/>
            </w:pPr>
            <w:r>
              <w:rPr>
                <w:rFonts w:cstheme="minorHAnsi"/>
              </w:rPr>
              <w:t>≥</w:t>
            </w:r>
            <w:r>
              <w:t>65</w:t>
            </w:r>
          </w:p>
        </w:tc>
        <w:tc>
          <w:tcPr>
            <w:tcW w:w="2157" w:type="dxa"/>
          </w:tcPr>
          <w:p w14:paraId="44B559FE" w14:textId="5667BAD1" w:rsidR="00AF392E" w:rsidRPr="007B6FA3" w:rsidRDefault="00AF392E" w:rsidP="00406484">
            <w:pPr>
              <w:rPr>
                <w:b/>
                <w:bCs/>
              </w:rPr>
            </w:pPr>
            <w:r>
              <w:t>For &gt;60 y/o: 10-year incidence of 3.44% (3.39-</w:t>
            </w:r>
            <w:r>
              <w:lastRenderedPageBreak/>
              <w:t>3.</w:t>
            </w:r>
            <w:proofErr w:type="gramStart"/>
            <w:r>
              <w:t>48)</w:t>
            </w:r>
            <w:r w:rsidRPr="007B6FA3">
              <w:rPr>
                <w:rFonts w:ascii="Wingdings" w:eastAsia="Wingdings" w:hAnsi="Wingdings" w:cs="Wingdings"/>
              </w:rPr>
              <w:t>à</w:t>
            </w:r>
            <w:proofErr w:type="gramEnd"/>
            <w:r>
              <w:t xml:space="preserve"> </w:t>
            </w:r>
            <w:r>
              <w:rPr>
                <w:b/>
                <w:bCs/>
              </w:rPr>
              <w:t>0.349% (0.397-0.354)</w:t>
            </w:r>
          </w:p>
        </w:tc>
        <w:tc>
          <w:tcPr>
            <w:tcW w:w="3035" w:type="dxa"/>
          </w:tcPr>
          <w:p w14:paraId="3F6D9436" w14:textId="77777777" w:rsidR="00AF392E" w:rsidRDefault="00AF392E" w:rsidP="00406484">
            <w:pPr>
              <w:rPr>
                <w:color w:val="000000" w:themeColor="text1"/>
              </w:rPr>
            </w:pPr>
            <w:r>
              <w:rPr>
                <w:color w:val="000000" w:themeColor="text1"/>
              </w:rPr>
              <w:lastRenderedPageBreak/>
              <w:t>New “overall”:</w:t>
            </w:r>
          </w:p>
          <w:p w14:paraId="69DBA652" w14:textId="12F9B33E" w:rsidR="00AF392E" w:rsidRDefault="00AF392E" w:rsidP="00406484">
            <w:pPr>
              <w:rPr>
                <w:color w:val="000000" w:themeColor="text1"/>
              </w:rPr>
            </w:pPr>
            <w:r>
              <w:rPr>
                <w:color w:val="000000" w:themeColor="text1"/>
              </w:rPr>
              <w:t>0.124</w:t>
            </w:r>
            <w:proofErr w:type="gramStart"/>
            <w:r>
              <w:rPr>
                <w:color w:val="000000" w:themeColor="text1"/>
              </w:rPr>
              <w:t>%(</w:t>
            </w:r>
            <w:proofErr w:type="gramEnd"/>
            <w:r>
              <w:rPr>
                <w:color w:val="000000" w:themeColor="text1"/>
              </w:rPr>
              <w:t>0.19)+</w:t>
            </w:r>
          </w:p>
          <w:p w14:paraId="2A88754D" w14:textId="49240DCF" w:rsidR="00AF392E" w:rsidRDefault="00AF392E" w:rsidP="00406484">
            <w:pPr>
              <w:rPr>
                <w:color w:val="000000" w:themeColor="text1"/>
              </w:rPr>
            </w:pPr>
            <w:r>
              <w:rPr>
                <w:color w:val="000000" w:themeColor="text1"/>
              </w:rPr>
              <w:t>0.478</w:t>
            </w:r>
            <w:proofErr w:type="gramStart"/>
            <w:r>
              <w:rPr>
                <w:color w:val="000000" w:themeColor="text1"/>
              </w:rPr>
              <w:t>%(</w:t>
            </w:r>
            <w:proofErr w:type="gramEnd"/>
            <w:r>
              <w:rPr>
                <w:color w:val="000000" w:themeColor="text1"/>
              </w:rPr>
              <w:t>0.57)+</w:t>
            </w:r>
          </w:p>
          <w:p w14:paraId="5008D8D3" w14:textId="3FC0126F" w:rsidR="00AF392E" w:rsidRDefault="00AF392E" w:rsidP="00406484">
            <w:pPr>
              <w:rPr>
                <w:color w:val="000000" w:themeColor="text1"/>
              </w:rPr>
            </w:pPr>
            <w:r>
              <w:rPr>
                <w:color w:val="000000" w:themeColor="text1"/>
              </w:rPr>
              <w:t>0.349</w:t>
            </w:r>
            <w:proofErr w:type="gramStart"/>
            <w:r>
              <w:rPr>
                <w:color w:val="000000" w:themeColor="text1"/>
              </w:rPr>
              <w:t>%(</w:t>
            </w:r>
            <w:proofErr w:type="gramEnd"/>
            <w:r>
              <w:rPr>
                <w:color w:val="000000" w:themeColor="text1"/>
              </w:rPr>
              <w:t>0.24)=</w:t>
            </w:r>
          </w:p>
          <w:p w14:paraId="7E72E5EC" w14:textId="1D17188B" w:rsidR="00AF392E" w:rsidRDefault="00AF392E" w:rsidP="00406484">
            <w:pPr>
              <w:rPr>
                <w:color w:val="000000" w:themeColor="text1"/>
              </w:rPr>
            </w:pPr>
            <w:r>
              <w:rPr>
                <w:color w:val="000000" w:themeColor="text1"/>
              </w:rPr>
              <w:lastRenderedPageBreak/>
              <w:t>0.380%</w:t>
            </w:r>
          </w:p>
          <w:p w14:paraId="18EB95AF" w14:textId="4BC4C10F" w:rsidR="00AF392E" w:rsidRDefault="00AF392E" w:rsidP="00406484">
            <w:pPr>
              <w:rPr>
                <w:color w:val="000000" w:themeColor="text1"/>
              </w:rPr>
            </w:pPr>
            <w:r>
              <w:rPr>
                <w:color w:val="000000" w:themeColor="text1"/>
              </w:rPr>
              <w:t>Increment dec for older pts:</w:t>
            </w:r>
          </w:p>
          <w:p w14:paraId="717D2F43" w14:textId="77777777" w:rsidR="00AF392E" w:rsidRDefault="00AF392E" w:rsidP="00406484">
            <w:pPr>
              <w:rPr>
                <w:color w:val="000000" w:themeColor="text1"/>
              </w:rPr>
            </w:pPr>
            <w:r>
              <w:rPr>
                <w:color w:val="000000" w:themeColor="text1"/>
              </w:rPr>
              <w:t xml:space="preserve">0.349%-0.380% = </w:t>
            </w:r>
          </w:p>
          <w:p w14:paraId="20DA134C" w14:textId="6CB4DC88" w:rsidR="00AF392E" w:rsidRDefault="00AF392E" w:rsidP="00406484">
            <w:pPr>
              <w:rPr>
                <w:color w:val="000000" w:themeColor="text1"/>
              </w:rPr>
            </w:pPr>
            <w:r>
              <w:rPr>
                <w:color w:val="000000" w:themeColor="text1"/>
              </w:rPr>
              <w:t>-0.031 %</w:t>
            </w:r>
          </w:p>
          <w:p w14:paraId="69231157" w14:textId="79B5CD21" w:rsidR="00AF392E" w:rsidRDefault="00AF392E" w:rsidP="00406484">
            <w:pPr>
              <w:rPr>
                <w:color w:val="000000" w:themeColor="text1"/>
              </w:rPr>
            </w:pPr>
            <w:r>
              <w:rPr>
                <w:color w:val="000000" w:themeColor="text1"/>
              </w:rPr>
              <w:t>OR 8.16% decrease</w:t>
            </w:r>
          </w:p>
          <w:p w14:paraId="015D226E" w14:textId="77777777" w:rsidR="00AF392E" w:rsidRDefault="00AF392E" w:rsidP="00406484">
            <w:pPr>
              <w:rPr>
                <w:color w:val="000000" w:themeColor="text1"/>
              </w:rPr>
            </w:pPr>
          </w:p>
          <w:p w14:paraId="7E1BE623" w14:textId="0EEE7694" w:rsidR="00AF392E" w:rsidRDefault="00AF392E" w:rsidP="00406484">
            <w:pPr>
              <w:rPr>
                <w:color w:val="000000" w:themeColor="text1"/>
              </w:rPr>
            </w:pPr>
            <w:r w:rsidRPr="5606A867">
              <w:rPr>
                <w:rStyle w:val="normaltextrun"/>
                <w:rFonts w:ascii="Calibri" w:hAnsi="Calibri" w:cs="Calibri"/>
              </w:rPr>
              <w:t xml:space="preserve">Base case value: 1.085% (0.665%-1.506%)  </w:t>
            </w:r>
          </w:p>
          <w:p w14:paraId="1F5B0046" w14:textId="048F5E91" w:rsidR="00AF392E" w:rsidRDefault="00AF392E" w:rsidP="5606A867">
            <w:pPr>
              <w:rPr>
                <w:rStyle w:val="normaltextrun"/>
                <w:rFonts w:ascii="Calibri" w:hAnsi="Calibri" w:cs="Calibri"/>
              </w:rPr>
            </w:pPr>
          </w:p>
          <w:p w14:paraId="3C979D03" w14:textId="0B9639D4" w:rsidR="00AF392E" w:rsidRDefault="00AF392E" w:rsidP="00406484">
            <w:pPr>
              <w:rPr>
                <w:color w:val="000000" w:themeColor="text1"/>
              </w:rPr>
            </w:pPr>
            <w:r w:rsidRPr="5606A867">
              <w:rPr>
                <w:color w:val="000000" w:themeColor="text1"/>
              </w:rPr>
              <w:t>Older subgroup value:</w:t>
            </w:r>
          </w:p>
          <w:p w14:paraId="1F6F61C5" w14:textId="11237572" w:rsidR="00AF392E" w:rsidRPr="00704859" w:rsidRDefault="00AF392E" w:rsidP="00406484">
            <w:pPr>
              <w:rPr>
                <w:color w:val="000000" w:themeColor="text1"/>
                <w:highlight w:val="yellow"/>
              </w:rPr>
            </w:pPr>
            <w:r w:rsidRPr="00704859">
              <w:rPr>
                <w:color w:val="000000" w:themeColor="text1"/>
                <w:highlight w:val="yellow"/>
              </w:rPr>
              <w:t>Add % decrease:</w:t>
            </w:r>
          </w:p>
          <w:p w14:paraId="360CF496" w14:textId="7F7D26A5" w:rsidR="00AF392E" w:rsidRDefault="00AF392E" w:rsidP="00406484">
            <w:r w:rsidRPr="5606A867">
              <w:rPr>
                <w:color w:val="000000" w:themeColor="text1"/>
                <w:highlight w:val="yellow"/>
              </w:rPr>
              <w:t>0.996% (0.611%-1.38%)</w:t>
            </w:r>
          </w:p>
        </w:tc>
        <w:tc>
          <w:tcPr>
            <w:tcW w:w="2134" w:type="dxa"/>
          </w:tcPr>
          <w:p w14:paraId="4502A8A0" w14:textId="2FF3C658" w:rsidR="00AF392E" w:rsidRDefault="00AF392E" w:rsidP="00406484">
            <w:pPr>
              <w:rPr>
                <w:b/>
                <w:bCs/>
              </w:rPr>
            </w:pPr>
            <w:hyperlink r:id="rId70" w:history="1">
              <w:r>
                <w:rPr>
                  <w:rStyle w:val="Hyperlink"/>
                </w:rPr>
                <w:t>Yeoh 2024</w:t>
              </w:r>
            </w:hyperlink>
            <w:r>
              <w:t xml:space="preserve"> (VA)</w:t>
            </w:r>
          </w:p>
        </w:tc>
      </w:tr>
      <w:tr w:rsidR="00AF392E" w14:paraId="10D2B6E8" w14:textId="77777777" w:rsidTr="00AF392E">
        <w:trPr>
          <w:trHeight w:val="527"/>
        </w:trPr>
        <w:tc>
          <w:tcPr>
            <w:tcW w:w="1994" w:type="dxa"/>
          </w:tcPr>
          <w:p w14:paraId="6AA973EB" w14:textId="77777777" w:rsidR="00AF392E" w:rsidRDefault="00AF392E" w:rsidP="00406484">
            <w:r>
              <w:t xml:space="preserve">Non-cirrhotic MASLD to death </w:t>
            </w:r>
          </w:p>
        </w:tc>
        <w:tc>
          <w:tcPr>
            <w:tcW w:w="2157" w:type="dxa"/>
          </w:tcPr>
          <w:p w14:paraId="01D0F9EF" w14:textId="05AC2E60" w:rsidR="00AF392E" w:rsidRDefault="00AF392E" w:rsidP="00406484">
            <w:pPr>
              <w:rPr>
                <w:b/>
                <w:bCs/>
              </w:rPr>
            </w:pPr>
            <w:r>
              <w:t xml:space="preserve">From actuarial life </w:t>
            </w:r>
            <w:proofErr w:type="gramStart"/>
            <w:r>
              <w:t>table;</w:t>
            </w:r>
            <w:proofErr w:type="gramEnd"/>
            <w:r>
              <w:t xml:space="preserve"> assume even distribution across all ages </w:t>
            </w:r>
          </w:p>
        </w:tc>
        <w:tc>
          <w:tcPr>
            <w:tcW w:w="3035" w:type="dxa"/>
          </w:tcPr>
          <w:p w14:paraId="4194281A" w14:textId="77777777" w:rsidR="00AF392E" w:rsidRDefault="00AF392E" w:rsidP="00406484"/>
        </w:tc>
        <w:tc>
          <w:tcPr>
            <w:tcW w:w="2134" w:type="dxa"/>
          </w:tcPr>
          <w:p w14:paraId="287E5013" w14:textId="2A0FF76F" w:rsidR="00AF392E" w:rsidRDefault="00AF392E" w:rsidP="00406484">
            <w:pPr>
              <w:rPr>
                <w:b/>
                <w:bCs/>
              </w:rPr>
            </w:pPr>
            <w:hyperlink r:id="rId71" w:history="1">
              <w:r>
                <w:rPr>
                  <w:rStyle w:val="Hyperlink"/>
                </w:rPr>
                <w:t>Actuarial Life Table</w:t>
              </w:r>
            </w:hyperlink>
          </w:p>
        </w:tc>
      </w:tr>
    </w:tbl>
    <w:p w14:paraId="0682BC52" w14:textId="6D8CAA75" w:rsidR="006206D6" w:rsidRDefault="006206D6" w:rsidP="3FD443D1">
      <w:pPr>
        <w:rPr>
          <w:b/>
          <w:bCs/>
        </w:rPr>
      </w:pPr>
    </w:p>
    <w:p w14:paraId="48743640" w14:textId="2D5216E2" w:rsidR="004F6A4C" w:rsidRDefault="004F6A4C" w:rsidP="3FD443D1">
      <w:pPr>
        <w:rPr>
          <w:b/>
          <w:bCs/>
        </w:rPr>
      </w:pPr>
    </w:p>
    <w:p w14:paraId="022A6591" w14:textId="476DC956" w:rsidR="004F6A4C" w:rsidRDefault="004F6A4C" w:rsidP="004F6A4C">
      <w:pPr>
        <w:rPr>
          <w:b/>
          <w:bCs/>
        </w:rPr>
      </w:pPr>
      <w:r>
        <w:rPr>
          <w:b/>
          <w:bCs/>
        </w:rPr>
        <w:t xml:space="preserve">3. By diabetes status </w:t>
      </w:r>
    </w:p>
    <w:p w14:paraId="0238E9CB" w14:textId="039FFBC1" w:rsidR="00D521E1" w:rsidRPr="00D521E1" w:rsidRDefault="006D5F2A" w:rsidP="004F6A4C">
      <w:pPr>
        <w:rPr>
          <w:rFonts w:cstheme="minorHAnsi"/>
        </w:rPr>
      </w:pPr>
      <w:r>
        <w:rPr>
          <w:b/>
          <w:bCs/>
          <w:color w:val="FF0000"/>
        </w:rPr>
        <w:t xml:space="preserve">Use for diabetes prevalence: </w:t>
      </w:r>
      <w:hyperlink r:id="rId72" w:history="1">
        <w:r>
          <w:rPr>
            <w:rStyle w:val="Hyperlink"/>
          </w:rPr>
          <w:t>Hepatology</w:t>
        </w:r>
      </w:hyperlink>
      <w:r w:rsidR="00D521E1">
        <w:rPr>
          <w:rStyle w:val="Hyperlink"/>
        </w:rPr>
        <w:t xml:space="preserve"> </w:t>
      </w:r>
      <w:r w:rsidR="00D521E1" w:rsidRPr="00D521E1">
        <w:rPr>
          <w:rStyle w:val="Hyperlink"/>
          <w:rFonts w:cstheme="minorHAnsi"/>
          <w:color w:val="auto"/>
          <w:u w:val="none"/>
        </w:rPr>
        <w:t xml:space="preserve">-- </w:t>
      </w:r>
      <w:r w:rsidR="00D521E1" w:rsidRPr="00D521E1">
        <w:rPr>
          <w:rFonts w:cstheme="minorHAnsi"/>
        </w:rPr>
        <w:t xml:space="preserve">Among NAFLD patients, pooled overall diabetes incidence is: </w:t>
      </w:r>
      <w:r w:rsidR="00D521E1" w:rsidRPr="00D521E1">
        <w:rPr>
          <w:rFonts w:cstheme="minorHAnsi"/>
          <w:shd w:val="clear" w:color="auto" w:fill="FFFFFF"/>
        </w:rPr>
        <w:t>22.51% (95% CI: 17.92‐27.89)</w:t>
      </w:r>
      <w:r w:rsidR="00AC731C">
        <w:rPr>
          <w:rFonts w:cstheme="minorHAnsi"/>
          <w:shd w:val="clear" w:color="auto" w:fill="FFFFFF"/>
        </w:rPr>
        <w:t xml:space="preserve"> and among NASH, </w:t>
      </w:r>
      <w:r w:rsidR="00AC731C" w:rsidRPr="00AC731C">
        <w:rPr>
          <w:rFonts w:cstheme="minorHAnsi"/>
          <w:shd w:val="clear" w:color="auto" w:fill="FFFFFF"/>
        </w:rPr>
        <w:t>43.63% (95% CI: 30.28‐57.98</w:t>
      </w:r>
      <w:r w:rsidR="00AC731C">
        <w:rPr>
          <w:rFonts w:cstheme="minorHAnsi"/>
          <w:shd w:val="clear" w:color="auto" w:fill="FFFFFF"/>
        </w:rPr>
        <w:t>)</w:t>
      </w:r>
      <w:r w:rsidR="00D521E1">
        <w:rPr>
          <w:rFonts w:cstheme="minorHAnsi"/>
          <w:shd w:val="clear" w:color="auto" w:fill="FFFFFF"/>
        </w:rPr>
        <w:t xml:space="preserve"> </w:t>
      </w:r>
      <w:r w:rsidR="00D521E1" w:rsidRPr="00D521E1">
        <w:rPr>
          <w:rFonts w:ascii="Wingdings" w:eastAsia="Wingdings" w:hAnsi="Wingdings" w:cstheme="minorHAnsi"/>
          <w:shd w:val="clear" w:color="auto" w:fill="FFFFFF"/>
        </w:rPr>
        <w:t>à</w:t>
      </w:r>
      <w:r w:rsidR="00D521E1">
        <w:rPr>
          <w:rFonts w:cstheme="minorHAnsi"/>
          <w:shd w:val="clear" w:color="auto" w:fill="FFFFFF"/>
        </w:rPr>
        <w:t xml:space="preserve"> we </w:t>
      </w:r>
      <w:r w:rsidR="00D521E1" w:rsidRPr="00A63B7B">
        <w:rPr>
          <w:rFonts w:cstheme="minorHAnsi"/>
          <w:highlight w:val="yellow"/>
          <w:shd w:val="clear" w:color="auto" w:fill="FFFFFF"/>
        </w:rPr>
        <w:t>assume our base case</w:t>
      </w:r>
      <w:r w:rsidR="00D521E1">
        <w:rPr>
          <w:rFonts w:cstheme="minorHAnsi"/>
          <w:shd w:val="clear" w:color="auto" w:fill="FFFFFF"/>
        </w:rPr>
        <w:t xml:space="preserve"> </w:t>
      </w:r>
      <w:r w:rsidR="00D521E1" w:rsidRPr="00A63B7B">
        <w:rPr>
          <w:rFonts w:cstheme="minorHAnsi"/>
          <w:highlight w:val="yellow"/>
          <w:shd w:val="clear" w:color="auto" w:fill="FFFFFF"/>
        </w:rPr>
        <w:t xml:space="preserve">has </w:t>
      </w:r>
      <w:r w:rsidR="005B3F94" w:rsidRPr="00A63B7B">
        <w:rPr>
          <w:rFonts w:cstheme="minorHAnsi"/>
          <w:highlight w:val="yellow"/>
          <w:shd w:val="clear" w:color="auto" w:fill="FFFFFF"/>
        </w:rPr>
        <w:t>33%</w:t>
      </w:r>
      <w:r w:rsidR="00D521E1" w:rsidRPr="00A63B7B">
        <w:rPr>
          <w:rFonts w:cstheme="minorHAnsi"/>
          <w:highlight w:val="yellow"/>
          <w:shd w:val="clear" w:color="auto" w:fill="FFFFFF"/>
        </w:rPr>
        <w:t xml:space="preserve"> diabetic</w:t>
      </w:r>
      <w:r w:rsidR="00D521E1">
        <w:rPr>
          <w:rFonts w:cstheme="minorHAnsi"/>
          <w:shd w:val="clear" w:color="auto" w:fill="FFFFFF"/>
        </w:rPr>
        <w:t xml:space="preserve"> to find the incremental increase/decrease.</w:t>
      </w:r>
      <w:r w:rsidR="00E9649A">
        <w:rPr>
          <w:rFonts w:cstheme="minorHAnsi"/>
          <w:shd w:val="clear" w:color="auto" w:fill="FFFFFF"/>
        </w:rPr>
        <w:t xml:space="preserve"> This percentage is used to calculate the new input values by diabetes subgroup below:</w:t>
      </w:r>
    </w:p>
    <w:p w14:paraId="795598A8" w14:textId="77777777" w:rsidR="00D521E1" w:rsidRPr="00D521E1" w:rsidRDefault="00D521E1" w:rsidP="004F6A4C">
      <w:pPr>
        <w:rPr>
          <w:color w:val="0000FF"/>
          <w:u w:val="single"/>
        </w:rPr>
      </w:pPr>
    </w:p>
    <w:tbl>
      <w:tblPr>
        <w:tblStyle w:val="TableGrid"/>
        <w:tblW w:w="10435" w:type="dxa"/>
        <w:tblInd w:w="0" w:type="dxa"/>
        <w:tblLook w:val="04A0" w:firstRow="1" w:lastRow="0" w:firstColumn="1" w:lastColumn="0" w:noHBand="0" w:noVBand="1"/>
      </w:tblPr>
      <w:tblGrid>
        <w:gridCol w:w="1449"/>
        <w:gridCol w:w="1568"/>
        <w:gridCol w:w="5888"/>
        <w:gridCol w:w="1530"/>
      </w:tblGrid>
      <w:tr w:rsidR="00BB34FC" w14:paraId="53C910AA" w14:textId="77777777" w:rsidTr="7CE70FC4">
        <w:trPr>
          <w:trHeight w:val="258"/>
        </w:trPr>
        <w:tc>
          <w:tcPr>
            <w:tcW w:w="1449" w:type="dxa"/>
          </w:tcPr>
          <w:p w14:paraId="46D3C1BD" w14:textId="77777777" w:rsidR="00BB34FC" w:rsidRDefault="00BB34FC" w:rsidP="00DA0342">
            <w:pPr>
              <w:rPr>
                <w:b/>
                <w:bCs/>
              </w:rPr>
            </w:pPr>
          </w:p>
        </w:tc>
        <w:tc>
          <w:tcPr>
            <w:tcW w:w="1568" w:type="dxa"/>
          </w:tcPr>
          <w:p w14:paraId="44BC3C29" w14:textId="77777777" w:rsidR="00BB34FC" w:rsidRDefault="00BB34FC" w:rsidP="00DA0342">
            <w:pPr>
              <w:tabs>
                <w:tab w:val="center" w:pos="1383"/>
              </w:tabs>
              <w:rPr>
                <w:b/>
                <w:bCs/>
              </w:rPr>
            </w:pPr>
            <w:r>
              <w:rPr>
                <w:b/>
                <w:bCs/>
              </w:rPr>
              <w:t>Original data from reference</w:t>
            </w:r>
            <w:r>
              <w:rPr>
                <w:b/>
                <w:bCs/>
              </w:rPr>
              <w:tab/>
            </w:r>
          </w:p>
        </w:tc>
        <w:tc>
          <w:tcPr>
            <w:tcW w:w="5888" w:type="dxa"/>
          </w:tcPr>
          <w:p w14:paraId="797821D5" w14:textId="77777777" w:rsidR="00BB34FC" w:rsidRDefault="00BB34FC" w:rsidP="00DA0342">
            <w:pPr>
              <w:rPr>
                <w:b/>
                <w:bCs/>
              </w:rPr>
            </w:pPr>
            <w:r>
              <w:rPr>
                <w:b/>
                <w:bCs/>
              </w:rPr>
              <w:t xml:space="preserve">New Value  </w:t>
            </w:r>
          </w:p>
        </w:tc>
        <w:tc>
          <w:tcPr>
            <w:tcW w:w="1530" w:type="dxa"/>
          </w:tcPr>
          <w:p w14:paraId="10B6E703" w14:textId="77777777" w:rsidR="00BB34FC" w:rsidRDefault="00BB34FC" w:rsidP="00DA0342">
            <w:pPr>
              <w:rPr>
                <w:b/>
                <w:bCs/>
              </w:rPr>
            </w:pPr>
            <w:r>
              <w:rPr>
                <w:b/>
                <w:bCs/>
              </w:rPr>
              <w:t>Reference</w:t>
            </w:r>
          </w:p>
        </w:tc>
      </w:tr>
      <w:tr w:rsidR="00BB34FC" w14:paraId="4C6242E9" w14:textId="77777777" w:rsidTr="7CE70FC4">
        <w:trPr>
          <w:trHeight w:val="258"/>
        </w:trPr>
        <w:tc>
          <w:tcPr>
            <w:tcW w:w="1449" w:type="dxa"/>
          </w:tcPr>
          <w:p w14:paraId="63913AE6" w14:textId="77777777" w:rsidR="00BB34FC" w:rsidRPr="001D6049" w:rsidRDefault="00BB34FC" w:rsidP="00DA0342">
            <w:proofErr w:type="spellStart"/>
            <w:r>
              <w:t>Undiagnosis</w:t>
            </w:r>
            <w:proofErr w:type="spellEnd"/>
            <w:r>
              <w:t xml:space="preserve"> rate of cirrhosis </w:t>
            </w:r>
          </w:p>
        </w:tc>
        <w:tc>
          <w:tcPr>
            <w:tcW w:w="1568" w:type="dxa"/>
          </w:tcPr>
          <w:p w14:paraId="30A2E4A6" w14:textId="1DF35D36" w:rsidR="00BB34FC" w:rsidRPr="001D6049" w:rsidRDefault="00BB34FC" w:rsidP="004F6A4C">
            <w:pPr>
              <w:tabs>
                <w:tab w:val="center" w:pos="1383"/>
              </w:tabs>
            </w:pPr>
            <w:r>
              <w:t>Same as base case?</w:t>
            </w:r>
          </w:p>
        </w:tc>
        <w:tc>
          <w:tcPr>
            <w:tcW w:w="5888" w:type="dxa"/>
          </w:tcPr>
          <w:p w14:paraId="20178D8E" w14:textId="77777777" w:rsidR="00BB34FC" w:rsidRDefault="00BB34FC" w:rsidP="00DA0342">
            <w:pPr>
              <w:rPr>
                <w:b/>
                <w:bCs/>
              </w:rPr>
            </w:pPr>
          </w:p>
        </w:tc>
        <w:tc>
          <w:tcPr>
            <w:tcW w:w="1530" w:type="dxa"/>
          </w:tcPr>
          <w:p w14:paraId="429E424C" w14:textId="35366780" w:rsidR="00BB34FC" w:rsidRDefault="00BB34FC" w:rsidP="00DA0342">
            <w:pPr>
              <w:rPr>
                <w:b/>
                <w:bCs/>
              </w:rPr>
            </w:pPr>
          </w:p>
        </w:tc>
      </w:tr>
      <w:tr w:rsidR="00BB34FC" w14:paraId="77365A83" w14:textId="77777777" w:rsidTr="7CE70FC4">
        <w:trPr>
          <w:trHeight w:val="531"/>
        </w:trPr>
        <w:tc>
          <w:tcPr>
            <w:tcW w:w="1449" w:type="dxa"/>
          </w:tcPr>
          <w:p w14:paraId="70ADD4A9" w14:textId="77777777" w:rsidR="00BB34FC" w:rsidRPr="006206D6" w:rsidRDefault="00BB34FC" w:rsidP="00DA0342">
            <w:r>
              <w:t>Non-cirrhotic MASLD to HCC</w:t>
            </w:r>
          </w:p>
        </w:tc>
        <w:tc>
          <w:tcPr>
            <w:tcW w:w="1568" w:type="dxa"/>
          </w:tcPr>
          <w:p w14:paraId="52E606E4" w14:textId="77777777" w:rsidR="00BB34FC" w:rsidRDefault="00BB34FC" w:rsidP="00DA0342">
            <w:r>
              <w:t xml:space="preserve">0.08 (0.06-0.11) per 1000 PYs for no evidence of high Fib4 </w:t>
            </w:r>
          </w:p>
          <w:p w14:paraId="5C3FB4BC" w14:textId="77777777" w:rsidR="00943511" w:rsidRDefault="00943511" w:rsidP="00DA0342"/>
          <w:p w14:paraId="2BDFD584" w14:textId="77777777" w:rsidR="00943511" w:rsidRDefault="00943511" w:rsidP="00DA0342">
            <w:r>
              <w:t>(</w:t>
            </w:r>
            <w:proofErr w:type="gramStart"/>
            <w:r>
              <w:t>no</w:t>
            </w:r>
            <w:proofErr w:type="gramEnd"/>
            <w:r>
              <w:t xml:space="preserve"> diabetes:</w:t>
            </w:r>
          </w:p>
          <w:p w14:paraId="57C44670" w14:textId="4B339E18" w:rsidR="00943511" w:rsidRDefault="00943511" w:rsidP="00DA0342">
            <w:r>
              <w:t>0.03 (0.02-0.04))</w:t>
            </w:r>
          </w:p>
        </w:tc>
        <w:tc>
          <w:tcPr>
            <w:tcW w:w="5888" w:type="dxa"/>
          </w:tcPr>
          <w:p w14:paraId="392BEE25" w14:textId="77777777" w:rsidR="00943511" w:rsidRPr="00AC4849" w:rsidRDefault="00943511" w:rsidP="00943511">
            <w:pPr>
              <w:rPr>
                <w:color w:val="000000" w:themeColor="text1"/>
              </w:rPr>
            </w:pPr>
            <w:commentRangeStart w:id="18"/>
            <w:commentRangeStart w:id="19"/>
            <w:r w:rsidRPr="00AC4849">
              <w:rPr>
                <w:color w:val="000000" w:themeColor="text1"/>
              </w:rPr>
              <w:t>New “overall”:</w:t>
            </w:r>
          </w:p>
          <w:p w14:paraId="655BD117" w14:textId="25C61266" w:rsidR="00943511" w:rsidRPr="00AC4849" w:rsidRDefault="00943511" w:rsidP="00943511">
            <w:pPr>
              <w:rPr>
                <w:color w:val="000000" w:themeColor="text1"/>
              </w:rPr>
            </w:pPr>
            <w:r w:rsidRPr="00AC4849">
              <w:rPr>
                <w:color w:val="000000" w:themeColor="text1"/>
              </w:rPr>
              <w:t>0.</w:t>
            </w:r>
            <w:r w:rsidR="00A63B7B">
              <w:rPr>
                <w:color w:val="000000" w:themeColor="text1"/>
              </w:rPr>
              <w:t>008</w:t>
            </w:r>
            <w:proofErr w:type="gramStart"/>
            <w:r w:rsidRPr="00AC4849">
              <w:rPr>
                <w:color w:val="000000" w:themeColor="text1"/>
              </w:rPr>
              <w:t>%(</w:t>
            </w:r>
            <w:proofErr w:type="gramEnd"/>
            <w:r w:rsidRPr="00AC4849">
              <w:rPr>
                <w:color w:val="000000" w:themeColor="text1"/>
              </w:rPr>
              <w:t>0.</w:t>
            </w:r>
            <w:r w:rsidR="00A63B7B">
              <w:rPr>
                <w:color w:val="000000" w:themeColor="text1"/>
              </w:rPr>
              <w:t>33</w:t>
            </w:r>
            <w:r w:rsidRPr="00AC4849">
              <w:rPr>
                <w:color w:val="000000" w:themeColor="text1"/>
              </w:rPr>
              <w:t>)+</w:t>
            </w:r>
          </w:p>
          <w:p w14:paraId="0E713C6B" w14:textId="5F1C256F" w:rsidR="00943511" w:rsidRPr="00AC4849" w:rsidRDefault="00943511" w:rsidP="00943511">
            <w:pPr>
              <w:rPr>
                <w:color w:val="000000" w:themeColor="text1"/>
              </w:rPr>
            </w:pPr>
            <w:r w:rsidRPr="00AC4849">
              <w:rPr>
                <w:color w:val="000000" w:themeColor="text1"/>
              </w:rPr>
              <w:t>0.</w:t>
            </w:r>
            <w:r w:rsidR="00A63B7B">
              <w:rPr>
                <w:color w:val="000000" w:themeColor="text1"/>
              </w:rPr>
              <w:t>003</w:t>
            </w:r>
            <w:proofErr w:type="gramStart"/>
            <w:r w:rsidRPr="00AC4849">
              <w:rPr>
                <w:color w:val="000000" w:themeColor="text1"/>
              </w:rPr>
              <w:t>%(</w:t>
            </w:r>
            <w:proofErr w:type="gramEnd"/>
            <w:r w:rsidRPr="00AC4849">
              <w:rPr>
                <w:color w:val="000000" w:themeColor="text1"/>
              </w:rPr>
              <w:t>0.</w:t>
            </w:r>
            <w:r w:rsidR="00A63B7B">
              <w:rPr>
                <w:color w:val="000000" w:themeColor="text1"/>
              </w:rPr>
              <w:t>67</w:t>
            </w:r>
            <w:r w:rsidRPr="00AC4849">
              <w:rPr>
                <w:color w:val="000000" w:themeColor="text1"/>
              </w:rPr>
              <w:t>)=</w:t>
            </w:r>
          </w:p>
          <w:p w14:paraId="29279F47" w14:textId="3E200DF6" w:rsidR="00943511" w:rsidRDefault="00943511" w:rsidP="00943511">
            <w:pPr>
              <w:rPr>
                <w:color w:val="000000" w:themeColor="text1"/>
              </w:rPr>
            </w:pPr>
            <w:r w:rsidRPr="00AC4849">
              <w:rPr>
                <w:color w:val="000000" w:themeColor="text1"/>
              </w:rPr>
              <w:t>0.</w:t>
            </w:r>
            <w:r w:rsidR="00A63B7B">
              <w:rPr>
                <w:color w:val="000000" w:themeColor="text1"/>
              </w:rPr>
              <w:t>00465</w:t>
            </w:r>
            <w:r w:rsidRPr="00AC4849">
              <w:rPr>
                <w:color w:val="000000" w:themeColor="text1"/>
              </w:rPr>
              <w:t>%</w:t>
            </w:r>
          </w:p>
          <w:p w14:paraId="7016286D" w14:textId="77777777" w:rsidR="00943511" w:rsidRPr="00AC4849" w:rsidRDefault="00943511" w:rsidP="00943511">
            <w:pPr>
              <w:rPr>
                <w:color w:val="000000" w:themeColor="text1"/>
              </w:rPr>
            </w:pPr>
          </w:p>
          <w:p w14:paraId="1D19E24C" w14:textId="5F2D730B" w:rsidR="00943511" w:rsidRPr="00AC4849" w:rsidRDefault="00943511" w:rsidP="00943511">
            <w:pPr>
              <w:rPr>
                <w:color w:val="000000" w:themeColor="text1"/>
              </w:rPr>
            </w:pPr>
            <w:r w:rsidRPr="00AC4849">
              <w:rPr>
                <w:color w:val="000000" w:themeColor="text1"/>
              </w:rPr>
              <w:t xml:space="preserve">Increment </w:t>
            </w:r>
            <w:proofErr w:type="spellStart"/>
            <w:r w:rsidRPr="00AC4849">
              <w:rPr>
                <w:color w:val="000000" w:themeColor="text1"/>
              </w:rPr>
              <w:t>inc</w:t>
            </w:r>
            <w:proofErr w:type="spellEnd"/>
            <w:r w:rsidRPr="00AC4849">
              <w:rPr>
                <w:color w:val="000000" w:themeColor="text1"/>
              </w:rPr>
              <w:t xml:space="preserve"> for </w:t>
            </w:r>
            <w:r w:rsidR="00A63B7B">
              <w:rPr>
                <w:color w:val="000000" w:themeColor="text1"/>
              </w:rPr>
              <w:t>diabetic</w:t>
            </w:r>
            <w:r w:rsidRPr="00AC4849">
              <w:rPr>
                <w:color w:val="000000" w:themeColor="text1"/>
              </w:rPr>
              <w:t xml:space="preserve"> pts:</w:t>
            </w:r>
          </w:p>
          <w:p w14:paraId="050B4B77" w14:textId="0D7C2561" w:rsidR="00943511" w:rsidRPr="00AC4849" w:rsidRDefault="00943511" w:rsidP="00943511">
            <w:pPr>
              <w:rPr>
                <w:color w:val="000000" w:themeColor="text1"/>
              </w:rPr>
            </w:pPr>
            <w:r w:rsidRPr="00AC4849">
              <w:rPr>
                <w:color w:val="000000" w:themeColor="text1"/>
              </w:rPr>
              <w:t>0.</w:t>
            </w:r>
            <w:r w:rsidR="00A63B7B">
              <w:rPr>
                <w:color w:val="000000" w:themeColor="text1"/>
              </w:rPr>
              <w:t>008</w:t>
            </w:r>
            <w:r w:rsidRPr="00AC4849">
              <w:rPr>
                <w:color w:val="000000" w:themeColor="text1"/>
              </w:rPr>
              <w:t>%-0.</w:t>
            </w:r>
            <w:r w:rsidR="00A63B7B">
              <w:rPr>
                <w:color w:val="000000" w:themeColor="text1"/>
              </w:rPr>
              <w:t>00465</w:t>
            </w:r>
            <w:r w:rsidRPr="00AC4849">
              <w:rPr>
                <w:color w:val="000000" w:themeColor="text1"/>
              </w:rPr>
              <w:t>% = +0.</w:t>
            </w:r>
            <w:r w:rsidR="00A63B7B">
              <w:rPr>
                <w:color w:val="000000" w:themeColor="text1"/>
              </w:rPr>
              <w:t>00335</w:t>
            </w:r>
            <w:r w:rsidRPr="00AC4849">
              <w:rPr>
                <w:color w:val="000000" w:themeColor="text1"/>
              </w:rPr>
              <w:t>%</w:t>
            </w:r>
          </w:p>
          <w:p w14:paraId="1D5ABD25" w14:textId="56F09A7F" w:rsidR="00943511" w:rsidRPr="00AC4849" w:rsidRDefault="00943511" w:rsidP="00943511">
            <w:pPr>
              <w:rPr>
                <w:color w:val="000000" w:themeColor="text1"/>
              </w:rPr>
            </w:pPr>
            <w:r w:rsidRPr="00AC4849">
              <w:rPr>
                <w:color w:val="000000" w:themeColor="text1"/>
              </w:rPr>
              <w:t xml:space="preserve">OR </w:t>
            </w:r>
            <w:r w:rsidR="00A63B7B">
              <w:rPr>
                <w:color w:val="000000" w:themeColor="text1"/>
              </w:rPr>
              <w:t>72.0</w:t>
            </w:r>
            <w:r w:rsidRPr="00AC4849">
              <w:rPr>
                <w:color w:val="000000" w:themeColor="text1"/>
              </w:rPr>
              <w:t>% increase</w:t>
            </w:r>
          </w:p>
          <w:p w14:paraId="3D16EEA9" w14:textId="77777777" w:rsidR="00943511" w:rsidRPr="00AC4849" w:rsidRDefault="00943511" w:rsidP="00943511">
            <w:pPr>
              <w:rPr>
                <w:color w:val="000000" w:themeColor="text1"/>
              </w:rPr>
            </w:pPr>
          </w:p>
          <w:p w14:paraId="33CEA868" w14:textId="7B7F2DA7" w:rsidR="00943511" w:rsidRPr="007A1731" w:rsidRDefault="5606A867" w:rsidP="00943511">
            <w:pPr>
              <w:rPr>
                <w:color w:val="000000" w:themeColor="text1"/>
              </w:rPr>
            </w:pPr>
            <w:r w:rsidRPr="5606A867">
              <w:rPr>
                <w:rStyle w:val="normaltextrun"/>
                <w:rFonts w:ascii="Calibri" w:hAnsi="Calibri" w:cs="Calibri"/>
              </w:rPr>
              <w:t xml:space="preserve">Base case value: 0.004% (0.004%-0.006%)   </w:t>
            </w:r>
          </w:p>
          <w:p w14:paraId="1A1F5D8C" w14:textId="77777777" w:rsidR="00943511" w:rsidRPr="00A3160D" w:rsidRDefault="00943511" w:rsidP="00943511">
            <w:pPr>
              <w:rPr>
                <w:color w:val="000000" w:themeColor="text1"/>
                <w:highlight w:val="yellow"/>
              </w:rPr>
            </w:pPr>
          </w:p>
          <w:p w14:paraId="40548D70" w14:textId="77777777" w:rsidR="00943511" w:rsidRPr="00690862" w:rsidRDefault="5606A867" w:rsidP="00943511">
            <w:pPr>
              <w:rPr>
                <w:color w:val="000000" w:themeColor="text1"/>
              </w:rPr>
            </w:pPr>
            <w:r w:rsidRPr="5606A867">
              <w:rPr>
                <w:color w:val="000000" w:themeColor="text1"/>
              </w:rPr>
              <w:t>Older subgroup value:</w:t>
            </w:r>
          </w:p>
          <w:p w14:paraId="45E12C19" w14:textId="77777777" w:rsidR="00943511" w:rsidRPr="00A3160D" w:rsidRDefault="00943511" w:rsidP="00943511">
            <w:pPr>
              <w:rPr>
                <w:color w:val="000000" w:themeColor="text1"/>
                <w:highlight w:val="yellow"/>
              </w:rPr>
            </w:pPr>
            <w:r w:rsidRPr="00A3160D">
              <w:rPr>
                <w:color w:val="000000" w:themeColor="text1"/>
                <w:highlight w:val="yellow"/>
              </w:rPr>
              <w:t xml:space="preserve">Add % </w:t>
            </w:r>
            <w:proofErr w:type="spellStart"/>
            <w:r w:rsidRPr="00A3160D">
              <w:rPr>
                <w:color w:val="000000" w:themeColor="text1"/>
                <w:highlight w:val="yellow"/>
              </w:rPr>
              <w:t>inc</w:t>
            </w:r>
            <w:proofErr w:type="spellEnd"/>
            <w:r w:rsidRPr="00A3160D">
              <w:rPr>
                <w:color w:val="000000" w:themeColor="text1"/>
                <w:highlight w:val="yellow"/>
              </w:rPr>
              <w:t>:</w:t>
            </w:r>
          </w:p>
          <w:p w14:paraId="66D94FC8" w14:textId="7C690D3F" w:rsidR="00BB34FC" w:rsidRPr="00C0327D" w:rsidRDefault="5606A867" w:rsidP="00943511">
            <w:r w:rsidRPr="5606A867">
              <w:rPr>
                <w:color w:val="000000" w:themeColor="text1"/>
                <w:highlight w:val="yellow"/>
              </w:rPr>
              <w:lastRenderedPageBreak/>
              <w:t>0.007% (0.007%-0.010%)</w:t>
            </w:r>
            <w:commentRangeEnd w:id="18"/>
            <w:r w:rsidR="00943511">
              <w:rPr>
                <w:rStyle w:val="CommentReference"/>
              </w:rPr>
              <w:commentReference w:id="18"/>
            </w:r>
            <w:commentRangeEnd w:id="19"/>
            <w:r w:rsidR="00943511">
              <w:rPr>
                <w:rStyle w:val="CommentReference"/>
              </w:rPr>
              <w:commentReference w:id="19"/>
            </w:r>
          </w:p>
        </w:tc>
        <w:tc>
          <w:tcPr>
            <w:tcW w:w="1530" w:type="dxa"/>
          </w:tcPr>
          <w:p w14:paraId="39D68EF0" w14:textId="49AC04AE" w:rsidR="00BB34FC" w:rsidRPr="00C0327D" w:rsidRDefault="00BB34FC" w:rsidP="00BB34FC">
            <w:hyperlink r:id="rId73" w:anchor="S20" w:history="1">
              <w:r w:rsidRPr="00D048A7">
                <w:rPr>
                  <w:rStyle w:val="Hyperlink"/>
                </w:rPr>
                <w:t>Kanwal 2018</w:t>
              </w:r>
            </w:hyperlink>
            <w:r w:rsidRPr="00D048A7">
              <w:t xml:space="preserve"> (supp table 2)</w:t>
            </w:r>
          </w:p>
        </w:tc>
      </w:tr>
      <w:tr w:rsidR="00A63B7B" w14:paraId="671E5BFD" w14:textId="77777777" w:rsidTr="7CE70FC4">
        <w:trPr>
          <w:trHeight w:val="518"/>
        </w:trPr>
        <w:tc>
          <w:tcPr>
            <w:tcW w:w="1449" w:type="dxa"/>
          </w:tcPr>
          <w:p w14:paraId="3E8D33A5" w14:textId="77777777" w:rsidR="00A63B7B" w:rsidRDefault="00A63B7B" w:rsidP="00A63B7B">
            <w:r>
              <w:t>Cirrhotic MASLD to HCC</w:t>
            </w:r>
          </w:p>
        </w:tc>
        <w:tc>
          <w:tcPr>
            <w:tcW w:w="1568" w:type="dxa"/>
          </w:tcPr>
          <w:p w14:paraId="1A670C96" w14:textId="1F247E1D" w:rsidR="00A63B7B" w:rsidRDefault="00A63B7B" w:rsidP="00A63B7B">
            <w:r>
              <w:t>12.36 (10.67-14.24)</w:t>
            </w:r>
          </w:p>
          <w:p w14:paraId="5606E6D7" w14:textId="77777777" w:rsidR="00A63B7B" w:rsidRDefault="00A63B7B" w:rsidP="00A63B7B"/>
          <w:p w14:paraId="6E594771" w14:textId="77777777" w:rsidR="00A63B7B" w:rsidRDefault="00A63B7B" w:rsidP="00A63B7B">
            <w:r>
              <w:t>(</w:t>
            </w:r>
            <w:proofErr w:type="gramStart"/>
            <w:r>
              <w:t>no</w:t>
            </w:r>
            <w:proofErr w:type="gramEnd"/>
            <w:r>
              <w:t xml:space="preserve"> diabetes:</w:t>
            </w:r>
          </w:p>
          <w:p w14:paraId="4A032259" w14:textId="3D695F53" w:rsidR="00A63B7B" w:rsidRDefault="00A63B7B" w:rsidP="00A63B7B">
            <w:r>
              <w:t>8.51 (6.96-10.29))</w:t>
            </w:r>
          </w:p>
        </w:tc>
        <w:tc>
          <w:tcPr>
            <w:tcW w:w="5888" w:type="dxa"/>
          </w:tcPr>
          <w:p w14:paraId="1F28B9C3" w14:textId="77777777" w:rsidR="00A63B7B" w:rsidRDefault="00A63B7B" w:rsidP="00A63B7B">
            <w:pPr>
              <w:rPr>
                <w:color w:val="000000" w:themeColor="text1"/>
              </w:rPr>
            </w:pPr>
            <w:r>
              <w:rPr>
                <w:color w:val="000000" w:themeColor="text1"/>
              </w:rPr>
              <w:t>New “overall”:</w:t>
            </w:r>
          </w:p>
          <w:p w14:paraId="5635AF55" w14:textId="1306EF9C" w:rsidR="00FD4C94" w:rsidRPr="00AC4849" w:rsidRDefault="00FD4C94" w:rsidP="00FD4C94">
            <w:pPr>
              <w:rPr>
                <w:color w:val="000000" w:themeColor="text1"/>
              </w:rPr>
            </w:pPr>
            <w:r>
              <w:rPr>
                <w:color w:val="000000" w:themeColor="text1"/>
              </w:rPr>
              <w:t>1.236</w:t>
            </w:r>
            <w:proofErr w:type="gramStart"/>
            <w:r w:rsidRPr="00AC4849">
              <w:rPr>
                <w:color w:val="000000" w:themeColor="text1"/>
              </w:rPr>
              <w:t>%(</w:t>
            </w:r>
            <w:proofErr w:type="gramEnd"/>
            <w:r w:rsidRPr="00AC4849">
              <w:rPr>
                <w:color w:val="000000" w:themeColor="text1"/>
              </w:rPr>
              <w:t>0.</w:t>
            </w:r>
            <w:r>
              <w:rPr>
                <w:color w:val="000000" w:themeColor="text1"/>
              </w:rPr>
              <w:t>33</w:t>
            </w:r>
            <w:r w:rsidRPr="00AC4849">
              <w:rPr>
                <w:color w:val="000000" w:themeColor="text1"/>
              </w:rPr>
              <w:t>)+</w:t>
            </w:r>
          </w:p>
          <w:p w14:paraId="64943A80" w14:textId="0416DD6A" w:rsidR="00FD4C94" w:rsidRPr="00AC4849" w:rsidRDefault="00FD4C94" w:rsidP="00FD4C94">
            <w:pPr>
              <w:rPr>
                <w:color w:val="000000" w:themeColor="text1"/>
              </w:rPr>
            </w:pPr>
            <w:r w:rsidRPr="00AC4849">
              <w:rPr>
                <w:color w:val="000000" w:themeColor="text1"/>
              </w:rPr>
              <w:t>0.</w:t>
            </w:r>
            <w:r>
              <w:rPr>
                <w:color w:val="000000" w:themeColor="text1"/>
              </w:rPr>
              <w:t>851</w:t>
            </w:r>
            <w:proofErr w:type="gramStart"/>
            <w:r w:rsidRPr="00AC4849">
              <w:rPr>
                <w:color w:val="000000" w:themeColor="text1"/>
              </w:rPr>
              <w:t>%(</w:t>
            </w:r>
            <w:proofErr w:type="gramEnd"/>
            <w:r w:rsidRPr="00AC4849">
              <w:rPr>
                <w:color w:val="000000" w:themeColor="text1"/>
              </w:rPr>
              <w:t>0.</w:t>
            </w:r>
            <w:r>
              <w:rPr>
                <w:color w:val="000000" w:themeColor="text1"/>
              </w:rPr>
              <w:t>67</w:t>
            </w:r>
            <w:r w:rsidRPr="00AC4849">
              <w:rPr>
                <w:color w:val="000000" w:themeColor="text1"/>
              </w:rPr>
              <w:t>)=</w:t>
            </w:r>
          </w:p>
          <w:p w14:paraId="25952C8C" w14:textId="447B1C7C" w:rsidR="00FD4C94" w:rsidRDefault="00FD4C94" w:rsidP="00FD4C94">
            <w:pPr>
              <w:rPr>
                <w:color w:val="000000" w:themeColor="text1"/>
              </w:rPr>
            </w:pPr>
            <w:r w:rsidRPr="00AC4849">
              <w:rPr>
                <w:color w:val="000000" w:themeColor="text1"/>
              </w:rPr>
              <w:t>0.</w:t>
            </w:r>
            <w:r>
              <w:rPr>
                <w:color w:val="000000" w:themeColor="text1"/>
              </w:rPr>
              <w:t>978</w:t>
            </w:r>
            <w:r w:rsidRPr="00AC4849">
              <w:rPr>
                <w:color w:val="000000" w:themeColor="text1"/>
              </w:rPr>
              <w:t>%</w:t>
            </w:r>
          </w:p>
          <w:p w14:paraId="2B690B6D" w14:textId="77777777" w:rsidR="00FD4C94" w:rsidRDefault="00FD4C94" w:rsidP="00A63B7B">
            <w:pPr>
              <w:rPr>
                <w:color w:val="000000" w:themeColor="text1"/>
              </w:rPr>
            </w:pPr>
          </w:p>
          <w:p w14:paraId="5ECF75CB" w14:textId="3822D598" w:rsidR="00A63B7B" w:rsidRDefault="00A63B7B" w:rsidP="00A63B7B">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older pts:</w:t>
            </w:r>
          </w:p>
          <w:p w14:paraId="57E6D7F8" w14:textId="0E406D0E" w:rsidR="00A63B7B" w:rsidRDefault="00A63B7B" w:rsidP="00A63B7B">
            <w:pPr>
              <w:rPr>
                <w:color w:val="000000" w:themeColor="text1"/>
              </w:rPr>
            </w:pPr>
            <w:r>
              <w:rPr>
                <w:color w:val="000000" w:themeColor="text1"/>
              </w:rPr>
              <w:t>1.</w:t>
            </w:r>
            <w:r w:rsidR="001538FD">
              <w:rPr>
                <w:color w:val="000000" w:themeColor="text1"/>
              </w:rPr>
              <w:t>236</w:t>
            </w:r>
            <w:r>
              <w:rPr>
                <w:color w:val="000000" w:themeColor="text1"/>
              </w:rPr>
              <w:t>%-</w:t>
            </w:r>
            <w:r w:rsidR="001538FD">
              <w:rPr>
                <w:color w:val="000000" w:themeColor="text1"/>
              </w:rPr>
              <w:t>0.978</w:t>
            </w:r>
            <w:r>
              <w:rPr>
                <w:color w:val="000000" w:themeColor="text1"/>
              </w:rPr>
              <w:t xml:space="preserve"> % = +0.</w:t>
            </w:r>
            <w:r w:rsidR="001538FD">
              <w:rPr>
                <w:color w:val="000000" w:themeColor="text1"/>
              </w:rPr>
              <w:t>258</w:t>
            </w:r>
            <w:r>
              <w:rPr>
                <w:color w:val="000000" w:themeColor="text1"/>
              </w:rPr>
              <w:t>%</w:t>
            </w:r>
          </w:p>
          <w:p w14:paraId="4DF81C29" w14:textId="2354D558" w:rsidR="00A63B7B" w:rsidRDefault="00A63B7B" w:rsidP="00A63B7B">
            <w:pPr>
              <w:rPr>
                <w:color w:val="000000" w:themeColor="text1"/>
              </w:rPr>
            </w:pPr>
            <w:r>
              <w:rPr>
                <w:color w:val="000000" w:themeColor="text1"/>
              </w:rPr>
              <w:t xml:space="preserve">OR </w:t>
            </w:r>
            <w:r w:rsidR="001538FD">
              <w:rPr>
                <w:color w:val="000000" w:themeColor="text1"/>
              </w:rPr>
              <w:t>26.4</w:t>
            </w:r>
            <w:r>
              <w:rPr>
                <w:color w:val="000000" w:themeColor="text1"/>
              </w:rPr>
              <w:t>% increase</w:t>
            </w:r>
          </w:p>
          <w:p w14:paraId="425D2D48" w14:textId="77777777" w:rsidR="00A63B7B" w:rsidRDefault="00A63B7B" w:rsidP="00A63B7B">
            <w:pPr>
              <w:rPr>
                <w:color w:val="000000" w:themeColor="text1"/>
              </w:rPr>
            </w:pPr>
          </w:p>
          <w:p w14:paraId="35B53123" w14:textId="5D4FCEF6" w:rsidR="5606A867" w:rsidRDefault="5606A867" w:rsidP="5606A867">
            <w:pPr>
              <w:rPr>
                <w:color w:val="000000" w:themeColor="text1"/>
              </w:rPr>
            </w:pPr>
            <w:r w:rsidRPr="5606A867">
              <w:rPr>
                <w:rStyle w:val="normaltextrun"/>
                <w:rFonts w:ascii="Calibri" w:hAnsi="Calibri" w:cs="Calibri"/>
              </w:rPr>
              <w:t xml:space="preserve">Base case value: 2.25% (2.08%-2.43%)  </w:t>
            </w:r>
          </w:p>
          <w:p w14:paraId="6D25F6C3" w14:textId="77777777" w:rsidR="00A63B7B" w:rsidRDefault="00A63B7B" w:rsidP="00A63B7B">
            <w:pPr>
              <w:rPr>
                <w:color w:val="000000" w:themeColor="text1"/>
              </w:rPr>
            </w:pPr>
          </w:p>
          <w:p w14:paraId="6478982A" w14:textId="77777777" w:rsidR="00A63B7B" w:rsidRDefault="5606A867" w:rsidP="00A63B7B">
            <w:pPr>
              <w:rPr>
                <w:color w:val="000000" w:themeColor="text1"/>
              </w:rPr>
            </w:pPr>
            <w:r w:rsidRPr="5606A867">
              <w:rPr>
                <w:color w:val="000000" w:themeColor="text1"/>
              </w:rPr>
              <w:t>Older subgroup value:</w:t>
            </w:r>
          </w:p>
          <w:p w14:paraId="129F4DA4" w14:textId="77777777" w:rsidR="00A63B7B" w:rsidRPr="00A913E9" w:rsidRDefault="00A63B7B" w:rsidP="00A63B7B">
            <w:pPr>
              <w:rPr>
                <w:color w:val="000000" w:themeColor="text1"/>
                <w:highlight w:val="yellow"/>
              </w:rPr>
            </w:pPr>
            <w:r w:rsidRPr="00A913E9">
              <w:rPr>
                <w:color w:val="000000" w:themeColor="text1"/>
                <w:highlight w:val="yellow"/>
              </w:rPr>
              <w:t xml:space="preserve">Add % </w:t>
            </w:r>
            <w:proofErr w:type="spellStart"/>
            <w:r w:rsidRPr="00A913E9">
              <w:rPr>
                <w:color w:val="000000" w:themeColor="text1"/>
                <w:highlight w:val="yellow"/>
              </w:rPr>
              <w:t>inc</w:t>
            </w:r>
            <w:proofErr w:type="spellEnd"/>
            <w:r w:rsidRPr="00A913E9">
              <w:rPr>
                <w:color w:val="000000" w:themeColor="text1"/>
                <w:highlight w:val="yellow"/>
              </w:rPr>
              <w:t>:</w:t>
            </w:r>
          </w:p>
          <w:p w14:paraId="220A02DD" w14:textId="73A8DD32" w:rsidR="00A63B7B" w:rsidRDefault="5606A867" w:rsidP="00A63B7B">
            <w:r w:rsidRPr="5606A867">
              <w:rPr>
                <w:color w:val="000000" w:themeColor="text1"/>
                <w:highlight w:val="yellow"/>
              </w:rPr>
              <w:t>2.84% (2.63%-3.07%)</w:t>
            </w:r>
          </w:p>
        </w:tc>
        <w:tc>
          <w:tcPr>
            <w:tcW w:w="1530" w:type="dxa"/>
          </w:tcPr>
          <w:p w14:paraId="7EE681DC" w14:textId="77777777" w:rsidR="00A63B7B" w:rsidRDefault="00A63B7B" w:rsidP="00A63B7B">
            <w:hyperlink r:id="rId74" w:anchor="S20" w:history="1">
              <w:r>
                <w:rPr>
                  <w:rStyle w:val="Hyperlink"/>
                </w:rPr>
                <w:t>Kanwal 2018</w:t>
              </w:r>
            </w:hyperlink>
            <w:r>
              <w:t xml:space="preserve"> (supp table 1)</w:t>
            </w:r>
          </w:p>
          <w:p w14:paraId="751CA622" w14:textId="77777777" w:rsidR="00A63B7B" w:rsidRDefault="00A63B7B" w:rsidP="00A63B7B"/>
        </w:tc>
      </w:tr>
      <w:tr w:rsidR="00C55663" w14:paraId="6C881C73" w14:textId="77777777" w:rsidTr="7CE70FC4">
        <w:trPr>
          <w:trHeight w:val="531"/>
        </w:trPr>
        <w:tc>
          <w:tcPr>
            <w:tcW w:w="1449" w:type="dxa"/>
          </w:tcPr>
          <w:p w14:paraId="4EC22943" w14:textId="77777777" w:rsidR="00C55663" w:rsidRDefault="00C55663" w:rsidP="00C55663">
            <w:pPr>
              <w:rPr>
                <w:b/>
                <w:bCs/>
              </w:rPr>
            </w:pPr>
            <w:r>
              <w:t>Non-cirrhotic MASLD to cirrhosis</w:t>
            </w:r>
          </w:p>
        </w:tc>
        <w:tc>
          <w:tcPr>
            <w:tcW w:w="1568" w:type="dxa"/>
          </w:tcPr>
          <w:p w14:paraId="26241F65" w14:textId="0C0FD861" w:rsidR="00C55663" w:rsidRDefault="00C55663" w:rsidP="00C55663">
            <w:pPr>
              <w:rPr>
                <w:b/>
                <w:bCs/>
              </w:rPr>
            </w:pPr>
            <w:r w:rsidRPr="00C55663">
              <w:t>10-year incidence: 3.28% (3.23-3.34)</w:t>
            </w:r>
            <w:r>
              <w:rPr>
                <w:b/>
                <w:bCs/>
              </w:rPr>
              <w:t xml:space="preserve"> </w:t>
            </w:r>
            <w:r w:rsidRPr="00FB6392">
              <w:rPr>
                <w:rFonts w:ascii="Wingdings" w:eastAsia="Wingdings" w:hAnsi="Wingdings" w:cs="Wingdings"/>
                <w:b/>
                <w:bCs/>
              </w:rPr>
              <w:t>à</w:t>
            </w:r>
            <w:r>
              <w:rPr>
                <w:b/>
                <w:bCs/>
              </w:rPr>
              <w:t xml:space="preserve"> 0.333%</w:t>
            </w:r>
          </w:p>
          <w:p w14:paraId="435B3C24" w14:textId="77777777" w:rsidR="00C55663" w:rsidRDefault="00C55663" w:rsidP="00C55663">
            <w:pPr>
              <w:rPr>
                <w:b/>
                <w:bCs/>
              </w:rPr>
            </w:pPr>
          </w:p>
          <w:p w14:paraId="09B5DC84" w14:textId="3B79F5DF" w:rsidR="00C55663" w:rsidRPr="00C55663" w:rsidRDefault="00C55663" w:rsidP="00C55663">
            <w:r w:rsidRPr="00C55663">
              <w:t>(no DM: 4.05 (4.00-4.</w:t>
            </w:r>
            <w:proofErr w:type="gramStart"/>
            <w:r w:rsidRPr="00C55663">
              <w:t>10)</w:t>
            </w:r>
            <w:r w:rsidRPr="00C55663">
              <w:rPr>
                <w:rFonts w:ascii="Wingdings" w:eastAsia="Wingdings" w:hAnsi="Wingdings" w:cs="Wingdings"/>
              </w:rPr>
              <w:t>à</w:t>
            </w:r>
            <w:proofErr w:type="gramEnd"/>
            <w:r w:rsidRPr="00C55663">
              <w:t xml:space="preserve"> 0.413%)</w:t>
            </w:r>
          </w:p>
        </w:tc>
        <w:tc>
          <w:tcPr>
            <w:tcW w:w="5888" w:type="dxa"/>
          </w:tcPr>
          <w:p w14:paraId="2561EAD7" w14:textId="77777777" w:rsidR="00C55663" w:rsidRDefault="00C55663" w:rsidP="00C55663">
            <w:pPr>
              <w:rPr>
                <w:color w:val="000000" w:themeColor="text1"/>
              </w:rPr>
            </w:pPr>
            <w:r>
              <w:rPr>
                <w:color w:val="000000" w:themeColor="text1"/>
              </w:rPr>
              <w:t>New “overall”:</w:t>
            </w:r>
          </w:p>
          <w:p w14:paraId="387B04BC" w14:textId="4B6D708C" w:rsidR="00C55663" w:rsidRDefault="00C55663" w:rsidP="00C55663">
            <w:pPr>
              <w:rPr>
                <w:color w:val="000000" w:themeColor="text1"/>
              </w:rPr>
            </w:pPr>
            <w:r>
              <w:rPr>
                <w:color w:val="000000" w:themeColor="text1"/>
              </w:rPr>
              <w:t>0.333</w:t>
            </w:r>
            <w:proofErr w:type="gramStart"/>
            <w:r>
              <w:rPr>
                <w:color w:val="000000" w:themeColor="text1"/>
              </w:rPr>
              <w:t>%(</w:t>
            </w:r>
            <w:proofErr w:type="gramEnd"/>
            <w:r>
              <w:rPr>
                <w:color w:val="000000" w:themeColor="text1"/>
              </w:rPr>
              <w:t>0.33)+</w:t>
            </w:r>
          </w:p>
          <w:p w14:paraId="35E8E814" w14:textId="7D178FB1" w:rsidR="00C55663" w:rsidRDefault="00C55663" w:rsidP="00C55663">
            <w:pPr>
              <w:rPr>
                <w:color w:val="000000" w:themeColor="text1"/>
              </w:rPr>
            </w:pPr>
            <w:r>
              <w:rPr>
                <w:color w:val="000000" w:themeColor="text1"/>
              </w:rPr>
              <w:t>0.413</w:t>
            </w:r>
            <w:proofErr w:type="gramStart"/>
            <w:r>
              <w:rPr>
                <w:color w:val="000000" w:themeColor="text1"/>
              </w:rPr>
              <w:t>%(</w:t>
            </w:r>
            <w:proofErr w:type="gramEnd"/>
            <w:r>
              <w:rPr>
                <w:color w:val="000000" w:themeColor="text1"/>
              </w:rPr>
              <w:t>0.67)=</w:t>
            </w:r>
          </w:p>
          <w:p w14:paraId="431C162A" w14:textId="693E74D7" w:rsidR="00C55663" w:rsidRDefault="00C55663" w:rsidP="00C55663">
            <w:pPr>
              <w:rPr>
                <w:color w:val="000000" w:themeColor="text1"/>
              </w:rPr>
            </w:pPr>
            <w:r>
              <w:rPr>
                <w:color w:val="000000" w:themeColor="text1"/>
              </w:rPr>
              <w:t>0.387%</w:t>
            </w:r>
          </w:p>
          <w:p w14:paraId="246A2C0D" w14:textId="77777777" w:rsidR="00C55663" w:rsidRDefault="00C55663" w:rsidP="00C55663">
            <w:pPr>
              <w:rPr>
                <w:color w:val="000000" w:themeColor="text1"/>
              </w:rPr>
            </w:pPr>
          </w:p>
          <w:p w14:paraId="278B2D5D" w14:textId="77777777" w:rsidR="00C55663" w:rsidRDefault="00C55663" w:rsidP="00C55663">
            <w:pPr>
              <w:rPr>
                <w:color w:val="000000" w:themeColor="text1"/>
              </w:rPr>
            </w:pPr>
            <w:r>
              <w:rPr>
                <w:color w:val="000000" w:themeColor="text1"/>
              </w:rPr>
              <w:t>Increment dec for older pts:</w:t>
            </w:r>
          </w:p>
          <w:p w14:paraId="2158160A" w14:textId="08E529D1" w:rsidR="00C55663" w:rsidRDefault="00C55663" w:rsidP="00C55663">
            <w:pPr>
              <w:rPr>
                <w:color w:val="000000" w:themeColor="text1"/>
              </w:rPr>
            </w:pPr>
            <w:r>
              <w:rPr>
                <w:color w:val="000000" w:themeColor="text1"/>
              </w:rPr>
              <w:t xml:space="preserve">0.333%-0.387% = </w:t>
            </w:r>
          </w:p>
          <w:p w14:paraId="4B523B86" w14:textId="3A1F0C70" w:rsidR="00C55663" w:rsidRDefault="00C55663" w:rsidP="00C55663">
            <w:pPr>
              <w:rPr>
                <w:color w:val="000000" w:themeColor="text1"/>
              </w:rPr>
            </w:pPr>
            <w:r>
              <w:rPr>
                <w:color w:val="000000" w:themeColor="text1"/>
              </w:rPr>
              <w:t>-0.054 %</w:t>
            </w:r>
          </w:p>
          <w:p w14:paraId="2CC25EDE" w14:textId="28FC0F90" w:rsidR="00C55663" w:rsidRDefault="00C55663" w:rsidP="00C55663">
            <w:pPr>
              <w:rPr>
                <w:color w:val="000000" w:themeColor="text1"/>
              </w:rPr>
            </w:pPr>
            <w:r>
              <w:rPr>
                <w:color w:val="000000" w:themeColor="text1"/>
              </w:rPr>
              <w:t>OR 14.0% decrease</w:t>
            </w:r>
          </w:p>
          <w:p w14:paraId="37BE46A9" w14:textId="77777777" w:rsidR="00C55663" w:rsidRDefault="00C55663" w:rsidP="00C55663">
            <w:pPr>
              <w:rPr>
                <w:color w:val="000000" w:themeColor="text1"/>
              </w:rPr>
            </w:pPr>
          </w:p>
          <w:p w14:paraId="19A99D56" w14:textId="325F6859" w:rsidR="00C55663" w:rsidRDefault="5606A867" w:rsidP="00C55663">
            <w:pPr>
              <w:rPr>
                <w:rStyle w:val="normaltextrun"/>
                <w:rFonts w:ascii="Calibri" w:hAnsi="Calibri" w:cs="Calibri"/>
              </w:rPr>
            </w:pPr>
            <w:r w:rsidRPr="5606A867">
              <w:rPr>
                <w:rStyle w:val="normaltextrun"/>
                <w:rFonts w:ascii="Calibri" w:hAnsi="Calibri" w:cs="Calibri"/>
              </w:rPr>
              <w:t xml:space="preserve">Base case value: 1.085% (0.665%-1.506%)  </w:t>
            </w:r>
          </w:p>
          <w:p w14:paraId="09F7D06A" w14:textId="77777777" w:rsidR="00C55663" w:rsidRDefault="00C55663" w:rsidP="00C55663">
            <w:pPr>
              <w:rPr>
                <w:color w:val="000000" w:themeColor="text1"/>
              </w:rPr>
            </w:pPr>
          </w:p>
          <w:p w14:paraId="1B059ADA" w14:textId="73F8B8C2" w:rsidR="00C55663" w:rsidRDefault="00C55663" w:rsidP="00C55663">
            <w:pPr>
              <w:rPr>
                <w:color w:val="000000" w:themeColor="text1"/>
              </w:rPr>
            </w:pPr>
            <w:r>
              <w:rPr>
                <w:color w:val="000000" w:themeColor="text1"/>
              </w:rPr>
              <w:t>Diabetic subgroup value:</w:t>
            </w:r>
          </w:p>
          <w:p w14:paraId="3058BD04" w14:textId="4C5DB813" w:rsidR="00C55663" w:rsidRPr="00704859" w:rsidRDefault="5606A867" w:rsidP="00C55663">
            <w:pPr>
              <w:rPr>
                <w:color w:val="000000" w:themeColor="text1"/>
                <w:highlight w:val="yellow"/>
              </w:rPr>
            </w:pPr>
            <w:r w:rsidRPr="5606A867">
              <w:rPr>
                <w:color w:val="000000" w:themeColor="text1"/>
                <w:highlight w:val="yellow"/>
              </w:rPr>
              <w:t>Add % decrease:</w:t>
            </w:r>
          </w:p>
          <w:p w14:paraId="4D5F2FC8" w14:textId="496CC011" w:rsidR="00C55663" w:rsidRDefault="5606A867" w:rsidP="00C55663">
            <w:pPr>
              <w:rPr>
                <w:b/>
                <w:bCs/>
              </w:rPr>
            </w:pPr>
            <w:r w:rsidRPr="5606A867">
              <w:rPr>
                <w:color w:val="000000" w:themeColor="text1"/>
                <w:highlight w:val="yellow"/>
              </w:rPr>
              <w:t>0.933% (0.572%-1.295%)</w:t>
            </w:r>
          </w:p>
        </w:tc>
        <w:tc>
          <w:tcPr>
            <w:tcW w:w="1530" w:type="dxa"/>
          </w:tcPr>
          <w:p w14:paraId="57B8EDD0" w14:textId="7CD8D9DE" w:rsidR="00C55663" w:rsidRDefault="00C55663" w:rsidP="00C55663">
            <w:pPr>
              <w:rPr>
                <w:b/>
                <w:bCs/>
              </w:rPr>
            </w:pPr>
            <w:hyperlink r:id="rId75" w:history="1">
              <w:r>
                <w:rPr>
                  <w:rStyle w:val="Hyperlink"/>
                </w:rPr>
                <w:t>Yeoh 2024</w:t>
              </w:r>
            </w:hyperlink>
          </w:p>
        </w:tc>
      </w:tr>
      <w:tr w:rsidR="00C55663" w14:paraId="40B86CE2" w14:textId="77777777" w:rsidTr="7CE70FC4">
        <w:trPr>
          <w:trHeight w:val="531"/>
        </w:trPr>
        <w:tc>
          <w:tcPr>
            <w:tcW w:w="1449" w:type="dxa"/>
          </w:tcPr>
          <w:p w14:paraId="1A60ADEC" w14:textId="77777777" w:rsidR="00C55663" w:rsidRDefault="00C55663" w:rsidP="00C55663">
            <w:r w:rsidRPr="00341C81">
              <w:rPr>
                <w:highlight w:val="yellow"/>
              </w:rPr>
              <w:t>Non-cirrhotic MASLD to death</w:t>
            </w:r>
            <w:r>
              <w:t xml:space="preserve"> </w:t>
            </w:r>
          </w:p>
        </w:tc>
        <w:tc>
          <w:tcPr>
            <w:tcW w:w="1568" w:type="dxa"/>
          </w:tcPr>
          <w:p w14:paraId="09FD050A" w14:textId="72AFCAAF" w:rsidR="00C55663" w:rsidRDefault="00C55663" w:rsidP="00C55663">
            <w:pPr>
              <w:rPr>
                <w:b/>
                <w:bCs/>
              </w:rPr>
            </w:pPr>
          </w:p>
        </w:tc>
        <w:tc>
          <w:tcPr>
            <w:tcW w:w="5888" w:type="dxa"/>
          </w:tcPr>
          <w:p w14:paraId="55D21324" w14:textId="56FA06E7" w:rsidR="005054E7" w:rsidRDefault="005054E7" w:rsidP="00C55663">
            <w:r>
              <w:t>M</w:t>
            </w:r>
            <w:r w:rsidR="00A45C9A">
              <w:t xml:space="preserve">ultiply the death probability from Actuarial Life Table by </w:t>
            </w:r>
            <w:r>
              <w:t xml:space="preserve">the appropriate SMRs </w:t>
            </w:r>
            <w:r w:rsidR="00E9649A">
              <w:t xml:space="preserve">below </w:t>
            </w:r>
            <w:r>
              <w:t>(</w:t>
            </w:r>
            <w:r w:rsidR="0042148F">
              <w:t>standardized mortality ratio</w:t>
            </w:r>
            <w:r>
              <w:t xml:space="preserve">: </w:t>
            </w:r>
            <w:r w:rsidRPr="00656B65">
              <w:t>ratios between deaths observed in the diabetic cohort, and those expected according to age- and gender-specific regional mortality rates</w:t>
            </w:r>
            <w:r>
              <w:t xml:space="preserve">): </w:t>
            </w:r>
          </w:p>
          <w:p w14:paraId="6D2BEE25" w14:textId="34854C1E" w:rsidR="005054E7" w:rsidRDefault="005054E7" w:rsidP="00C55663"/>
          <w:p w14:paraId="499D7F37" w14:textId="3C1DABAD" w:rsidR="00E9649A" w:rsidRDefault="7CE70FC4" w:rsidP="00E9649A">
            <w:r>
              <w:t xml:space="preserve">SMRs for nonviral and nonalcoholic liver disease in diabetic cohort. -- Accounts for liver and diabetes mortality </w:t>
            </w:r>
          </w:p>
          <w:p w14:paraId="78C5E78C" w14:textId="3A264589" w:rsidR="00E9649A" w:rsidRDefault="00E9649A" w:rsidP="00C55663"/>
          <w:p w14:paraId="6CFDDD7F" w14:textId="74BB6361" w:rsidR="005054E7" w:rsidRDefault="005054E7" w:rsidP="00C55663">
            <w:r>
              <w:t xml:space="preserve">Overall: SMR of 2.86 </w:t>
            </w:r>
          </w:p>
          <w:p w14:paraId="600F3141" w14:textId="77777777" w:rsidR="005054E7" w:rsidRDefault="005054E7" w:rsidP="00C55663">
            <w:r>
              <w:t xml:space="preserve">All ages: </w:t>
            </w:r>
          </w:p>
          <w:p w14:paraId="0EF1D6C3" w14:textId="0ECBA742" w:rsidR="005054E7" w:rsidRDefault="005054E7" w:rsidP="00C55663">
            <w:proofErr w:type="gramStart"/>
            <w:r>
              <w:t>M</w:t>
            </w:r>
            <w:r w:rsidRPr="005054E7">
              <w:t xml:space="preserve">  2.78</w:t>
            </w:r>
            <w:proofErr w:type="gramEnd"/>
            <w:r w:rsidRPr="005054E7">
              <w:t xml:space="preserve"> (2.54 – 3.04)        </w:t>
            </w:r>
          </w:p>
          <w:p w14:paraId="35DC5A35" w14:textId="743C5A41" w:rsidR="005054E7" w:rsidRDefault="005054E7" w:rsidP="00C55663">
            <w:proofErr w:type="gramStart"/>
            <w:r>
              <w:lastRenderedPageBreak/>
              <w:t>F  3.07</w:t>
            </w:r>
            <w:proofErr w:type="gramEnd"/>
            <w:r>
              <w:t xml:space="preserve"> (2.67-3.51)</w:t>
            </w:r>
          </w:p>
          <w:p w14:paraId="4A5F5C8F" w14:textId="123E01DD" w:rsidR="005054E7" w:rsidRDefault="005054E7" w:rsidP="00C55663"/>
          <w:p w14:paraId="391E2569" w14:textId="2DB3C0D8" w:rsidR="7CE70FC4" w:rsidRDefault="7CE70FC4"/>
          <w:p w14:paraId="7D9516CF" w14:textId="22750CD2" w:rsidR="005054E7" w:rsidRDefault="005054E7" w:rsidP="00C55663">
            <w:r>
              <w:t>30-64:</w:t>
            </w:r>
          </w:p>
          <w:p w14:paraId="7F798FDA" w14:textId="63AACCE0" w:rsidR="005054E7" w:rsidRDefault="005054E7" w:rsidP="00C55663">
            <w:r>
              <w:t>M 4.41 (3.69-5.23)</w:t>
            </w:r>
          </w:p>
          <w:p w14:paraId="2A82A676" w14:textId="3DC216C7" w:rsidR="005054E7" w:rsidRDefault="005054E7" w:rsidP="00C55663">
            <w:r>
              <w:t>F 5.51 (3.49-8.26)</w:t>
            </w:r>
          </w:p>
          <w:p w14:paraId="59F099DF" w14:textId="5A67688F" w:rsidR="005054E7" w:rsidRDefault="7CE70FC4" w:rsidP="00C55663">
            <w:r>
              <w:t>Avg: 4.96</w:t>
            </w:r>
          </w:p>
          <w:p w14:paraId="1AE83229" w14:textId="0A90D3E5" w:rsidR="7CE70FC4" w:rsidRDefault="7CE70FC4"/>
          <w:p w14:paraId="7805C94F" w14:textId="2FA17988" w:rsidR="005054E7" w:rsidRDefault="005054E7" w:rsidP="00C55663">
            <w:r>
              <w:t xml:space="preserve">65-74: </w:t>
            </w:r>
          </w:p>
          <w:p w14:paraId="60C02BBF" w14:textId="07915BFC" w:rsidR="005054E7" w:rsidRDefault="005054E7" w:rsidP="00C55663">
            <w:r>
              <w:t>M 2.82 (2.44-3.24)</w:t>
            </w:r>
          </w:p>
          <w:p w14:paraId="6E8277A2" w14:textId="6B2B474F" w:rsidR="005054E7" w:rsidRDefault="7CE70FC4" w:rsidP="00C55663">
            <w:r>
              <w:t>F 3.31 (2.49-4.32)</w:t>
            </w:r>
          </w:p>
          <w:p w14:paraId="5C3B1F8F" w14:textId="2407BB4A" w:rsidR="7CE70FC4" w:rsidRDefault="7CE70FC4">
            <w:r>
              <w:t>Avg: 3.07</w:t>
            </w:r>
          </w:p>
          <w:p w14:paraId="765B8D4B" w14:textId="31487028" w:rsidR="005054E7" w:rsidRDefault="005054E7" w:rsidP="00C55663"/>
          <w:p w14:paraId="43037663" w14:textId="24F58D29" w:rsidR="005054E7" w:rsidRDefault="005054E7" w:rsidP="00C55663">
            <w:r>
              <w:t>75-89:</w:t>
            </w:r>
          </w:p>
          <w:p w14:paraId="7B3534A9" w14:textId="57FB19D4" w:rsidR="005054E7" w:rsidRDefault="005054E7" w:rsidP="00C55663">
            <w:r>
              <w:t>M 2.12 (1.81-2.47)</w:t>
            </w:r>
          </w:p>
          <w:p w14:paraId="571AB055" w14:textId="3C86A5DE" w:rsidR="005054E7" w:rsidRDefault="7CE70FC4" w:rsidP="00C55663">
            <w:r>
              <w:t>F 2.78 (2.33-3.28)</w:t>
            </w:r>
          </w:p>
          <w:p w14:paraId="0082C18E" w14:textId="5724367F" w:rsidR="7CE70FC4" w:rsidRDefault="7CE70FC4">
            <w:r>
              <w:t>Avg: 2.45</w:t>
            </w:r>
          </w:p>
          <w:p w14:paraId="69146421" w14:textId="186BF5AA" w:rsidR="0093548C" w:rsidRDefault="0093548C" w:rsidP="00C55663"/>
        </w:tc>
        <w:tc>
          <w:tcPr>
            <w:tcW w:w="1530" w:type="dxa"/>
          </w:tcPr>
          <w:p w14:paraId="22380EC0" w14:textId="3C1B4727" w:rsidR="005054E7" w:rsidRDefault="7CE70FC4" w:rsidP="005054E7">
            <w:pPr>
              <w:rPr>
                <w:rStyle w:val="Hyperlink"/>
              </w:rPr>
            </w:pPr>
            <w:hyperlink r:id="rId76">
              <w:proofErr w:type="spellStart"/>
              <w:r w:rsidRPr="7CE70FC4">
                <w:rPr>
                  <w:rStyle w:val="Hyperlink"/>
                </w:rPr>
                <w:t>Zoppini</w:t>
              </w:r>
              <w:proofErr w:type="spellEnd"/>
              <w:r w:rsidRPr="7CE70FC4">
                <w:rPr>
                  <w:rStyle w:val="Hyperlink"/>
                </w:rPr>
                <w:t xml:space="preserve"> 2014</w:t>
              </w:r>
            </w:hyperlink>
            <w:r w:rsidRPr="7CE70FC4">
              <w:rPr>
                <w:rStyle w:val="Hyperlink"/>
              </w:rPr>
              <w:t xml:space="preserve"> </w:t>
            </w:r>
          </w:p>
          <w:p w14:paraId="5B9AA03C" w14:textId="71BCB8A1" w:rsidR="005054E7" w:rsidRDefault="005054E7" w:rsidP="005054E7">
            <w:r>
              <w:t xml:space="preserve">Italian study </w:t>
            </w:r>
          </w:p>
          <w:p w14:paraId="2BB08C41" w14:textId="77777777" w:rsidR="00C55663" w:rsidRDefault="00C55663" w:rsidP="00C55663">
            <w:pPr>
              <w:rPr>
                <w:b/>
                <w:bCs/>
              </w:rPr>
            </w:pPr>
          </w:p>
          <w:p w14:paraId="002CDFB0" w14:textId="77777777" w:rsidR="00E9649A" w:rsidRDefault="00E9649A" w:rsidP="00C55663">
            <w:pPr>
              <w:rPr>
                <w:b/>
                <w:bCs/>
              </w:rPr>
            </w:pPr>
            <w:r>
              <w:rPr>
                <w:b/>
                <w:bCs/>
              </w:rPr>
              <w:t>Provides age and sex stratified data</w:t>
            </w:r>
          </w:p>
          <w:p w14:paraId="4E52273F" w14:textId="4E391D7B" w:rsidR="00E9649A" w:rsidRDefault="00E9649A" w:rsidP="00C55663">
            <w:pPr>
              <w:rPr>
                <w:b/>
                <w:bCs/>
              </w:rPr>
            </w:pPr>
          </w:p>
        </w:tc>
      </w:tr>
      <w:tr w:rsidR="7CE70FC4" w14:paraId="71158B03" w14:textId="77777777" w:rsidTr="7CE70FC4">
        <w:trPr>
          <w:trHeight w:val="531"/>
        </w:trPr>
        <w:tc>
          <w:tcPr>
            <w:tcW w:w="1449" w:type="dxa"/>
          </w:tcPr>
          <w:p w14:paraId="71BB30D0" w14:textId="18040F0C" w:rsidR="7CE70FC4" w:rsidRDefault="7CE70FC4" w:rsidP="7CE70FC4">
            <w:pPr>
              <w:rPr>
                <w:highlight w:val="yellow"/>
              </w:rPr>
            </w:pPr>
            <w:r w:rsidRPr="7CE70FC4">
              <w:rPr>
                <w:highlight w:val="yellow"/>
              </w:rPr>
              <w:t>Cost of care for diabetes</w:t>
            </w:r>
          </w:p>
        </w:tc>
        <w:tc>
          <w:tcPr>
            <w:tcW w:w="1568" w:type="dxa"/>
          </w:tcPr>
          <w:p w14:paraId="7D4E4DB1" w14:textId="73D73160" w:rsidR="7CE70FC4" w:rsidRDefault="7CE70FC4" w:rsidP="7CE70FC4">
            <w:pPr>
              <w:rPr>
                <w:b/>
                <w:bCs/>
              </w:rPr>
            </w:pPr>
            <w:r w:rsidRPr="7CE70FC4">
              <w:rPr>
                <w:b/>
                <w:bCs/>
              </w:rPr>
              <w:t xml:space="preserve">$16,752 per year (2018 USD) </w:t>
            </w:r>
          </w:p>
        </w:tc>
        <w:tc>
          <w:tcPr>
            <w:tcW w:w="5888" w:type="dxa"/>
          </w:tcPr>
          <w:p w14:paraId="73452F3E" w14:textId="1E49AB3B" w:rsidR="7CE70FC4" w:rsidRDefault="7CE70FC4" w:rsidP="7CE70FC4">
            <w:r>
              <w:t>$21,286.79 2025 USD</w:t>
            </w:r>
          </w:p>
          <w:p w14:paraId="7B4839BA" w14:textId="0800C424" w:rsidR="7CE70FC4" w:rsidRDefault="7CE70FC4" w:rsidP="7CE70FC4"/>
          <w:p w14:paraId="042DCC25" w14:textId="7FD25DE7" w:rsidR="7CE70FC4" w:rsidRDefault="7CE70FC4" w:rsidP="7CE70FC4">
            <w:pPr>
              <w:rPr>
                <w:color w:val="FF0000"/>
              </w:rPr>
            </w:pPr>
            <w:r w:rsidRPr="7CE70FC4">
              <w:rPr>
                <w:color w:val="FF0000"/>
              </w:rPr>
              <w:t xml:space="preserve">Adding this? This cost would be added to all patients at all nodes so maybe not. </w:t>
            </w:r>
          </w:p>
        </w:tc>
        <w:tc>
          <w:tcPr>
            <w:tcW w:w="1530" w:type="dxa"/>
          </w:tcPr>
          <w:p w14:paraId="5755AC57" w14:textId="617F88E0" w:rsidR="7CE70FC4" w:rsidRDefault="7CE70FC4" w:rsidP="7CE70FC4">
            <w:pPr>
              <w:rPr>
                <w:rFonts w:ascii="Calibri" w:eastAsia="Calibri" w:hAnsi="Calibri" w:cs="Calibri"/>
              </w:rPr>
            </w:pPr>
            <w:hyperlink r:id="rId77">
              <w:r w:rsidRPr="7CE70FC4">
                <w:rPr>
                  <w:rStyle w:val="Hyperlink"/>
                  <w:rFonts w:ascii="Calibri" w:eastAsia="Calibri" w:hAnsi="Calibri" w:cs="Calibri"/>
                </w:rPr>
                <w:t>Riddle 2018</w:t>
              </w:r>
            </w:hyperlink>
          </w:p>
        </w:tc>
      </w:tr>
    </w:tbl>
    <w:p w14:paraId="4144A994" w14:textId="6BF17AF5" w:rsidR="004F6A4C" w:rsidRDefault="004F6A4C" w:rsidP="3FD443D1">
      <w:pPr>
        <w:rPr>
          <w:b/>
          <w:bCs/>
        </w:rPr>
      </w:pPr>
    </w:p>
    <w:p w14:paraId="2A06E8D7" w14:textId="5B440EB5" w:rsidR="002B25A8" w:rsidRDefault="002B25A8" w:rsidP="3FD443D1">
      <w:pPr>
        <w:rPr>
          <w:b/>
          <w:bCs/>
        </w:rPr>
      </w:pPr>
    </w:p>
    <w:p w14:paraId="5CF50BB2" w14:textId="69F385DB" w:rsidR="00691B66" w:rsidRDefault="00691B66" w:rsidP="3FD443D1">
      <w:pPr>
        <w:rPr>
          <w:b/>
          <w:bCs/>
        </w:rPr>
      </w:pPr>
      <w:r>
        <w:rPr>
          <w:b/>
          <w:bCs/>
        </w:rPr>
        <w:t xml:space="preserve">Literature search notes for combined subgroup data: </w:t>
      </w:r>
    </w:p>
    <w:p w14:paraId="5F37F333" w14:textId="7049F595" w:rsidR="00E86683" w:rsidRDefault="00E86683" w:rsidP="3FD443D1">
      <w:pPr>
        <w:rPr>
          <w:b/>
          <w:bCs/>
        </w:rPr>
      </w:pPr>
      <w:r>
        <w:rPr>
          <w:b/>
          <w:bCs/>
        </w:rPr>
        <w:t xml:space="preserve">HCC incidence (cirrhotic and non-cirrhotic): </w:t>
      </w:r>
    </w:p>
    <w:p w14:paraId="343A551B" w14:textId="27CC5376" w:rsidR="00E86683" w:rsidRDefault="00E86683" w:rsidP="3FD443D1">
      <w:pPr>
        <w:rPr>
          <w:b/>
          <w:bCs/>
        </w:rPr>
      </w:pPr>
      <w:r>
        <w:rPr>
          <w:b/>
          <w:bCs/>
        </w:rPr>
        <w:t>For any combination of risk factors</w:t>
      </w:r>
    </w:p>
    <w:p w14:paraId="57E21797" w14:textId="21D64F4B" w:rsidR="002B25A8" w:rsidRDefault="002B25A8" w:rsidP="3FD443D1">
      <w:hyperlink r:id="rId78" w:anchor="sec020" w:history="1">
        <w:r>
          <w:rPr>
            <w:rStyle w:val="Hyperlink"/>
          </w:rPr>
          <w:t xml:space="preserve">Incidence rates of hepatocellular carcinoma based on risk stratification in </w:t>
        </w:r>
        <w:proofErr w:type="spellStart"/>
        <w:r>
          <w:rPr>
            <w:rStyle w:val="Hyperlink"/>
          </w:rPr>
          <w:t>steatotic</w:t>
        </w:r>
        <w:proofErr w:type="spellEnd"/>
        <w:r>
          <w:rPr>
            <w:rStyle w:val="Hyperlink"/>
          </w:rPr>
          <w:t xml:space="preserve"> liver disease for precision medicine: A real-world longitudinal nationwide study - PMC</w:t>
        </w:r>
      </w:hyperlink>
    </w:p>
    <w:p w14:paraId="35ACB601" w14:textId="342A2BFC" w:rsidR="002B25A8" w:rsidRDefault="002B25A8" w:rsidP="3FD443D1">
      <w:r>
        <w:t xml:space="preserve">Figure 1 provides HCC incidence for cirrhotic and </w:t>
      </w:r>
      <w:proofErr w:type="spellStart"/>
      <w:r>
        <w:t>non cirrhotic</w:t>
      </w:r>
      <w:proofErr w:type="spellEnd"/>
      <w:r>
        <w:t xml:space="preserve"> pts, by sex, age, DM/no DM</w:t>
      </w:r>
    </w:p>
    <w:p w14:paraId="50E63D36" w14:textId="2BC71237" w:rsidR="00E86683" w:rsidRDefault="00E86683" w:rsidP="3FD443D1"/>
    <w:p w14:paraId="0F129A68" w14:textId="2F60A06D" w:rsidR="00E86683" w:rsidRDefault="00E86683" w:rsidP="3FD443D1">
      <w:pPr>
        <w:rPr>
          <w:b/>
          <w:bCs/>
        </w:rPr>
      </w:pPr>
      <w:r>
        <w:rPr>
          <w:b/>
          <w:bCs/>
        </w:rPr>
        <w:t>Cirrhosis incidence</w:t>
      </w:r>
    </w:p>
    <w:p w14:paraId="28F7343D" w14:textId="163CAFE1" w:rsidR="00E86683" w:rsidRDefault="00E86683" w:rsidP="3FD443D1">
      <w:pPr>
        <w:rPr>
          <w:b/>
          <w:bCs/>
        </w:rPr>
      </w:pPr>
    </w:p>
    <w:p w14:paraId="31340DCD" w14:textId="3387222F" w:rsidR="00E86683" w:rsidRDefault="00E86683" w:rsidP="3FD443D1">
      <w:pPr>
        <w:rPr>
          <w:b/>
          <w:bCs/>
        </w:rPr>
      </w:pPr>
      <w:r>
        <w:rPr>
          <w:b/>
          <w:bCs/>
        </w:rPr>
        <w:t xml:space="preserve">MASLD mortality </w:t>
      </w:r>
    </w:p>
    <w:p w14:paraId="62373013" w14:textId="7A3C4248" w:rsidR="00691B66" w:rsidRDefault="00691B66" w:rsidP="3FD443D1">
      <w:pPr>
        <w:rPr>
          <w:b/>
          <w:bCs/>
        </w:rPr>
      </w:pPr>
    </w:p>
    <w:p w14:paraId="74C7CE3F" w14:textId="30403E19" w:rsidR="00691B66" w:rsidRDefault="00691B66" w:rsidP="3FD443D1">
      <w:pPr>
        <w:rPr>
          <w:b/>
          <w:bCs/>
        </w:rPr>
      </w:pPr>
    </w:p>
    <w:p w14:paraId="2B9B1E9F" w14:textId="3932B13D" w:rsidR="00691B66" w:rsidRDefault="00691B66" w:rsidP="3FD443D1">
      <w:pPr>
        <w:rPr>
          <w:b/>
          <w:bCs/>
        </w:rPr>
      </w:pPr>
      <w:r>
        <w:rPr>
          <w:b/>
          <w:bCs/>
        </w:rPr>
        <w:t>4. Male, older and with diabetes</w:t>
      </w:r>
    </w:p>
    <w:p w14:paraId="68C6386A" w14:textId="07E64E6E" w:rsidR="001A2168" w:rsidRPr="00940A8A" w:rsidRDefault="001A2168" w:rsidP="3FD443D1">
      <w:pPr>
        <w:rPr>
          <w:color w:val="FF0000"/>
        </w:rPr>
      </w:pPr>
      <w:r>
        <w:t>Assumptions to get the new overall transition probabilities</w:t>
      </w:r>
      <w:r w:rsidR="00940A8A">
        <w:t xml:space="preserve"> --- </w:t>
      </w:r>
      <w:r w:rsidR="00940A8A">
        <w:rPr>
          <w:color w:val="FF0000"/>
        </w:rPr>
        <w:t>Asked Winnie for Truven data</w:t>
      </w:r>
    </w:p>
    <w:p w14:paraId="56B8DDCB" w14:textId="17075B14" w:rsidR="001A2168" w:rsidRDefault="001A2168" w:rsidP="3FD443D1">
      <w:r>
        <w:t>33% diabetes</w:t>
      </w:r>
    </w:p>
    <w:p w14:paraId="103DCF9B" w14:textId="1A1E91B5" w:rsidR="001A2168" w:rsidRDefault="001A2168" w:rsidP="3FD443D1">
      <w:r>
        <w:t>19% &lt;40 y/o</w:t>
      </w:r>
    </w:p>
    <w:p w14:paraId="187FAA56" w14:textId="47C6CA97" w:rsidR="001A2168" w:rsidRDefault="001A2168" w:rsidP="3FD443D1">
      <w:r>
        <w:t>24% 40-49 y/o</w:t>
      </w:r>
    </w:p>
    <w:p w14:paraId="3056DC9F" w14:textId="53094239" w:rsidR="001A2168" w:rsidRDefault="001A2168" w:rsidP="3FD443D1">
      <w:r>
        <w:t>33% 50-59 y/o</w:t>
      </w:r>
    </w:p>
    <w:p w14:paraId="253E6D4F" w14:textId="54AE892D" w:rsidR="001A2168" w:rsidRDefault="001A2168" w:rsidP="3FD443D1">
      <w:r>
        <w:t>17% 60-69 y/o</w:t>
      </w:r>
    </w:p>
    <w:p w14:paraId="46D16474" w14:textId="5FB56F7C" w:rsidR="001A2168" w:rsidRPr="001A2168" w:rsidRDefault="001A2168" w:rsidP="3FD443D1">
      <w:r>
        <w:t xml:space="preserve">7% &gt;=70 y/o </w:t>
      </w:r>
    </w:p>
    <w:tbl>
      <w:tblPr>
        <w:tblStyle w:val="TableGrid"/>
        <w:tblW w:w="10435" w:type="dxa"/>
        <w:tblInd w:w="0" w:type="dxa"/>
        <w:tblLook w:val="04A0" w:firstRow="1" w:lastRow="0" w:firstColumn="1" w:lastColumn="0" w:noHBand="0" w:noVBand="1"/>
      </w:tblPr>
      <w:tblGrid>
        <w:gridCol w:w="1446"/>
        <w:gridCol w:w="1544"/>
        <w:gridCol w:w="5646"/>
        <w:gridCol w:w="1799"/>
      </w:tblGrid>
      <w:tr w:rsidR="00691B66" w14:paraId="06AD4035" w14:textId="77777777" w:rsidTr="00A429AB">
        <w:trPr>
          <w:trHeight w:val="258"/>
        </w:trPr>
        <w:tc>
          <w:tcPr>
            <w:tcW w:w="1449" w:type="dxa"/>
          </w:tcPr>
          <w:p w14:paraId="15CCB043" w14:textId="77777777" w:rsidR="00691B66" w:rsidRDefault="00691B66" w:rsidP="00A429AB">
            <w:pPr>
              <w:rPr>
                <w:b/>
                <w:bCs/>
              </w:rPr>
            </w:pPr>
          </w:p>
        </w:tc>
        <w:tc>
          <w:tcPr>
            <w:tcW w:w="1568" w:type="dxa"/>
          </w:tcPr>
          <w:p w14:paraId="6892B681" w14:textId="77777777" w:rsidR="00691B66" w:rsidRDefault="00691B66" w:rsidP="00A429AB">
            <w:pPr>
              <w:tabs>
                <w:tab w:val="center" w:pos="1383"/>
              </w:tabs>
              <w:rPr>
                <w:b/>
                <w:bCs/>
              </w:rPr>
            </w:pPr>
            <w:r>
              <w:rPr>
                <w:b/>
                <w:bCs/>
              </w:rPr>
              <w:t>Original data from reference</w:t>
            </w:r>
            <w:r>
              <w:rPr>
                <w:b/>
                <w:bCs/>
              </w:rPr>
              <w:tab/>
            </w:r>
          </w:p>
        </w:tc>
        <w:tc>
          <w:tcPr>
            <w:tcW w:w="5888" w:type="dxa"/>
          </w:tcPr>
          <w:p w14:paraId="5F706D98" w14:textId="77777777" w:rsidR="00691B66" w:rsidRDefault="00691B66" w:rsidP="00A429AB">
            <w:pPr>
              <w:rPr>
                <w:b/>
                <w:bCs/>
              </w:rPr>
            </w:pPr>
            <w:r>
              <w:rPr>
                <w:b/>
                <w:bCs/>
              </w:rPr>
              <w:t xml:space="preserve">New Value  </w:t>
            </w:r>
          </w:p>
        </w:tc>
        <w:tc>
          <w:tcPr>
            <w:tcW w:w="1530" w:type="dxa"/>
          </w:tcPr>
          <w:p w14:paraId="77294E49" w14:textId="77777777" w:rsidR="00691B66" w:rsidRDefault="00691B66" w:rsidP="00A429AB">
            <w:pPr>
              <w:rPr>
                <w:b/>
                <w:bCs/>
              </w:rPr>
            </w:pPr>
            <w:r>
              <w:rPr>
                <w:b/>
                <w:bCs/>
              </w:rPr>
              <w:t>Reference</w:t>
            </w:r>
          </w:p>
        </w:tc>
      </w:tr>
      <w:tr w:rsidR="00691B66" w14:paraId="3BB38D6A" w14:textId="77777777" w:rsidTr="00A429AB">
        <w:trPr>
          <w:trHeight w:val="258"/>
        </w:trPr>
        <w:tc>
          <w:tcPr>
            <w:tcW w:w="1449" w:type="dxa"/>
          </w:tcPr>
          <w:p w14:paraId="3F84E421" w14:textId="77777777" w:rsidR="00691B66" w:rsidRPr="001D6049" w:rsidRDefault="00691B66" w:rsidP="00A429AB">
            <w:proofErr w:type="spellStart"/>
            <w:r>
              <w:t>Undiagnosis</w:t>
            </w:r>
            <w:proofErr w:type="spellEnd"/>
            <w:r>
              <w:t xml:space="preserve"> rate of cirrhosis </w:t>
            </w:r>
          </w:p>
        </w:tc>
        <w:tc>
          <w:tcPr>
            <w:tcW w:w="1568" w:type="dxa"/>
          </w:tcPr>
          <w:p w14:paraId="6830ACA3" w14:textId="3A6FC64B" w:rsidR="00691B66" w:rsidRPr="001D6049" w:rsidRDefault="00691B66" w:rsidP="00A429AB">
            <w:pPr>
              <w:tabs>
                <w:tab w:val="center" w:pos="1383"/>
              </w:tabs>
            </w:pPr>
          </w:p>
        </w:tc>
        <w:tc>
          <w:tcPr>
            <w:tcW w:w="5888" w:type="dxa"/>
          </w:tcPr>
          <w:p w14:paraId="2E5BE393" w14:textId="3F4E1D3D" w:rsidR="00691B66" w:rsidRPr="006E71C8" w:rsidRDefault="006E71C8" w:rsidP="00A429AB">
            <w:r>
              <w:t>Use underdiagnosis rate of older patients (which is higher than that of male pts)</w:t>
            </w:r>
          </w:p>
        </w:tc>
        <w:tc>
          <w:tcPr>
            <w:tcW w:w="1530" w:type="dxa"/>
          </w:tcPr>
          <w:p w14:paraId="163649A2" w14:textId="77777777" w:rsidR="00691B66" w:rsidRDefault="00691B66" w:rsidP="00A429AB">
            <w:pPr>
              <w:rPr>
                <w:b/>
                <w:bCs/>
              </w:rPr>
            </w:pPr>
          </w:p>
        </w:tc>
      </w:tr>
      <w:tr w:rsidR="00691B66" w14:paraId="1EBA816B" w14:textId="77777777" w:rsidTr="00A429AB">
        <w:trPr>
          <w:trHeight w:val="531"/>
        </w:trPr>
        <w:tc>
          <w:tcPr>
            <w:tcW w:w="1449" w:type="dxa"/>
          </w:tcPr>
          <w:p w14:paraId="7244F2DF" w14:textId="77777777" w:rsidR="00691B66" w:rsidRPr="006206D6" w:rsidRDefault="00691B66" w:rsidP="00A429AB">
            <w:r>
              <w:t>Non-cirrhotic MASLD to HCC</w:t>
            </w:r>
          </w:p>
        </w:tc>
        <w:tc>
          <w:tcPr>
            <w:tcW w:w="1568" w:type="dxa"/>
          </w:tcPr>
          <w:p w14:paraId="6C821212" w14:textId="2CAD2D2C" w:rsidR="00691B66" w:rsidRDefault="00691B66" w:rsidP="00A429AB">
            <w:r>
              <w:t>1.36 (0.79-1.92) per 1000 PYs</w:t>
            </w:r>
          </w:p>
        </w:tc>
        <w:tc>
          <w:tcPr>
            <w:tcW w:w="5888" w:type="dxa"/>
          </w:tcPr>
          <w:p w14:paraId="1C6A21B3" w14:textId="30CF517B" w:rsidR="00691B66" w:rsidRPr="00C0327D" w:rsidRDefault="00691B66" w:rsidP="00A429AB"/>
        </w:tc>
        <w:tc>
          <w:tcPr>
            <w:tcW w:w="1530" w:type="dxa"/>
          </w:tcPr>
          <w:p w14:paraId="001B7669" w14:textId="77777777" w:rsidR="00691B66" w:rsidRDefault="00691B66" w:rsidP="00A429AB">
            <w:hyperlink r:id="rId79" w:anchor="sec020" w:history="1">
              <w:r>
                <w:rPr>
                  <w:rStyle w:val="Hyperlink"/>
                </w:rPr>
                <w:t xml:space="preserve">Lai 2024 </w:t>
              </w:r>
            </w:hyperlink>
            <w:r>
              <w:t>(Figure 1)</w:t>
            </w:r>
          </w:p>
          <w:p w14:paraId="2E9B8142" w14:textId="2F8EEF49" w:rsidR="00691B66" w:rsidRPr="00C0327D" w:rsidRDefault="00691B66" w:rsidP="00A429AB">
            <w:r>
              <w:t xml:space="preserve">Optum study – may </w:t>
            </w:r>
            <w:proofErr w:type="spellStart"/>
            <w:r>
              <w:t>undercode</w:t>
            </w:r>
            <w:proofErr w:type="spellEnd"/>
            <w:r>
              <w:t xml:space="preserve"> cirrhosis, but authors say that </w:t>
            </w:r>
            <w:r w:rsidR="00E77A67">
              <w:t xml:space="preserve">it undergoes “meticulous and rigorous maintenance” to prevent such biases. Also, it is all privately insured patients </w:t>
            </w:r>
            <w:r w:rsidR="00E77A67" w:rsidRPr="00E77A67">
              <w:rPr>
                <w:rFonts w:ascii="Wingdings" w:eastAsia="Wingdings" w:hAnsi="Wingdings" w:cs="Wingdings"/>
              </w:rPr>
              <w:t>à</w:t>
            </w:r>
            <w:r w:rsidR="00E77A67">
              <w:t xml:space="preserve"> better access to care </w:t>
            </w:r>
            <w:r w:rsidR="00E77A67" w:rsidRPr="00E77A67">
              <w:rPr>
                <w:rFonts w:ascii="Wingdings" w:eastAsia="Wingdings" w:hAnsi="Wingdings" w:cs="Wingdings"/>
              </w:rPr>
              <w:t>à</w:t>
            </w:r>
            <w:r w:rsidR="00E77A67">
              <w:t xml:space="preserve"> probably lower rate of underdiagnosed cirrhosis. </w:t>
            </w:r>
          </w:p>
        </w:tc>
      </w:tr>
      <w:tr w:rsidR="00691B66" w14:paraId="61E60F3C" w14:textId="77777777" w:rsidTr="00A429AB">
        <w:trPr>
          <w:trHeight w:val="518"/>
        </w:trPr>
        <w:tc>
          <w:tcPr>
            <w:tcW w:w="1449" w:type="dxa"/>
          </w:tcPr>
          <w:p w14:paraId="7403A170" w14:textId="77777777" w:rsidR="00691B66" w:rsidRDefault="00691B66" w:rsidP="00A429AB">
            <w:r>
              <w:t>Cirrhotic MASLD to HCC</w:t>
            </w:r>
          </w:p>
        </w:tc>
        <w:tc>
          <w:tcPr>
            <w:tcW w:w="1568" w:type="dxa"/>
          </w:tcPr>
          <w:p w14:paraId="21FEFEFE" w14:textId="760225B9" w:rsidR="00691B66" w:rsidRDefault="00691B66" w:rsidP="00A429AB">
            <w:r>
              <w:t>19.06 (16.10-22.01) per 1000 PYs</w:t>
            </w:r>
          </w:p>
        </w:tc>
        <w:tc>
          <w:tcPr>
            <w:tcW w:w="5888" w:type="dxa"/>
          </w:tcPr>
          <w:p w14:paraId="5BAB111D" w14:textId="6BB8DC3A" w:rsidR="00691B66" w:rsidRDefault="00691B66" w:rsidP="00A429AB"/>
        </w:tc>
        <w:tc>
          <w:tcPr>
            <w:tcW w:w="1530" w:type="dxa"/>
          </w:tcPr>
          <w:p w14:paraId="60C197F1" w14:textId="77777777" w:rsidR="00E77A67" w:rsidRDefault="00E77A67" w:rsidP="00E77A67">
            <w:hyperlink r:id="rId80" w:anchor="sec020" w:history="1">
              <w:r>
                <w:rPr>
                  <w:rStyle w:val="Hyperlink"/>
                </w:rPr>
                <w:t xml:space="preserve">Lai 2024 </w:t>
              </w:r>
            </w:hyperlink>
            <w:r>
              <w:t>(Figure 1)</w:t>
            </w:r>
          </w:p>
          <w:p w14:paraId="7241D06E" w14:textId="77777777" w:rsidR="00691B66" w:rsidRDefault="00691B66" w:rsidP="00A429AB"/>
        </w:tc>
      </w:tr>
      <w:tr w:rsidR="00691B66" w14:paraId="6DB091B1" w14:textId="77777777" w:rsidTr="00A429AB">
        <w:trPr>
          <w:trHeight w:val="531"/>
        </w:trPr>
        <w:tc>
          <w:tcPr>
            <w:tcW w:w="1449" w:type="dxa"/>
          </w:tcPr>
          <w:p w14:paraId="51E353A0" w14:textId="77777777" w:rsidR="00691B66" w:rsidRDefault="00691B66" w:rsidP="00A429AB">
            <w:pPr>
              <w:rPr>
                <w:b/>
                <w:bCs/>
              </w:rPr>
            </w:pPr>
            <w:r>
              <w:t xml:space="preserve">Non-cirrhotic MASLD to </w:t>
            </w:r>
            <w:commentRangeStart w:id="20"/>
            <w:r>
              <w:t>cirrhosis</w:t>
            </w:r>
            <w:commentRangeEnd w:id="20"/>
            <w:r w:rsidR="00644A76">
              <w:rPr>
                <w:rStyle w:val="CommentReference"/>
                <w:rFonts w:eastAsiaTheme="minorHAnsi"/>
                <w:lang w:eastAsia="en-US"/>
              </w:rPr>
              <w:commentReference w:id="20"/>
            </w:r>
          </w:p>
        </w:tc>
        <w:tc>
          <w:tcPr>
            <w:tcW w:w="1568" w:type="dxa"/>
          </w:tcPr>
          <w:p w14:paraId="360BA11E" w14:textId="4F584DE7" w:rsidR="00691B66" w:rsidRPr="00C55663" w:rsidRDefault="00691B66" w:rsidP="00A429AB"/>
        </w:tc>
        <w:tc>
          <w:tcPr>
            <w:tcW w:w="5888" w:type="dxa"/>
          </w:tcPr>
          <w:p w14:paraId="6585B97D" w14:textId="41E3280C" w:rsidR="00DE0205" w:rsidRDefault="00DE0205" w:rsidP="00A429AB">
            <w:r>
              <w:t xml:space="preserve">HRs: </w:t>
            </w:r>
            <w:hyperlink r:id="rId81" w:history="1">
              <w:r>
                <w:rPr>
                  <w:rStyle w:val="Hyperlink"/>
                </w:rPr>
                <w:t>Journal of Clinical Gastroenterology</w:t>
              </w:r>
            </w:hyperlink>
          </w:p>
          <w:p w14:paraId="1EA22F82" w14:textId="77777777" w:rsidR="00DE0205" w:rsidRDefault="00DE0205" w:rsidP="00A429AB"/>
          <w:p w14:paraId="46EB4B90" w14:textId="5667BA3B" w:rsidR="00691B66" w:rsidRDefault="00DE0205" w:rsidP="00A429AB">
            <w:pPr>
              <w:rPr>
                <w:rStyle w:val="Hyperlink"/>
              </w:rPr>
            </w:pPr>
            <w:r>
              <w:t xml:space="preserve">ORs: </w:t>
            </w:r>
            <w:hyperlink r:id="rId82" w:history="1">
              <w:r w:rsidR="00661068">
                <w:rPr>
                  <w:rStyle w:val="Hyperlink"/>
                </w:rPr>
                <w:t>High Prevalence of Advanced Liver Fibrosis Assessed by Transient Elastography Among U.S. Adults With Type 2 Diabetes | Diabetes Care | American Diabetes Association</w:t>
              </w:r>
            </w:hyperlink>
          </w:p>
          <w:p w14:paraId="6FC0B22D" w14:textId="2655F76C" w:rsidR="00DE0205" w:rsidRDefault="00DE0205" w:rsidP="00A429AB"/>
          <w:p w14:paraId="4B01AC9F" w14:textId="232B72E3" w:rsidR="004A766C" w:rsidRDefault="004A766C" w:rsidP="00A429AB">
            <w:r>
              <w:t xml:space="preserve">Lots of incidence data but no dm stratified: </w:t>
            </w:r>
            <w:hyperlink r:id="rId83" w:history="1">
              <w:r w:rsidR="00BB5C75">
                <w:rPr>
                  <w:rStyle w:val="Hyperlink"/>
                </w:rPr>
                <w:t>Flemming 2021</w:t>
              </w:r>
            </w:hyperlink>
          </w:p>
          <w:p w14:paraId="3918F6F8" w14:textId="77777777" w:rsidR="004A766C" w:rsidRDefault="004A766C" w:rsidP="00A429AB"/>
          <w:p w14:paraId="5DA72171" w14:textId="12A4D7B8" w:rsidR="008F4677" w:rsidRDefault="008F4677" w:rsidP="00A429AB">
            <w:pPr>
              <w:rPr>
                <w:b/>
                <w:bCs/>
              </w:rPr>
            </w:pPr>
            <w:r>
              <w:rPr>
                <w:b/>
                <w:bCs/>
              </w:rPr>
              <w:t xml:space="preserve">No sex or age stratification: </w:t>
            </w:r>
            <w:hyperlink r:id="rId84" w:history="1">
              <w:r>
                <w:rPr>
                  <w:rStyle w:val="Hyperlink"/>
                </w:rPr>
                <w:t>Fibrosis Progression Rate in Biopsy-proven Nonalcoholic Fatty Liver Disease among People with Diabetes versus People without Diabetes: A Multicenter Study - PMC</w:t>
              </w:r>
            </w:hyperlink>
          </w:p>
        </w:tc>
        <w:tc>
          <w:tcPr>
            <w:tcW w:w="1530" w:type="dxa"/>
          </w:tcPr>
          <w:p w14:paraId="6FBAD5FF" w14:textId="5B5F68BB" w:rsidR="00691B66" w:rsidRDefault="00691B66" w:rsidP="00A429AB">
            <w:pPr>
              <w:rPr>
                <w:b/>
                <w:bCs/>
              </w:rPr>
            </w:pPr>
          </w:p>
        </w:tc>
      </w:tr>
      <w:tr w:rsidR="00691B66" w14:paraId="1422ECCB" w14:textId="77777777" w:rsidTr="00A429AB">
        <w:trPr>
          <w:trHeight w:val="531"/>
        </w:trPr>
        <w:tc>
          <w:tcPr>
            <w:tcW w:w="1449" w:type="dxa"/>
          </w:tcPr>
          <w:p w14:paraId="29D22F75" w14:textId="77777777" w:rsidR="00691B66" w:rsidRPr="00DB591A" w:rsidRDefault="00691B66" w:rsidP="00A429AB">
            <w:r w:rsidRPr="00DB591A">
              <w:lastRenderedPageBreak/>
              <w:t xml:space="preserve">Non-cirrhotic MASLD to death </w:t>
            </w:r>
          </w:p>
        </w:tc>
        <w:tc>
          <w:tcPr>
            <w:tcW w:w="1568" w:type="dxa"/>
          </w:tcPr>
          <w:p w14:paraId="7F737497" w14:textId="77777777" w:rsidR="00691B66" w:rsidRPr="00DB591A" w:rsidRDefault="00691B66" w:rsidP="00A429AB">
            <w:pPr>
              <w:rPr>
                <w:b/>
                <w:bCs/>
              </w:rPr>
            </w:pPr>
          </w:p>
        </w:tc>
        <w:tc>
          <w:tcPr>
            <w:tcW w:w="5888" w:type="dxa"/>
          </w:tcPr>
          <w:p w14:paraId="0B4CC3F0" w14:textId="3736D8A2" w:rsidR="00691B66" w:rsidRDefault="00691B66" w:rsidP="00A429AB">
            <w:r>
              <w:t xml:space="preserve">Multiply the death probability from Actuarial Life Table </w:t>
            </w:r>
            <w:r w:rsidR="00DB591A" w:rsidRPr="00DB591A">
              <w:rPr>
                <w:b/>
                <w:bCs/>
                <w:highlight w:val="yellow"/>
              </w:rPr>
              <w:t>for older male patients</w:t>
            </w:r>
            <w:r w:rsidR="00DB591A">
              <w:rPr>
                <w:b/>
                <w:bCs/>
              </w:rPr>
              <w:t xml:space="preserve"> </w:t>
            </w:r>
            <w:r>
              <w:t xml:space="preserve">by the appropriate SMRs below (SMR: </w:t>
            </w:r>
            <w:r w:rsidRPr="00656B65">
              <w:t>ratios between deaths observed in the diabetic cohort, and those expected according to age- and gender-specific regional mortality rates</w:t>
            </w:r>
            <w:r>
              <w:t xml:space="preserve">): </w:t>
            </w:r>
          </w:p>
          <w:p w14:paraId="1B058410" w14:textId="77777777" w:rsidR="00691B66" w:rsidRDefault="00691B66" w:rsidP="00A429AB"/>
          <w:p w14:paraId="3DA8244B" w14:textId="77777777" w:rsidR="00691B66" w:rsidRDefault="00691B66" w:rsidP="00A429AB">
            <w:r>
              <w:t xml:space="preserve">SMRs of SMR for nonviral and nonalcoholic liver disease in diabetic cohort. </w:t>
            </w:r>
          </w:p>
          <w:p w14:paraId="768519D9" w14:textId="77777777" w:rsidR="00691B66" w:rsidRDefault="00691B66" w:rsidP="00A429AB"/>
          <w:p w14:paraId="6B3D9A68" w14:textId="77777777" w:rsidR="00691B66" w:rsidRDefault="00691B66" w:rsidP="00A429AB">
            <w:r>
              <w:t xml:space="preserve">Overall: SMR of 2.86 </w:t>
            </w:r>
          </w:p>
          <w:p w14:paraId="35597C4C" w14:textId="77777777" w:rsidR="00691B66" w:rsidRDefault="00691B66" w:rsidP="00A429AB">
            <w:r>
              <w:t xml:space="preserve">All ages: </w:t>
            </w:r>
          </w:p>
          <w:p w14:paraId="45023478" w14:textId="77777777" w:rsidR="00691B66" w:rsidRDefault="00691B66" w:rsidP="00A429AB">
            <w:proofErr w:type="gramStart"/>
            <w:r>
              <w:t>M</w:t>
            </w:r>
            <w:r w:rsidRPr="005054E7">
              <w:t xml:space="preserve">  2.78</w:t>
            </w:r>
            <w:proofErr w:type="gramEnd"/>
            <w:r w:rsidRPr="005054E7">
              <w:t xml:space="preserve"> (2.54 – 3.04)        </w:t>
            </w:r>
          </w:p>
          <w:p w14:paraId="00A3B6AA" w14:textId="77777777" w:rsidR="00691B66" w:rsidRDefault="00691B66" w:rsidP="00A429AB">
            <w:proofErr w:type="gramStart"/>
            <w:r>
              <w:t>F  3.07</w:t>
            </w:r>
            <w:proofErr w:type="gramEnd"/>
            <w:r>
              <w:t xml:space="preserve"> (2.67-3.51)</w:t>
            </w:r>
          </w:p>
          <w:p w14:paraId="23A34DC8" w14:textId="77777777" w:rsidR="00691B66" w:rsidRDefault="00691B66" w:rsidP="00A429AB"/>
          <w:p w14:paraId="4AEBCA13" w14:textId="77777777" w:rsidR="00691B66" w:rsidRDefault="00691B66" w:rsidP="00A429AB">
            <w:r>
              <w:t>30-64:</w:t>
            </w:r>
          </w:p>
          <w:p w14:paraId="52B406C4" w14:textId="77777777" w:rsidR="00691B66" w:rsidRDefault="00691B66" w:rsidP="00A429AB">
            <w:r>
              <w:t>M 4.41 (3.69-5.23)</w:t>
            </w:r>
          </w:p>
          <w:p w14:paraId="5F7476DA" w14:textId="77777777" w:rsidR="00691B66" w:rsidRDefault="00691B66" w:rsidP="00A429AB">
            <w:r>
              <w:t>F 5.51 (3.49-8.26)</w:t>
            </w:r>
          </w:p>
          <w:p w14:paraId="12006762" w14:textId="77777777" w:rsidR="00691B66" w:rsidRDefault="00691B66" w:rsidP="00A429AB"/>
          <w:p w14:paraId="348ADA71" w14:textId="77777777" w:rsidR="00691B66" w:rsidRDefault="00691B66" w:rsidP="00A429AB">
            <w:r>
              <w:t xml:space="preserve">65-74: </w:t>
            </w:r>
          </w:p>
          <w:p w14:paraId="4DEAF199" w14:textId="77777777" w:rsidR="00691B66" w:rsidRDefault="00691B66" w:rsidP="00A429AB">
            <w:r>
              <w:t>M 2.82 (2.44-3.24)</w:t>
            </w:r>
          </w:p>
          <w:p w14:paraId="49435E89" w14:textId="77777777" w:rsidR="00691B66" w:rsidRDefault="00691B66" w:rsidP="00A429AB">
            <w:r>
              <w:t>F 3.31 (2.49-4.32)</w:t>
            </w:r>
          </w:p>
          <w:p w14:paraId="388E9373" w14:textId="77777777" w:rsidR="00691B66" w:rsidRDefault="00691B66" w:rsidP="00A429AB"/>
          <w:p w14:paraId="50BB68E9" w14:textId="77777777" w:rsidR="00691B66" w:rsidRDefault="00691B66" w:rsidP="00A429AB">
            <w:r>
              <w:t>75-89:</w:t>
            </w:r>
          </w:p>
          <w:p w14:paraId="40B48D15" w14:textId="77777777" w:rsidR="00691B66" w:rsidRDefault="00691B66" w:rsidP="00A429AB">
            <w:r>
              <w:t>M 2.12 (1.81-2.47)</w:t>
            </w:r>
          </w:p>
          <w:p w14:paraId="699541AF" w14:textId="77777777" w:rsidR="00691B66" w:rsidRDefault="00691B66" w:rsidP="00A429AB">
            <w:r>
              <w:t>F 2.78 (2.33-3.28)</w:t>
            </w:r>
          </w:p>
          <w:p w14:paraId="1E05B55C" w14:textId="77777777" w:rsidR="00691B66" w:rsidRDefault="00691B66" w:rsidP="00A429AB"/>
        </w:tc>
        <w:tc>
          <w:tcPr>
            <w:tcW w:w="1530" w:type="dxa"/>
          </w:tcPr>
          <w:p w14:paraId="5C0B5BA5" w14:textId="77777777" w:rsidR="00691B66" w:rsidRDefault="00691B66" w:rsidP="00A429AB">
            <w:pPr>
              <w:rPr>
                <w:rStyle w:val="Hyperlink"/>
              </w:rPr>
            </w:pPr>
            <w:hyperlink r:id="rId85" w:history="1">
              <w:proofErr w:type="spellStart"/>
              <w:r>
                <w:rPr>
                  <w:rStyle w:val="Hyperlink"/>
                </w:rPr>
                <w:t>Zoppini</w:t>
              </w:r>
              <w:proofErr w:type="spellEnd"/>
              <w:r>
                <w:rPr>
                  <w:rStyle w:val="Hyperlink"/>
                </w:rPr>
                <w:t xml:space="preserve"> 2014</w:t>
              </w:r>
            </w:hyperlink>
            <w:r>
              <w:rPr>
                <w:rStyle w:val="Hyperlink"/>
              </w:rPr>
              <w:t xml:space="preserve"> </w:t>
            </w:r>
          </w:p>
          <w:p w14:paraId="3AC79EE3" w14:textId="77777777" w:rsidR="00691B66" w:rsidRDefault="00691B66" w:rsidP="00A429AB">
            <w:r>
              <w:t xml:space="preserve">Italian study </w:t>
            </w:r>
          </w:p>
          <w:p w14:paraId="17272B0E" w14:textId="77777777" w:rsidR="00691B66" w:rsidRDefault="00691B66" w:rsidP="00A429AB">
            <w:pPr>
              <w:rPr>
                <w:b/>
                <w:bCs/>
              </w:rPr>
            </w:pPr>
          </w:p>
          <w:p w14:paraId="54AB8197" w14:textId="77777777" w:rsidR="00691B66" w:rsidRDefault="00691B66" w:rsidP="00A429AB">
            <w:pPr>
              <w:rPr>
                <w:b/>
                <w:bCs/>
              </w:rPr>
            </w:pPr>
            <w:r>
              <w:rPr>
                <w:b/>
                <w:bCs/>
              </w:rPr>
              <w:t>Provides age and sex stratified data</w:t>
            </w:r>
          </w:p>
          <w:p w14:paraId="52975EF6" w14:textId="77777777" w:rsidR="00691B66" w:rsidRDefault="00691B66" w:rsidP="00A429AB">
            <w:pPr>
              <w:rPr>
                <w:b/>
                <w:bCs/>
              </w:rPr>
            </w:pPr>
          </w:p>
        </w:tc>
      </w:tr>
    </w:tbl>
    <w:p w14:paraId="1CA2C0C7" w14:textId="77777777" w:rsidR="00691B66" w:rsidRPr="00691B66" w:rsidRDefault="00691B66" w:rsidP="3FD443D1"/>
    <w:sectPr w:rsidR="00691B66" w:rsidRPr="00691B66" w:rsidSect="00EE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oanne Kimiko Liu" w:date="2025-02-21T15:58:00Z" w:initials="JKL">
    <w:p w14:paraId="0C730C9B" w14:textId="7F3F7ED9" w:rsidR="005C0320" w:rsidRDefault="005C0320">
      <w:pPr>
        <w:pStyle w:val="CommentText"/>
      </w:pPr>
      <w:r>
        <w:rPr>
          <w:rStyle w:val="CommentReference"/>
        </w:rPr>
        <w:annotationRef/>
      </w:r>
      <w:r>
        <w:t>Possibly don’t  include A (Behari) and D (Kanwal) bc cirrhosis dx is based on codes so doesn’t account for undiagnosed cirrhosis?</w:t>
      </w:r>
      <w:r w:rsidR="00A3160D">
        <w:t xml:space="preserve"> Also E (orci) is meta analysis and repeats data from Kanwal. F (Yeoh) includes cirrhotic MASLD as well!!!! </w:t>
      </w:r>
    </w:p>
  </w:comment>
  <w:comment w:id="3" w:author="Joanne Kimiko Liu" w:date="2025-02-21T16:19:00Z" w:initials="JKL">
    <w:p w14:paraId="574FCFD8" w14:textId="43E12CC6" w:rsidR="00213305" w:rsidRDefault="00213305">
      <w:pPr>
        <w:pStyle w:val="CommentText"/>
      </w:pPr>
      <w:r>
        <w:rPr>
          <w:rStyle w:val="CommentReference"/>
        </w:rPr>
        <w:annotationRef/>
      </w:r>
      <w:r>
        <w:t xml:space="preserve">Update this base case % and also for subgroups accordingly </w:t>
      </w:r>
    </w:p>
  </w:comment>
  <w:comment w:id="4" w:author="Joanne Kimiko Liu" w:date="2025-02-24T10:20:00Z" w:initials="JKL">
    <w:p w14:paraId="439ABB00" w14:textId="3C758951" w:rsidR="00FC3840" w:rsidRDefault="00FC3840">
      <w:pPr>
        <w:pStyle w:val="CommentText"/>
      </w:pPr>
      <w:r>
        <w:rPr>
          <w:rStyle w:val="CommentReference"/>
        </w:rPr>
        <w:annotationRef/>
      </w:r>
      <w:r>
        <w:t>Include behari but only use data for low Fib 4. Same for Kanwal, use data for pts without evidence of high fib4</w:t>
      </w:r>
    </w:p>
  </w:comment>
  <w:comment w:id="5" w:author="Joanne Kimiko Liu" w:date="2025-02-24T10:21:00Z" w:initials="JKL">
    <w:p w14:paraId="4FAB62CF" w14:textId="0BDA3D1F" w:rsidR="00FC3840" w:rsidRPr="00FC3840" w:rsidRDefault="00FC3840">
      <w:pPr>
        <w:pStyle w:val="CommentText"/>
      </w:pPr>
      <w:r>
        <w:rPr>
          <w:rStyle w:val="CommentReference"/>
        </w:rPr>
        <w:annotationRef/>
      </w:r>
      <w:r>
        <w:t>Not including Younossi 2016 because not sure if “NAFLD” actually excludes those with cirrhosis (esp undiagnosed). Not including because Orci 2022 is not meta analysis and we don’t know how they ensured undx cirrhosis was accounted for. Not including Yeoh 2024 bc doesn’t exclude cirrhosis pts</w:t>
      </w:r>
    </w:p>
  </w:comment>
  <w:comment w:id="6" w:author="Joanne Kimiko Liu" w:date="2025-01-23T15:00:00Z" w:initials="JKL">
    <w:p w14:paraId="172B58B9" w14:textId="28F392E3" w:rsidR="00170E2D" w:rsidRDefault="00170E2D" w:rsidP="00170E2D">
      <w:pPr>
        <w:pStyle w:val="paragraph"/>
        <w:spacing w:before="0" w:beforeAutospacing="0" w:after="0" w:afterAutospacing="0"/>
        <w:textAlignment w:val="baseline"/>
        <w:rPr>
          <w:rStyle w:val="normaltextrun"/>
          <w:rFonts w:ascii="Calibri" w:hAnsi="Calibri" w:cs="Calibri"/>
          <w:i/>
          <w:iCs/>
        </w:rPr>
      </w:pPr>
      <w:r>
        <w:rPr>
          <w:rStyle w:val="CommentReference"/>
        </w:rPr>
        <w:annotationRef/>
      </w:r>
      <w:r>
        <w:rPr>
          <w:rStyle w:val="normaltextrun"/>
          <w:rFonts w:ascii="Calibri" w:hAnsi="Calibri" w:cs="Calibri"/>
          <w:i/>
          <w:iCs/>
        </w:rPr>
        <w:t xml:space="preserve">Another reference: </w:t>
      </w:r>
    </w:p>
    <w:p w14:paraId="096F828B" w14:textId="0C3CE50A" w:rsidR="00170E2D" w:rsidRPr="00E8634F" w:rsidRDefault="00170E2D" w:rsidP="00170E2D">
      <w:pPr>
        <w:pStyle w:val="paragraph"/>
        <w:spacing w:before="0" w:beforeAutospacing="0" w:after="0" w:afterAutospacing="0"/>
        <w:textAlignment w:val="baseline"/>
        <w:rPr>
          <w:rStyle w:val="normaltextrun"/>
        </w:rPr>
      </w:pPr>
      <w:r w:rsidRPr="00E8634F">
        <w:rPr>
          <w:rStyle w:val="normaltextrun"/>
          <w:rFonts w:ascii="Calibri" w:hAnsi="Calibri" w:cs="Calibri"/>
          <w:i/>
          <w:iCs/>
        </w:rPr>
        <w:t>HCC incidence in NAFLD cirrhosis 0.1-2.6% and noncirrhotic NAFLD 0.01%-0.1% (0.1 to 1.3 per 1000 PY) (</w:t>
      </w:r>
      <w:hyperlink r:id="rId1" w:tgtFrame="_blank" w:history="1">
        <w:r w:rsidRPr="00E8634F">
          <w:rPr>
            <w:rStyle w:val="normaltextrun"/>
            <w:rFonts w:ascii="Calibri" w:hAnsi="Calibri" w:cs="Calibri"/>
            <w:i/>
            <w:iCs/>
            <w:color w:val="467886"/>
            <w:u w:val="single"/>
          </w:rPr>
          <w:t>Huang 2020</w:t>
        </w:r>
      </w:hyperlink>
      <w:r w:rsidRPr="00E8634F">
        <w:rPr>
          <w:rStyle w:val="normaltextrun"/>
          <w:rFonts w:ascii="Calibri" w:hAnsi="Calibri" w:cs="Calibri"/>
          <w:i/>
          <w:iCs/>
        </w:rPr>
        <w:t>)</w:t>
      </w:r>
      <w:r w:rsidRPr="00E8634F">
        <w:rPr>
          <w:rStyle w:val="normaltextrun"/>
        </w:rPr>
        <w:t> </w:t>
      </w:r>
    </w:p>
    <w:p w14:paraId="23E8FB11" w14:textId="15EFD335" w:rsidR="00170E2D" w:rsidRDefault="00170E2D">
      <w:pPr>
        <w:pStyle w:val="CommentText"/>
      </w:pPr>
    </w:p>
  </w:comment>
  <w:comment w:id="7" w:author="Joanne Kimiko Liu" w:date="2025-03-07T12:12:00Z" w:initials="JKL">
    <w:p w14:paraId="4722A661" w14:textId="0C899E31" w:rsidR="00780036" w:rsidRDefault="00780036">
      <w:pPr>
        <w:pStyle w:val="CommentText"/>
      </w:pPr>
      <w:r>
        <w:rPr>
          <w:rStyle w:val="CommentReference"/>
        </w:rPr>
        <w:annotationRef/>
      </w:r>
      <w:r>
        <w:t xml:space="preserve">Additional justification: </w:t>
      </w:r>
      <w:r w:rsidR="00422DB1">
        <w:t xml:space="preserve">This meta anlaysis found a pooled treatment rate of 53%. </w:t>
      </w:r>
      <w:hyperlink r:id="rId2" w:history="1">
        <w:r>
          <w:rPr>
            <w:rStyle w:val="Hyperlink"/>
          </w:rPr>
          <w:t>https://onlinelibrary.wiley.com/doi/full/10.1111/apt.12450</w:t>
        </w:r>
      </w:hyperlink>
    </w:p>
  </w:comment>
  <w:comment w:id="8" w:author="Joanne Kimiko Liu" w:date="2025-01-23T14:20:00Z" w:initials="JKL">
    <w:p w14:paraId="0EA4EA35" w14:textId="77777777" w:rsidR="009F2990" w:rsidRDefault="009F2990">
      <w:pPr>
        <w:pStyle w:val="CommentText"/>
      </w:pPr>
      <w:r>
        <w:rPr>
          <w:rStyle w:val="CommentReference"/>
        </w:rPr>
        <w:annotationRef/>
      </w:r>
      <w:r>
        <w:t xml:space="preserve">Additional justification for these survival rates: </w:t>
      </w:r>
    </w:p>
    <w:p w14:paraId="35F81DFB" w14:textId="77777777" w:rsidR="009F2990" w:rsidRDefault="009F2990">
      <w:pPr>
        <w:pStyle w:val="CommentText"/>
      </w:pPr>
      <w:hyperlink r:id="rId3" w:history="1">
        <w:r>
          <w:rPr>
            <w:rStyle w:val="Hyperlink"/>
          </w:rPr>
          <w:t>The efficacy of treatment schedules according to Barcelona Clinic Liver Cancer staging for hepatocellular carcinoma – Survival analysis of 3892 patients - ScienceDirect</w:t>
        </w:r>
      </w:hyperlink>
    </w:p>
    <w:p w14:paraId="7563CF42" w14:textId="5BCF201E" w:rsidR="009F2990" w:rsidRDefault="009F2990">
      <w:pPr>
        <w:pStyle w:val="CommentText"/>
      </w:pPr>
      <w:r>
        <w:t>Taiwan study from 1986-2002</w:t>
      </w:r>
    </w:p>
  </w:comment>
  <w:comment w:id="9" w:author="Joanne Liu" w:date="2024-11-07T14:32:00Z" w:initials="JL">
    <w:p w14:paraId="571062FA" w14:textId="002FDB65" w:rsidR="00AF634C" w:rsidRDefault="00AF634C">
      <w:pPr>
        <w:pStyle w:val="CommentText"/>
      </w:pPr>
      <w:r>
        <w:t>Ranges from 10% to 62% in literature, but not all papers report results by HCC stage.</w:t>
      </w:r>
    </w:p>
    <w:p w14:paraId="47006C49" w14:textId="77777777" w:rsidR="00AF634C" w:rsidRDefault="00AF634C">
      <w:pPr>
        <w:pStyle w:val="CommentText"/>
      </w:pPr>
    </w:p>
    <w:p w14:paraId="3F82E3BB" w14:textId="2EE30A56" w:rsidR="2E056CB6" w:rsidRDefault="2E056CB6">
      <w:pPr>
        <w:pStyle w:val="CommentText"/>
      </w:pPr>
      <w:hyperlink r:id="rId4">
        <w:r w:rsidRPr="2E056CB6">
          <w:rPr>
            <w:rStyle w:val="Hyperlink"/>
          </w:rPr>
          <w:t>Survival Improvements in Advanced Hepatocellular Carcinoma with Sequential Therapy by Era - PMC</w:t>
        </w:r>
      </w:hyperlink>
      <w:r>
        <w:rPr>
          <w:rStyle w:val="CommentReference"/>
        </w:rPr>
        <w:annotationRef/>
      </w:r>
    </w:p>
    <w:p w14:paraId="24671A2E" w14:textId="47E766F2" w:rsidR="2E056CB6" w:rsidRDefault="2E056CB6">
      <w:pPr>
        <w:pStyle w:val="CommentText"/>
      </w:pPr>
    </w:p>
    <w:p w14:paraId="3B6B1141" w14:textId="63B79125" w:rsidR="2E056CB6" w:rsidRDefault="2E056CB6">
      <w:pPr>
        <w:pStyle w:val="CommentText"/>
      </w:pPr>
      <w:hyperlink r:id="rId5">
        <w:r w:rsidRPr="2E056CB6">
          <w:rPr>
            <w:rStyle w:val="Hyperlink"/>
          </w:rPr>
          <w:t>Randomized Phase III Study of Doxorubicin Versus Cisplatin/Interferon α-2b/Doxorubicin/Fluorouracil (PIAF) Combination Chemotherapy for Unresectable Hepatocellular Carcinoma | JNCI: Journal of the National Cancer Institute | Oxford Academic</w:t>
        </w:r>
      </w:hyperlink>
    </w:p>
    <w:p w14:paraId="4F671EA1" w14:textId="3119722B" w:rsidR="2E056CB6" w:rsidRDefault="2E056CB6">
      <w:pPr>
        <w:pStyle w:val="CommentText"/>
      </w:pPr>
    </w:p>
    <w:p w14:paraId="514F544A" w14:textId="575BB20C" w:rsidR="2E056CB6" w:rsidRDefault="2E056CB6">
      <w:pPr>
        <w:pStyle w:val="CommentText"/>
      </w:pPr>
      <w:hyperlink r:id="rId6">
        <w:r w:rsidRPr="2E056CB6">
          <w:rPr>
            <w:rStyle w:val="Hyperlink"/>
          </w:rPr>
          <w:t>Factors predicting response and survival in 149 patients with unresectable hepatocellular carcinoma treated by combination cisplatin, interferon‐alpha, doxorubicin and 5‐fluorouracil chemotherapy - Leung - 2002 - Cancer - Wiley Online Library</w:t>
        </w:r>
      </w:hyperlink>
    </w:p>
    <w:p w14:paraId="1698EE12" w14:textId="3FEA2FB3" w:rsidR="2E056CB6" w:rsidRDefault="2E056CB6">
      <w:pPr>
        <w:pStyle w:val="CommentText"/>
      </w:pPr>
    </w:p>
    <w:p w14:paraId="6F4EC351" w14:textId="258C0C6D" w:rsidR="2E056CB6" w:rsidRDefault="2E056CB6">
      <w:pPr>
        <w:pStyle w:val="CommentText"/>
      </w:pPr>
      <w:hyperlink r:id="rId7" w:history="1">
        <w:r w:rsidRPr="00971B99">
          <w:rPr>
            <w:rStyle w:val="Hyperlink"/>
          </w:rPr>
          <w:t>Chemotherapy for hepatocellular carcinoma: current status and future perspectives</w:t>
        </w:r>
      </w:hyperlink>
    </w:p>
    <w:p w14:paraId="0A6F94E8" w14:textId="5308150D" w:rsidR="2E056CB6" w:rsidRDefault="2E056CB6">
      <w:pPr>
        <w:pStyle w:val="CommentText"/>
      </w:pPr>
      <w:r>
        <w:t>(Japanese sites)</w:t>
      </w:r>
    </w:p>
    <w:p w14:paraId="6DD90112" w14:textId="7DA38289" w:rsidR="2E056CB6" w:rsidRDefault="2E056CB6">
      <w:pPr>
        <w:pStyle w:val="CommentText"/>
      </w:pPr>
    </w:p>
    <w:p w14:paraId="7FEB506B" w14:textId="4DD992D6" w:rsidR="2E056CB6" w:rsidRDefault="2E056CB6">
      <w:pPr>
        <w:pStyle w:val="CommentText"/>
      </w:pPr>
    </w:p>
  </w:comment>
  <w:comment w:id="10" w:author="Joanne Kimiko Liu" w:date="2024-11-07T16:07:00Z" w:initials="J">
    <w:p w14:paraId="0ACBC986" w14:textId="77777777" w:rsidR="00AF634C" w:rsidRDefault="00AF634C">
      <w:pPr>
        <w:pStyle w:val="CommentText"/>
      </w:pPr>
      <w:r>
        <w:rPr>
          <w:rStyle w:val="CommentReference"/>
        </w:rPr>
        <w:annotationRef/>
      </w:r>
      <w:hyperlink r:id="rId8" w:history="1">
        <w:r>
          <w:rPr>
            <w:rStyle w:val="Hyperlink"/>
          </w:rPr>
          <w:t>Survival Improvements in Advanced Hepatocellular Carcinoma with Sequential Therapy by Era - PubMed</w:t>
        </w:r>
      </w:hyperlink>
    </w:p>
    <w:p w14:paraId="381708F2" w14:textId="77777777" w:rsidR="00AF634C" w:rsidRDefault="00AF634C">
      <w:pPr>
        <w:pStyle w:val="CommentText"/>
      </w:pPr>
    </w:p>
    <w:p w14:paraId="14D9F383" w14:textId="71B18496" w:rsidR="00AF634C" w:rsidRDefault="00AF634C">
      <w:pPr>
        <w:pStyle w:val="CommentText"/>
      </w:pPr>
      <w:r>
        <w:t>This paper from Japan reports 89.4% 1-year OS =10.6% annual death rate</w:t>
      </w:r>
    </w:p>
  </w:comment>
  <w:comment w:id="11" w:author="Joanne Kimiko Liu" w:date="2024-11-07T16:07:00Z" w:initials="J">
    <w:p w14:paraId="40EF42CE" w14:textId="77777777" w:rsidR="00AF634C" w:rsidRDefault="00AF634C" w:rsidP="00AF634C">
      <w:pPr>
        <w:pStyle w:val="CommentText"/>
      </w:pPr>
      <w:r>
        <w:rPr>
          <w:rStyle w:val="CommentReference"/>
        </w:rPr>
        <w:annotationRef/>
      </w:r>
      <w:hyperlink r:id="rId9" w:history="1">
        <w:r>
          <w:rPr>
            <w:rStyle w:val="Hyperlink"/>
          </w:rPr>
          <w:t>Survival Improvements in Advanced Hepatocellular Carcinoma with Sequential Therapy by Era - PubMed</w:t>
        </w:r>
      </w:hyperlink>
    </w:p>
    <w:p w14:paraId="35E2BF0A" w14:textId="77777777" w:rsidR="00AF634C" w:rsidRDefault="00AF634C" w:rsidP="00AF634C">
      <w:pPr>
        <w:pStyle w:val="CommentText"/>
      </w:pPr>
    </w:p>
    <w:p w14:paraId="56C7B32E" w14:textId="7F81B143" w:rsidR="00AF634C" w:rsidRDefault="00AF634C" w:rsidP="00AF634C">
      <w:pPr>
        <w:pStyle w:val="CommentText"/>
      </w:pPr>
      <w:r>
        <w:t>This paper from Japan reports 71.4% 1-year OS = 28.6% annual death rate</w:t>
      </w:r>
    </w:p>
  </w:comment>
  <w:comment w:id="13" w:author="Joanne Kimiko Liu" w:date="2025-02-10T11:47:00Z" w:initials="JKL">
    <w:p w14:paraId="52D3885D" w14:textId="1769B210" w:rsidR="003D1DA9" w:rsidRDefault="003D1DA9">
      <w:pPr>
        <w:pStyle w:val="CommentText"/>
      </w:pPr>
      <w:r>
        <w:rPr>
          <w:rStyle w:val="CommentReference"/>
        </w:rPr>
        <w:annotationRef/>
      </w:r>
      <w:r>
        <w:t>Update in cleaned ver</w:t>
      </w:r>
    </w:p>
  </w:comment>
  <w:comment w:id="14" w:author="Joanne Kimiko Liu" w:date="2025-01-28T11:43:00Z" w:initials="JKL">
    <w:p w14:paraId="0B091769" w14:textId="122DBD6F" w:rsidR="00B57149" w:rsidRDefault="00B57149">
      <w:pPr>
        <w:pStyle w:val="CommentText"/>
      </w:pPr>
      <w:r>
        <w:rPr>
          <w:rStyle w:val="CommentReference"/>
        </w:rPr>
        <w:annotationRef/>
      </w:r>
      <w:r>
        <w:t xml:space="preserve">Not going to change the HCC survival rate by sex due to studies reporting no difference in HCC survival between male and females after adjusting for cancer stage upon diagnosis </w:t>
      </w:r>
    </w:p>
    <w:p w14:paraId="7365286E" w14:textId="77777777" w:rsidR="00B57149" w:rsidRDefault="00B57149" w:rsidP="00B57149">
      <w:pPr>
        <w:pStyle w:val="NormalWeb"/>
        <w:shd w:val="clear" w:color="auto" w:fill="FFFFFF"/>
        <w:spacing w:before="0" w:beforeAutospacing="0" w:after="0" w:afterAutospacing="0"/>
        <w:rPr>
          <w:rFonts w:ascii="Segoe UI" w:hAnsi="Segoe UI" w:cs="Segoe UI"/>
          <w:color w:val="333333"/>
          <w:sz w:val="18"/>
          <w:szCs w:val="18"/>
        </w:rPr>
      </w:pPr>
      <w:hyperlink r:id="rId10" w:tgtFrame="_blank" w:tooltip="https://pmc.ncbi.nlm.nih.gov/articles/PMC10230112/" w:history="1">
        <w:r>
          <w:rPr>
            <w:rStyle w:val="Hyperlink"/>
            <w:rFonts w:ascii="Segoe UI" w:hAnsi="Segoe UI" w:cs="Segoe UI"/>
            <w:color w:val="0000EE"/>
            <w:sz w:val="18"/>
            <w:szCs w:val="18"/>
          </w:rPr>
          <w:t>Gender survival differences in hepatocellular carcinoma: Is it all due to adherence to surveillance? A study of 1716 patients over three decades - PMC</w:t>
        </w:r>
      </w:hyperlink>
    </w:p>
    <w:p w14:paraId="0ACCFFC0" w14:textId="77777777" w:rsidR="00B57149" w:rsidRDefault="00B57149" w:rsidP="00B57149">
      <w:pPr>
        <w:pStyle w:val="NormalWeb"/>
        <w:shd w:val="clear" w:color="auto" w:fill="FFFFFF"/>
        <w:spacing w:before="0" w:beforeAutospacing="0" w:after="0" w:afterAutospacing="0"/>
        <w:rPr>
          <w:rFonts w:ascii="Segoe UI" w:hAnsi="Segoe UI" w:cs="Segoe UI"/>
          <w:color w:val="333333"/>
          <w:sz w:val="18"/>
          <w:szCs w:val="18"/>
        </w:rPr>
      </w:pPr>
      <w:hyperlink r:id="rId11" w:tgtFrame="_blank" w:tooltip="https://bmjopengastro.bmj.com/content/3/1/e000107" w:history="1">
        <w:r>
          <w:rPr>
            <w:rStyle w:val="Hyperlink"/>
            <w:rFonts w:ascii="Segoe UI" w:hAnsi="Segoe UI" w:cs="Segoe UI"/>
            <w:color w:val="0000EE"/>
            <w:sz w:val="18"/>
            <w:szCs w:val="18"/>
          </w:rPr>
          <w:t>Sex differences in disease presentation, treatment and clinical outcomes of patients with hepatocellular carcinoma: a single-centre cohort study | BMJ Open Gastroenterology</w:t>
        </w:r>
      </w:hyperlink>
    </w:p>
    <w:p w14:paraId="40354FC1" w14:textId="1F11DAF1" w:rsidR="00B57149" w:rsidRDefault="00B57149">
      <w:pPr>
        <w:pStyle w:val="CommentText"/>
      </w:pPr>
    </w:p>
  </w:comment>
  <w:comment w:id="15" w:author="Joanne Kimiko Liu" w:date="2025-01-27T15:02:00Z" w:initials="JKL">
    <w:p w14:paraId="2D66270B" w14:textId="227BF8D4" w:rsidR="00AF392E" w:rsidRDefault="00AF392E">
      <w:pPr>
        <w:pStyle w:val="CommentText"/>
      </w:pPr>
      <w:r>
        <w:rPr>
          <w:rStyle w:val="CommentReference"/>
        </w:rPr>
        <w:annotationRef/>
      </w:r>
      <w:r>
        <w:t>Also reports hcc and cirrhosis incidence by fib4 and race/ethnicity</w:t>
      </w:r>
    </w:p>
  </w:comment>
  <w:comment w:id="16" w:author="Joanne Kimiko Liu" w:date="2025-02-21T16:11:00Z" w:initials="JKL">
    <w:p w14:paraId="717F51A4" w14:textId="77777777" w:rsidR="00AF392E" w:rsidRDefault="00AF392E">
      <w:pPr>
        <w:pStyle w:val="CommentText"/>
      </w:pPr>
      <w:r>
        <w:rPr>
          <w:rStyle w:val="CommentReference"/>
        </w:rPr>
        <w:annotationRef/>
      </w:r>
      <w:r>
        <w:t>FOR MONDAY: see if I need to change the base case value first.</w:t>
      </w:r>
    </w:p>
    <w:p w14:paraId="7D5F5D46" w14:textId="77777777" w:rsidR="00AF392E" w:rsidRDefault="00AF392E">
      <w:pPr>
        <w:pStyle w:val="CommentText"/>
      </w:pPr>
      <w:r>
        <w:t xml:space="preserve">YEOH INCLUDES CIRRHOSIS? But does it matter bc all we want is the incremental (or %) of male/old population wrt to the overall? </w:t>
      </w:r>
    </w:p>
    <w:p w14:paraId="6F38542E" w14:textId="14899680" w:rsidR="00AF392E" w:rsidRDefault="00AF392E">
      <w:pPr>
        <w:pStyle w:val="CommentText"/>
      </w:pPr>
      <w:r>
        <w:t xml:space="preserve"> Also, should I use Kanwal data but only for lower fib4 to ensure no undiagnosed cirrhosis?</w:t>
      </w:r>
    </w:p>
  </w:comment>
  <w:comment w:id="17" w:author="Joanne Kimiko Liu" w:date="2025-02-21T16:22:00Z" w:initials="JKL">
    <w:p w14:paraId="4EB0D396" w14:textId="5F6E7F86" w:rsidR="00AF392E" w:rsidRDefault="00AF392E">
      <w:pPr>
        <w:pStyle w:val="CommentText"/>
      </w:pPr>
      <w:r>
        <w:rPr>
          <w:rStyle w:val="CommentReference"/>
        </w:rPr>
        <w:annotationRef/>
      </w:r>
      <w:r>
        <w:t xml:space="preserve">Probably better to use Kanwal data for no evidence of high fib4 first. See what this yields. </w:t>
      </w:r>
    </w:p>
  </w:comment>
  <w:comment w:id="18" w:author="Joanne Kimiko Liu" w:date="2025-02-21T16:11:00Z" w:initials="JKL">
    <w:p w14:paraId="537F90E4" w14:textId="77777777" w:rsidR="00943511" w:rsidRDefault="00943511" w:rsidP="00943511">
      <w:pPr>
        <w:pStyle w:val="CommentText"/>
      </w:pPr>
      <w:r>
        <w:rPr>
          <w:rStyle w:val="CommentReference"/>
        </w:rPr>
        <w:annotationRef/>
      </w:r>
      <w:r>
        <w:t>FOR MONDAY: see if I need to change the base case value first.</w:t>
      </w:r>
    </w:p>
    <w:p w14:paraId="5FE66719" w14:textId="77777777" w:rsidR="00943511" w:rsidRDefault="00943511" w:rsidP="00943511">
      <w:pPr>
        <w:pStyle w:val="CommentText"/>
      </w:pPr>
      <w:r>
        <w:t xml:space="preserve">YEOH INCLUDES CIRRHOSIS? But does it matter bc all we want is the incremental (or %) of male/old population wrt to the overall? </w:t>
      </w:r>
    </w:p>
    <w:p w14:paraId="250E15FB" w14:textId="77777777" w:rsidR="00943511" w:rsidRDefault="00943511" w:rsidP="00943511">
      <w:pPr>
        <w:pStyle w:val="CommentText"/>
      </w:pPr>
      <w:r>
        <w:t xml:space="preserve"> Also, should I use Kanwal data but only for lower fib4 to ensure no undiagnosed cirrhosis?</w:t>
      </w:r>
    </w:p>
  </w:comment>
  <w:comment w:id="19" w:author="Joanne Kimiko Liu" w:date="2025-02-21T16:22:00Z" w:initials="JKL">
    <w:p w14:paraId="286E073E" w14:textId="77777777" w:rsidR="00943511" w:rsidRDefault="00943511" w:rsidP="00943511">
      <w:pPr>
        <w:pStyle w:val="CommentText"/>
      </w:pPr>
      <w:r>
        <w:rPr>
          <w:rStyle w:val="CommentReference"/>
        </w:rPr>
        <w:annotationRef/>
      </w:r>
      <w:r>
        <w:t xml:space="preserve">Probably better to use Kanwal data for no evidence of high fib4 first. See what this yields. </w:t>
      </w:r>
    </w:p>
  </w:comment>
  <w:comment w:id="20" w:author="Joanne Kimiko Liu" w:date="2025-03-06T10:49:00Z" w:initials="JKL">
    <w:p w14:paraId="4FBA1699" w14:textId="018CBF58" w:rsidR="00644A76" w:rsidRDefault="00644A76">
      <w:pPr>
        <w:pStyle w:val="CommentText"/>
      </w:pPr>
      <w:r>
        <w:rPr>
          <w:rStyle w:val="CommentReference"/>
        </w:rPr>
        <w:annotationRef/>
      </w:r>
      <w:r>
        <w:t xml:space="preserve">Check in one way sensitivity </w:t>
      </w:r>
      <w:r w:rsidR="006F0ED8">
        <w:t xml:space="preserve">how sensitive cirrhosis incidence is. If ICER is not very sensitive to it, then could be okay to do an estimation using male/diabetes/older incidence.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730C9B" w15:done="1"/>
  <w15:commentEx w15:paraId="574FCFD8" w15:paraIdParent="0C730C9B" w15:done="1"/>
  <w15:commentEx w15:paraId="439ABB00" w15:paraIdParent="0C730C9B" w15:done="1"/>
  <w15:commentEx w15:paraId="4FAB62CF" w15:paraIdParent="0C730C9B" w15:done="1"/>
  <w15:commentEx w15:paraId="23E8FB11" w15:done="1"/>
  <w15:commentEx w15:paraId="4722A661" w15:done="0"/>
  <w15:commentEx w15:paraId="7563CF42" w15:done="0"/>
  <w15:commentEx w15:paraId="7FEB506B" w15:done="0"/>
  <w15:commentEx w15:paraId="14D9F383" w15:done="0"/>
  <w15:commentEx w15:paraId="56C7B32E" w15:done="0"/>
  <w15:commentEx w15:paraId="52D3885D" w15:done="1"/>
  <w15:commentEx w15:paraId="40354FC1" w15:done="0"/>
  <w15:commentEx w15:paraId="2D66270B" w15:done="1"/>
  <w15:commentEx w15:paraId="6F38542E" w15:done="1"/>
  <w15:commentEx w15:paraId="4EB0D396" w15:paraIdParent="6F38542E" w15:done="1"/>
  <w15:commentEx w15:paraId="250E15FB" w15:done="1"/>
  <w15:commentEx w15:paraId="286E073E" w15:paraIdParent="250E15FB" w15:done="1"/>
  <w15:commentEx w15:paraId="4FBA16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632139" w16cex:dateUtc="2025-02-21T23:58:00Z"/>
  <w16cex:commentExtensible w16cex:durableId="2B632610" w16cex:dateUtc="2025-02-22T00:19:00Z"/>
  <w16cex:commentExtensible w16cex:durableId="2B66C66B" w16cex:dateUtc="2025-02-24T18:20:00Z"/>
  <w16cex:commentExtensible w16cex:durableId="2B66C6A4" w16cex:dateUtc="2025-02-24T18:21:00Z"/>
  <w16cex:commentExtensible w16cex:durableId="2B3CD7FE" w16cex:dateUtc="2025-01-23T23:00:00Z"/>
  <w16cex:commentExtensible w16cex:durableId="2B756139" w16cex:dateUtc="2025-03-07T20:12:00Z"/>
  <w16cex:commentExtensible w16cex:durableId="2B3CCEAB" w16cex:dateUtc="2025-01-23T22:20:00Z"/>
  <w16cex:commentExtensible w16cex:durableId="063F708D" w16cex:dateUtc="2024-11-07T22:32:00Z"/>
  <w16cex:commentExtensible w16cex:durableId="2AD76436" w16cex:dateUtc="2024-11-08T00:07:00Z"/>
  <w16cex:commentExtensible w16cex:durableId="2AD7649D" w16cex:dateUtc="2024-11-08T00:07:00Z"/>
  <w16cex:commentExtensible w16cex:durableId="2B5465E5" w16cex:dateUtc="2025-02-10T19:47:00Z"/>
  <w16cex:commentExtensible w16cex:durableId="2B434161" w16cex:dateUtc="2025-01-28T19:43:00Z"/>
  <w16cex:commentExtensible w16cex:durableId="2B421E8D" w16cex:dateUtc="2025-01-27T23:02:00Z"/>
  <w16cex:commentExtensible w16cex:durableId="2B632442" w16cex:dateUtc="2025-02-22T00:11:00Z"/>
  <w16cex:commentExtensible w16cex:durableId="2B6326BA" w16cex:dateUtc="2025-02-22T00:22:00Z"/>
  <w16cex:commentExtensible w16cex:durableId="2B66EE4E" w16cex:dateUtc="2025-02-22T00:11:00Z"/>
  <w16cex:commentExtensible w16cex:durableId="2B66EE4D" w16cex:dateUtc="2025-02-22T00:22:00Z"/>
  <w16cex:commentExtensible w16cex:durableId="2B73FC24" w16cex:dateUtc="2025-03-06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730C9B" w16cid:durableId="2B632139"/>
  <w16cid:commentId w16cid:paraId="574FCFD8" w16cid:durableId="2B632610"/>
  <w16cid:commentId w16cid:paraId="439ABB00" w16cid:durableId="2B66C66B"/>
  <w16cid:commentId w16cid:paraId="4FAB62CF" w16cid:durableId="2B66C6A4"/>
  <w16cid:commentId w16cid:paraId="23E8FB11" w16cid:durableId="2B3CD7FE"/>
  <w16cid:commentId w16cid:paraId="4722A661" w16cid:durableId="2B756139"/>
  <w16cid:commentId w16cid:paraId="7563CF42" w16cid:durableId="2B3CCEAB"/>
  <w16cid:commentId w16cid:paraId="7FEB506B" w16cid:durableId="063F708D"/>
  <w16cid:commentId w16cid:paraId="14D9F383" w16cid:durableId="2AD76436"/>
  <w16cid:commentId w16cid:paraId="56C7B32E" w16cid:durableId="2AD7649D"/>
  <w16cid:commentId w16cid:paraId="52D3885D" w16cid:durableId="2B5465E5"/>
  <w16cid:commentId w16cid:paraId="40354FC1" w16cid:durableId="2B434161"/>
  <w16cid:commentId w16cid:paraId="2D66270B" w16cid:durableId="2B421E8D"/>
  <w16cid:commentId w16cid:paraId="6F38542E" w16cid:durableId="2B632442"/>
  <w16cid:commentId w16cid:paraId="4EB0D396" w16cid:durableId="2B6326BA"/>
  <w16cid:commentId w16cid:paraId="250E15FB" w16cid:durableId="2B66EE4E"/>
  <w16cid:commentId w16cid:paraId="286E073E" w16cid:durableId="2B66EE4D"/>
  <w16cid:commentId w16cid:paraId="4FBA1699" w16cid:durableId="2B73F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ira Sans">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E3B"/>
    <w:multiLevelType w:val="hybridMultilevel"/>
    <w:tmpl w:val="1138F43A"/>
    <w:lvl w:ilvl="0" w:tplc="D7EE6394">
      <w:start w:val="1"/>
      <w:numFmt w:val="bullet"/>
      <w:lvlText w:val="-"/>
      <w:lvlJc w:val="left"/>
      <w:pPr>
        <w:ind w:left="720" w:hanging="360"/>
      </w:pPr>
      <w:rPr>
        <w:rFonts w:ascii="Calibri" w:hAnsi="Calibri" w:hint="default"/>
      </w:rPr>
    </w:lvl>
    <w:lvl w:ilvl="1" w:tplc="C3E8127C">
      <w:start w:val="1"/>
      <w:numFmt w:val="bullet"/>
      <w:lvlText w:val="o"/>
      <w:lvlJc w:val="left"/>
      <w:pPr>
        <w:ind w:left="1440" w:hanging="360"/>
      </w:pPr>
      <w:rPr>
        <w:rFonts w:ascii="Courier New" w:hAnsi="Courier New" w:hint="default"/>
      </w:rPr>
    </w:lvl>
    <w:lvl w:ilvl="2" w:tplc="5FFCDE76">
      <w:start w:val="1"/>
      <w:numFmt w:val="bullet"/>
      <w:lvlText w:val=""/>
      <w:lvlJc w:val="left"/>
      <w:pPr>
        <w:ind w:left="2160" w:hanging="360"/>
      </w:pPr>
      <w:rPr>
        <w:rFonts w:ascii="Wingdings" w:hAnsi="Wingdings" w:hint="default"/>
      </w:rPr>
    </w:lvl>
    <w:lvl w:ilvl="3" w:tplc="E78ED770">
      <w:start w:val="1"/>
      <w:numFmt w:val="bullet"/>
      <w:lvlText w:val=""/>
      <w:lvlJc w:val="left"/>
      <w:pPr>
        <w:ind w:left="2880" w:hanging="360"/>
      </w:pPr>
      <w:rPr>
        <w:rFonts w:ascii="Symbol" w:hAnsi="Symbol" w:hint="default"/>
      </w:rPr>
    </w:lvl>
    <w:lvl w:ilvl="4" w:tplc="5B18FF24">
      <w:start w:val="1"/>
      <w:numFmt w:val="bullet"/>
      <w:lvlText w:val="o"/>
      <w:lvlJc w:val="left"/>
      <w:pPr>
        <w:ind w:left="3600" w:hanging="360"/>
      </w:pPr>
      <w:rPr>
        <w:rFonts w:ascii="Courier New" w:hAnsi="Courier New" w:hint="default"/>
      </w:rPr>
    </w:lvl>
    <w:lvl w:ilvl="5" w:tplc="C5DC1A5C">
      <w:start w:val="1"/>
      <w:numFmt w:val="bullet"/>
      <w:lvlText w:val=""/>
      <w:lvlJc w:val="left"/>
      <w:pPr>
        <w:ind w:left="4320" w:hanging="360"/>
      </w:pPr>
      <w:rPr>
        <w:rFonts w:ascii="Wingdings" w:hAnsi="Wingdings" w:hint="default"/>
      </w:rPr>
    </w:lvl>
    <w:lvl w:ilvl="6" w:tplc="B0AAF2CC">
      <w:start w:val="1"/>
      <w:numFmt w:val="bullet"/>
      <w:lvlText w:val=""/>
      <w:lvlJc w:val="left"/>
      <w:pPr>
        <w:ind w:left="5040" w:hanging="360"/>
      </w:pPr>
      <w:rPr>
        <w:rFonts w:ascii="Symbol" w:hAnsi="Symbol" w:hint="default"/>
      </w:rPr>
    </w:lvl>
    <w:lvl w:ilvl="7" w:tplc="1BEC7B46">
      <w:start w:val="1"/>
      <w:numFmt w:val="bullet"/>
      <w:lvlText w:val="o"/>
      <w:lvlJc w:val="left"/>
      <w:pPr>
        <w:ind w:left="5760" w:hanging="360"/>
      </w:pPr>
      <w:rPr>
        <w:rFonts w:ascii="Courier New" w:hAnsi="Courier New" w:hint="default"/>
      </w:rPr>
    </w:lvl>
    <w:lvl w:ilvl="8" w:tplc="888A8D04">
      <w:start w:val="1"/>
      <w:numFmt w:val="bullet"/>
      <w:lvlText w:val=""/>
      <w:lvlJc w:val="left"/>
      <w:pPr>
        <w:ind w:left="6480" w:hanging="360"/>
      </w:pPr>
      <w:rPr>
        <w:rFonts w:ascii="Wingdings" w:hAnsi="Wingdings" w:hint="default"/>
      </w:rPr>
    </w:lvl>
  </w:abstractNum>
  <w:abstractNum w:abstractNumId="1" w15:restartNumberingAfterBreak="0">
    <w:nsid w:val="07A41C43"/>
    <w:multiLevelType w:val="hybridMultilevel"/>
    <w:tmpl w:val="9DCAEDB8"/>
    <w:lvl w:ilvl="0" w:tplc="3E8843B8">
      <w:start w:val="1"/>
      <w:numFmt w:val="bullet"/>
      <w:lvlText w:val="-"/>
      <w:lvlJc w:val="left"/>
      <w:pPr>
        <w:ind w:left="720" w:hanging="360"/>
      </w:pPr>
      <w:rPr>
        <w:rFonts w:ascii="Calibri" w:hAnsi="Calibri" w:hint="default"/>
      </w:rPr>
    </w:lvl>
    <w:lvl w:ilvl="1" w:tplc="7E88C84A">
      <w:start w:val="1"/>
      <w:numFmt w:val="bullet"/>
      <w:lvlText w:val="o"/>
      <w:lvlJc w:val="left"/>
      <w:pPr>
        <w:ind w:left="1440" w:hanging="360"/>
      </w:pPr>
      <w:rPr>
        <w:rFonts w:ascii="Courier New" w:hAnsi="Courier New" w:hint="default"/>
      </w:rPr>
    </w:lvl>
    <w:lvl w:ilvl="2" w:tplc="3EAA6028">
      <w:start w:val="1"/>
      <w:numFmt w:val="bullet"/>
      <w:lvlText w:val=""/>
      <w:lvlJc w:val="left"/>
      <w:pPr>
        <w:ind w:left="2160" w:hanging="360"/>
      </w:pPr>
      <w:rPr>
        <w:rFonts w:ascii="Wingdings" w:hAnsi="Wingdings" w:hint="default"/>
      </w:rPr>
    </w:lvl>
    <w:lvl w:ilvl="3" w:tplc="5B8EC496">
      <w:start w:val="1"/>
      <w:numFmt w:val="bullet"/>
      <w:lvlText w:val=""/>
      <w:lvlJc w:val="left"/>
      <w:pPr>
        <w:ind w:left="2880" w:hanging="360"/>
      </w:pPr>
      <w:rPr>
        <w:rFonts w:ascii="Symbol" w:hAnsi="Symbol" w:hint="default"/>
      </w:rPr>
    </w:lvl>
    <w:lvl w:ilvl="4" w:tplc="62C6DE0E">
      <w:start w:val="1"/>
      <w:numFmt w:val="bullet"/>
      <w:lvlText w:val="o"/>
      <w:lvlJc w:val="left"/>
      <w:pPr>
        <w:ind w:left="3600" w:hanging="360"/>
      </w:pPr>
      <w:rPr>
        <w:rFonts w:ascii="Courier New" w:hAnsi="Courier New" w:hint="default"/>
      </w:rPr>
    </w:lvl>
    <w:lvl w:ilvl="5" w:tplc="66E84142">
      <w:start w:val="1"/>
      <w:numFmt w:val="bullet"/>
      <w:lvlText w:val=""/>
      <w:lvlJc w:val="left"/>
      <w:pPr>
        <w:ind w:left="4320" w:hanging="360"/>
      </w:pPr>
      <w:rPr>
        <w:rFonts w:ascii="Wingdings" w:hAnsi="Wingdings" w:hint="default"/>
      </w:rPr>
    </w:lvl>
    <w:lvl w:ilvl="6" w:tplc="0D0AB652">
      <w:start w:val="1"/>
      <w:numFmt w:val="bullet"/>
      <w:lvlText w:val=""/>
      <w:lvlJc w:val="left"/>
      <w:pPr>
        <w:ind w:left="5040" w:hanging="360"/>
      </w:pPr>
      <w:rPr>
        <w:rFonts w:ascii="Symbol" w:hAnsi="Symbol" w:hint="default"/>
      </w:rPr>
    </w:lvl>
    <w:lvl w:ilvl="7" w:tplc="EAAC8BC6">
      <w:start w:val="1"/>
      <w:numFmt w:val="bullet"/>
      <w:lvlText w:val="o"/>
      <w:lvlJc w:val="left"/>
      <w:pPr>
        <w:ind w:left="5760" w:hanging="360"/>
      </w:pPr>
      <w:rPr>
        <w:rFonts w:ascii="Courier New" w:hAnsi="Courier New" w:hint="default"/>
      </w:rPr>
    </w:lvl>
    <w:lvl w:ilvl="8" w:tplc="BF5E1342">
      <w:start w:val="1"/>
      <w:numFmt w:val="bullet"/>
      <w:lvlText w:val=""/>
      <w:lvlJc w:val="left"/>
      <w:pPr>
        <w:ind w:left="6480" w:hanging="360"/>
      </w:pPr>
      <w:rPr>
        <w:rFonts w:ascii="Wingdings" w:hAnsi="Wingdings" w:hint="default"/>
      </w:rPr>
    </w:lvl>
  </w:abstractNum>
  <w:abstractNum w:abstractNumId="2" w15:restartNumberingAfterBreak="0">
    <w:nsid w:val="0B4E9649"/>
    <w:multiLevelType w:val="hybridMultilevel"/>
    <w:tmpl w:val="83525612"/>
    <w:lvl w:ilvl="0" w:tplc="60E6F19E">
      <w:start w:val="1"/>
      <w:numFmt w:val="lowerLetter"/>
      <w:lvlText w:val="%1."/>
      <w:lvlJc w:val="left"/>
      <w:pPr>
        <w:ind w:left="720" w:hanging="360"/>
      </w:pPr>
    </w:lvl>
    <w:lvl w:ilvl="1" w:tplc="FFBA1156">
      <w:start w:val="1"/>
      <w:numFmt w:val="lowerLetter"/>
      <w:lvlText w:val="%2."/>
      <w:lvlJc w:val="left"/>
      <w:pPr>
        <w:ind w:left="1440" w:hanging="360"/>
      </w:pPr>
    </w:lvl>
    <w:lvl w:ilvl="2" w:tplc="8EF268EE">
      <w:start w:val="1"/>
      <w:numFmt w:val="lowerRoman"/>
      <w:lvlText w:val="%3."/>
      <w:lvlJc w:val="right"/>
      <w:pPr>
        <w:ind w:left="2160" w:hanging="180"/>
      </w:pPr>
    </w:lvl>
    <w:lvl w:ilvl="3" w:tplc="F088194C">
      <w:start w:val="1"/>
      <w:numFmt w:val="decimal"/>
      <w:lvlText w:val="%4."/>
      <w:lvlJc w:val="left"/>
      <w:pPr>
        <w:ind w:left="2880" w:hanging="360"/>
      </w:pPr>
    </w:lvl>
    <w:lvl w:ilvl="4" w:tplc="E0E2E0B0">
      <w:start w:val="1"/>
      <w:numFmt w:val="lowerLetter"/>
      <w:lvlText w:val="%5."/>
      <w:lvlJc w:val="left"/>
      <w:pPr>
        <w:ind w:left="3600" w:hanging="360"/>
      </w:pPr>
    </w:lvl>
    <w:lvl w:ilvl="5" w:tplc="5C1AE916">
      <w:start w:val="1"/>
      <w:numFmt w:val="lowerRoman"/>
      <w:lvlText w:val="%6."/>
      <w:lvlJc w:val="right"/>
      <w:pPr>
        <w:ind w:left="4320" w:hanging="180"/>
      </w:pPr>
    </w:lvl>
    <w:lvl w:ilvl="6" w:tplc="750A9B10">
      <w:start w:val="1"/>
      <w:numFmt w:val="decimal"/>
      <w:lvlText w:val="%7."/>
      <w:lvlJc w:val="left"/>
      <w:pPr>
        <w:ind w:left="5040" w:hanging="360"/>
      </w:pPr>
    </w:lvl>
    <w:lvl w:ilvl="7" w:tplc="48FA35F6">
      <w:start w:val="1"/>
      <w:numFmt w:val="lowerLetter"/>
      <w:lvlText w:val="%8."/>
      <w:lvlJc w:val="left"/>
      <w:pPr>
        <w:ind w:left="5760" w:hanging="360"/>
      </w:pPr>
    </w:lvl>
    <w:lvl w:ilvl="8" w:tplc="A6A6AB76">
      <w:start w:val="1"/>
      <w:numFmt w:val="lowerRoman"/>
      <w:lvlText w:val="%9."/>
      <w:lvlJc w:val="right"/>
      <w:pPr>
        <w:ind w:left="6480" w:hanging="180"/>
      </w:pPr>
    </w:lvl>
  </w:abstractNum>
  <w:abstractNum w:abstractNumId="3" w15:restartNumberingAfterBreak="0">
    <w:nsid w:val="18F77295"/>
    <w:multiLevelType w:val="hybridMultilevel"/>
    <w:tmpl w:val="0C50D7BE"/>
    <w:lvl w:ilvl="0" w:tplc="78A852E2">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52E24"/>
    <w:multiLevelType w:val="hybridMultilevel"/>
    <w:tmpl w:val="652E14BE"/>
    <w:lvl w:ilvl="0" w:tplc="146859E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4DB09"/>
    <w:multiLevelType w:val="hybridMultilevel"/>
    <w:tmpl w:val="67C0AA64"/>
    <w:lvl w:ilvl="0" w:tplc="2EFCE4A8">
      <w:start w:val="1"/>
      <w:numFmt w:val="lowerLetter"/>
      <w:lvlText w:val="%1."/>
      <w:lvlJc w:val="left"/>
      <w:pPr>
        <w:ind w:left="720" w:hanging="360"/>
      </w:pPr>
    </w:lvl>
    <w:lvl w:ilvl="1" w:tplc="C3F04C90">
      <w:start w:val="1"/>
      <w:numFmt w:val="lowerLetter"/>
      <w:lvlText w:val="%2."/>
      <w:lvlJc w:val="left"/>
      <w:pPr>
        <w:ind w:left="1440" w:hanging="360"/>
      </w:pPr>
    </w:lvl>
    <w:lvl w:ilvl="2" w:tplc="A970AA8C">
      <w:start w:val="1"/>
      <w:numFmt w:val="lowerRoman"/>
      <w:lvlText w:val="%3."/>
      <w:lvlJc w:val="right"/>
      <w:pPr>
        <w:ind w:left="2160" w:hanging="180"/>
      </w:pPr>
    </w:lvl>
    <w:lvl w:ilvl="3" w:tplc="592A0DEA">
      <w:start w:val="1"/>
      <w:numFmt w:val="decimal"/>
      <w:lvlText w:val="%4."/>
      <w:lvlJc w:val="left"/>
      <w:pPr>
        <w:ind w:left="2880" w:hanging="360"/>
      </w:pPr>
    </w:lvl>
    <w:lvl w:ilvl="4" w:tplc="14A07BCA">
      <w:start w:val="1"/>
      <w:numFmt w:val="lowerLetter"/>
      <w:lvlText w:val="%5."/>
      <w:lvlJc w:val="left"/>
      <w:pPr>
        <w:ind w:left="3600" w:hanging="360"/>
      </w:pPr>
    </w:lvl>
    <w:lvl w:ilvl="5" w:tplc="7F2C4CB4">
      <w:start w:val="1"/>
      <w:numFmt w:val="lowerRoman"/>
      <w:lvlText w:val="%6."/>
      <w:lvlJc w:val="right"/>
      <w:pPr>
        <w:ind w:left="4320" w:hanging="180"/>
      </w:pPr>
    </w:lvl>
    <w:lvl w:ilvl="6" w:tplc="FC669298">
      <w:start w:val="1"/>
      <w:numFmt w:val="decimal"/>
      <w:lvlText w:val="%7."/>
      <w:lvlJc w:val="left"/>
      <w:pPr>
        <w:ind w:left="5040" w:hanging="360"/>
      </w:pPr>
    </w:lvl>
    <w:lvl w:ilvl="7" w:tplc="775A399A">
      <w:start w:val="1"/>
      <w:numFmt w:val="lowerLetter"/>
      <w:lvlText w:val="%8."/>
      <w:lvlJc w:val="left"/>
      <w:pPr>
        <w:ind w:left="5760" w:hanging="360"/>
      </w:pPr>
    </w:lvl>
    <w:lvl w:ilvl="8" w:tplc="1C901C1A">
      <w:start w:val="1"/>
      <w:numFmt w:val="lowerRoman"/>
      <w:lvlText w:val="%9."/>
      <w:lvlJc w:val="right"/>
      <w:pPr>
        <w:ind w:left="6480" w:hanging="180"/>
      </w:pPr>
    </w:lvl>
  </w:abstractNum>
  <w:abstractNum w:abstractNumId="6" w15:restartNumberingAfterBreak="0">
    <w:nsid w:val="24FB0CAB"/>
    <w:multiLevelType w:val="hybridMultilevel"/>
    <w:tmpl w:val="1548C4A4"/>
    <w:lvl w:ilvl="0" w:tplc="4E8844AC">
      <w:start w:val="1"/>
      <w:numFmt w:val="bullet"/>
      <w:lvlText w:val=""/>
      <w:lvlJc w:val="left"/>
      <w:pPr>
        <w:ind w:left="720" w:hanging="360"/>
      </w:pPr>
      <w:rPr>
        <w:rFonts w:ascii="Symbol" w:hAnsi="Symbol" w:hint="default"/>
      </w:rPr>
    </w:lvl>
    <w:lvl w:ilvl="1" w:tplc="EFFC36A8">
      <w:start w:val="1"/>
      <w:numFmt w:val="bullet"/>
      <w:lvlText w:val="o"/>
      <w:lvlJc w:val="left"/>
      <w:pPr>
        <w:ind w:left="1440" w:hanging="360"/>
      </w:pPr>
      <w:rPr>
        <w:rFonts w:ascii="Courier New" w:hAnsi="Courier New" w:hint="default"/>
      </w:rPr>
    </w:lvl>
    <w:lvl w:ilvl="2" w:tplc="4FDAC8F6">
      <w:start w:val="1"/>
      <w:numFmt w:val="bullet"/>
      <w:lvlText w:val=""/>
      <w:lvlJc w:val="left"/>
      <w:pPr>
        <w:ind w:left="2160" w:hanging="360"/>
      </w:pPr>
      <w:rPr>
        <w:rFonts w:ascii="Wingdings" w:hAnsi="Wingdings" w:hint="default"/>
      </w:rPr>
    </w:lvl>
    <w:lvl w:ilvl="3" w:tplc="1F242F98">
      <w:start w:val="1"/>
      <w:numFmt w:val="bullet"/>
      <w:lvlText w:val=""/>
      <w:lvlJc w:val="left"/>
      <w:pPr>
        <w:ind w:left="2880" w:hanging="360"/>
      </w:pPr>
      <w:rPr>
        <w:rFonts w:ascii="Symbol" w:hAnsi="Symbol" w:hint="default"/>
      </w:rPr>
    </w:lvl>
    <w:lvl w:ilvl="4" w:tplc="260AC8EE">
      <w:start w:val="1"/>
      <w:numFmt w:val="bullet"/>
      <w:lvlText w:val="o"/>
      <w:lvlJc w:val="left"/>
      <w:pPr>
        <w:ind w:left="3600" w:hanging="360"/>
      </w:pPr>
      <w:rPr>
        <w:rFonts w:ascii="Courier New" w:hAnsi="Courier New" w:hint="default"/>
      </w:rPr>
    </w:lvl>
    <w:lvl w:ilvl="5" w:tplc="EB76AD42">
      <w:start w:val="1"/>
      <w:numFmt w:val="bullet"/>
      <w:lvlText w:val=""/>
      <w:lvlJc w:val="left"/>
      <w:pPr>
        <w:ind w:left="4320" w:hanging="360"/>
      </w:pPr>
      <w:rPr>
        <w:rFonts w:ascii="Wingdings" w:hAnsi="Wingdings" w:hint="default"/>
      </w:rPr>
    </w:lvl>
    <w:lvl w:ilvl="6" w:tplc="48F8A07E">
      <w:start w:val="1"/>
      <w:numFmt w:val="bullet"/>
      <w:lvlText w:val=""/>
      <w:lvlJc w:val="left"/>
      <w:pPr>
        <w:ind w:left="5040" w:hanging="360"/>
      </w:pPr>
      <w:rPr>
        <w:rFonts w:ascii="Symbol" w:hAnsi="Symbol" w:hint="default"/>
      </w:rPr>
    </w:lvl>
    <w:lvl w:ilvl="7" w:tplc="A8EE29B4">
      <w:start w:val="1"/>
      <w:numFmt w:val="bullet"/>
      <w:lvlText w:val="o"/>
      <w:lvlJc w:val="left"/>
      <w:pPr>
        <w:ind w:left="5760" w:hanging="360"/>
      </w:pPr>
      <w:rPr>
        <w:rFonts w:ascii="Courier New" w:hAnsi="Courier New" w:hint="default"/>
      </w:rPr>
    </w:lvl>
    <w:lvl w:ilvl="8" w:tplc="62AE26D2">
      <w:start w:val="1"/>
      <w:numFmt w:val="bullet"/>
      <w:lvlText w:val=""/>
      <w:lvlJc w:val="left"/>
      <w:pPr>
        <w:ind w:left="6480" w:hanging="360"/>
      </w:pPr>
      <w:rPr>
        <w:rFonts w:ascii="Wingdings" w:hAnsi="Wingdings" w:hint="default"/>
      </w:rPr>
    </w:lvl>
  </w:abstractNum>
  <w:abstractNum w:abstractNumId="7" w15:restartNumberingAfterBreak="0">
    <w:nsid w:val="3157088F"/>
    <w:multiLevelType w:val="hybridMultilevel"/>
    <w:tmpl w:val="251CFCA6"/>
    <w:lvl w:ilvl="0" w:tplc="2AB27A50">
      <w:start w:val="1"/>
      <w:numFmt w:val="bullet"/>
      <w:lvlText w:val="-"/>
      <w:lvlJc w:val="left"/>
      <w:pPr>
        <w:ind w:left="720" w:hanging="360"/>
      </w:pPr>
      <w:rPr>
        <w:rFonts w:ascii="Calibri" w:hAnsi="Calibri" w:hint="default"/>
      </w:rPr>
    </w:lvl>
    <w:lvl w:ilvl="1" w:tplc="BAE4533E">
      <w:start w:val="1"/>
      <w:numFmt w:val="bullet"/>
      <w:lvlText w:val="o"/>
      <w:lvlJc w:val="left"/>
      <w:pPr>
        <w:ind w:left="1440" w:hanging="360"/>
      </w:pPr>
      <w:rPr>
        <w:rFonts w:ascii="Courier New" w:hAnsi="Courier New" w:hint="default"/>
      </w:rPr>
    </w:lvl>
    <w:lvl w:ilvl="2" w:tplc="ECC6FCEC">
      <w:start w:val="1"/>
      <w:numFmt w:val="bullet"/>
      <w:lvlText w:val=""/>
      <w:lvlJc w:val="left"/>
      <w:pPr>
        <w:ind w:left="2160" w:hanging="360"/>
      </w:pPr>
      <w:rPr>
        <w:rFonts w:ascii="Wingdings" w:hAnsi="Wingdings" w:hint="default"/>
      </w:rPr>
    </w:lvl>
    <w:lvl w:ilvl="3" w:tplc="982C5044">
      <w:start w:val="1"/>
      <w:numFmt w:val="bullet"/>
      <w:lvlText w:val=""/>
      <w:lvlJc w:val="left"/>
      <w:pPr>
        <w:ind w:left="2880" w:hanging="360"/>
      </w:pPr>
      <w:rPr>
        <w:rFonts w:ascii="Symbol" w:hAnsi="Symbol" w:hint="default"/>
      </w:rPr>
    </w:lvl>
    <w:lvl w:ilvl="4" w:tplc="BECC4E28">
      <w:start w:val="1"/>
      <w:numFmt w:val="bullet"/>
      <w:lvlText w:val="o"/>
      <w:lvlJc w:val="left"/>
      <w:pPr>
        <w:ind w:left="3600" w:hanging="360"/>
      </w:pPr>
      <w:rPr>
        <w:rFonts w:ascii="Courier New" w:hAnsi="Courier New" w:hint="default"/>
      </w:rPr>
    </w:lvl>
    <w:lvl w:ilvl="5" w:tplc="A2A0661C">
      <w:start w:val="1"/>
      <w:numFmt w:val="bullet"/>
      <w:lvlText w:val=""/>
      <w:lvlJc w:val="left"/>
      <w:pPr>
        <w:ind w:left="4320" w:hanging="360"/>
      </w:pPr>
      <w:rPr>
        <w:rFonts w:ascii="Wingdings" w:hAnsi="Wingdings" w:hint="default"/>
      </w:rPr>
    </w:lvl>
    <w:lvl w:ilvl="6" w:tplc="E0D8571C">
      <w:start w:val="1"/>
      <w:numFmt w:val="bullet"/>
      <w:lvlText w:val=""/>
      <w:lvlJc w:val="left"/>
      <w:pPr>
        <w:ind w:left="5040" w:hanging="360"/>
      </w:pPr>
      <w:rPr>
        <w:rFonts w:ascii="Symbol" w:hAnsi="Symbol" w:hint="default"/>
      </w:rPr>
    </w:lvl>
    <w:lvl w:ilvl="7" w:tplc="60CA975C">
      <w:start w:val="1"/>
      <w:numFmt w:val="bullet"/>
      <w:lvlText w:val="o"/>
      <w:lvlJc w:val="left"/>
      <w:pPr>
        <w:ind w:left="5760" w:hanging="360"/>
      </w:pPr>
      <w:rPr>
        <w:rFonts w:ascii="Courier New" w:hAnsi="Courier New" w:hint="default"/>
      </w:rPr>
    </w:lvl>
    <w:lvl w:ilvl="8" w:tplc="1BE208C0">
      <w:start w:val="1"/>
      <w:numFmt w:val="bullet"/>
      <w:lvlText w:val=""/>
      <w:lvlJc w:val="left"/>
      <w:pPr>
        <w:ind w:left="6480" w:hanging="360"/>
      </w:pPr>
      <w:rPr>
        <w:rFonts w:ascii="Wingdings" w:hAnsi="Wingdings" w:hint="default"/>
      </w:rPr>
    </w:lvl>
  </w:abstractNum>
  <w:abstractNum w:abstractNumId="8" w15:restartNumberingAfterBreak="0">
    <w:nsid w:val="35728074"/>
    <w:multiLevelType w:val="hybridMultilevel"/>
    <w:tmpl w:val="A62EAA48"/>
    <w:lvl w:ilvl="0" w:tplc="4008C162">
      <w:start w:val="1"/>
      <w:numFmt w:val="bullet"/>
      <w:lvlText w:val=""/>
      <w:lvlJc w:val="left"/>
      <w:pPr>
        <w:ind w:left="720" w:hanging="360"/>
      </w:pPr>
      <w:rPr>
        <w:rFonts w:ascii="Symbol" w:hAnsi="Symbol" w:hint="default"/>
      </w:rPr>
    </w:lvl>
    <w:lvl w:ilvl="1" w:tplc="3D7625CC">
      <w:start w:val="1"/>
      <w:numFmt w:val="bullet"/>
      <w:lvlText w:val="o"/>
      <w:lvlJc w:val="left"/>
      <w:pPr>
        <w:ind w:left="1440" w:hanging="360"/>
      </w:pPr>
      <w:rPr>
        <w:rFonts w:ascii="Courier New" w:hAnsi="Courier New" w:hint="default"/>
      </w:rPr>
    </w:lvl>
    <w:lvl w:ilvl="2" w:tplc="8ED2A64C">
      <w:start w:val="1"/>
      <w:numFmt w:val="bullet"/>
      <w:lvlText w:val=""/>
      <w:lvlJc w:val="left"/>
      <w:pPr>
        <w:ind w:left="2160" w:hanging="360"/>
      </w:pPr>
      <w:rPr>
        <w:rFonts w:ascii="Wingdings" w:hAnsi="Wingdings" w:hint="default"/>
      </w:rPr>
    </w:lvl>
    <w:lvl w:ilvl="3" w:tplc="30E05798">
      <w:start w:val="1"/>
      <w:numFmt w:val="bullet"/>
      <w:lvlText w:val=""/>
      <w:lvlJc w:val="left"/>
      <w:pPr>
        <w:ind w:left="2880" w:hanging="360"/>
      </w:pPr>
      <w:rPr>
        <w:rFonts w:ascii="Symbol" w:hAnsi="Symbol" w:hint="default"/>
      </w:rPr>
    </w:lvl>
    <w:lvl w:ilvl="4" w:tplc="CD92EDF8">
      <w:start w:val="1"/>
      <w:numFmt w:val="bullet"/>
      <w:lvlText w:val="o"/>
      <w:lvlJc w:val="left"/>
      <w:pPr>
        <w:ind w:left="3600" w:hanging="360"/>
      </w:pPr>
      <w:rPr>
        <w:rFonts w:ascii="Courier New" w:hAnsi="Courier New" w:hint="default"/>
      </w:rPr>
    </w:lvl>
    <w:lvl w:ilvl="5" w:tplc="F550B9CC">
      <w:start w:val="1"/>
      <w:numFmt w:val="bullet"/>
      <w:lvlText w:val=""/>
      <w:lvlJc w:val="left"/>
      <w:pPr>
        <w:ind w:left="4320" w:hanging="360"/>
      </w:pPr>
      <w:rPr>
        <w:rFonts w:ascii="Wingdings" w:hAnsi="Wingdings" w:hint="default"/>
      </w:rPr>
    </w:lvl>
    <w:lvl w:ilvl="6" w:tplc="47945850">
      <w:start w:val="1"/>
      <w:numFmt w:val="bullet"/>
      <w:lvlText w:val=""/>
      <w:lvlJc w:val="left"/>
      <w:pPr>
        <w:ind w:left="5040" w:hanging="360"/>
      </w:pPr>
      <w:rPr>
        <w:rFonts w:ascii="Symbol" w:hAnsi="Symbol" w:hint="default"/>
      </w:rPr>
    </w:lvl>
    <w:lvl w:ilvl="7" w:tplc="85C43670">
      <w:start w:val="1"/>
      <w:numFmt w:val="bullet"/>
      <w:lvlText w:val="o"/>
      <w:lvlJc w:val="left"/>
      <w:pPr>
        <w:ind w:left="5760" w:hanging="360"/>
      </w:pPr>
      <w:rPr>
        <w:rFonts w:ascii="Courier New" w:hAnsi="Courier New" w:hint="default"/>
      </w:rPr>
    </w:lvl>
    <w:lvl w:ilvl="8" w:tplc="BEBCB086">
      <w:start w:val="1"/>
      <w:numFmt w:val="bullet"/>
      <w:lvlText w:val=""/>
      <w:lvlJc w:val="left"/>
      <w:pPr>
        <w:ind w:left="6480" w:hanging="360"/>
      </w:pPr>
      <w:rPr>
        <w:rFonts w:ascii="Wingdings" w:hAnsi="Wingdings" w:hint="default"/>
      </w:rPr>
    </w:lvl>
  </w:abstractNum>
  <w:abstractNum w:abstractNumId="9" w15:restartNumberingAfterBreak="0">
    <w:nsid w:val="45520E28"/>
    <w:multiLevelType w:val="hybridMultilevel"/>
    <w:tmpl w:val="0792F114"/>
    <w:lvl w:ilvl="0" w:tplc="911C4A4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1152E"/>
    <w:multiLevelType w:val="hybridMultilevel"/>
    <w:tmpl w:val="8222EFCE"/>
    <w:lvl w:ilvl="0" w:tplc="4CC8E99C">
      <w:start w:val="1"/>
      <w:numFmt w:val="lowerLetter"/>
      <w:lvlText w:val="%1."/>
      <w:lvlJc w:val="left"/>
      <w:pPr>
        <w:ind w:left="720" w:hanging="360"/>
      </w:pPr>
    </w:lvl>
    <w:lvl w:ilvl="1" w:tplc="BA106C8A">
      <w:start w:val="1"/>
      <w:numFmt w:val="lowerLetter"/>
      <w:lvlText w:val="%2."/>
      <w:lvlJc w:val="left"/>
      <w:pPr>
        <w:ind w:left="1440" w:hanging="360"/>
      </w:pPr>
    </w:lvl>
    <w:lvl w:ilvl="2" w:tplc="75CC77FA">
      <w:start w:val="1"/>
      <w:numFmt w:val="lowerRoman"/>
      <w:lvlText w:val="%3."/>
      <w:lvlJc w:val="right"/>
      <w:pPr>
        <w:ind w:left="2160" w:hanging="180"/>
      </w:pPr>
    </w:lvl>
    <w:lvl w:ilvl="3" w:tplc="14CEA91E">
      <w:start w:val="1"/>
      <w:numFmt w:val="decimal"/>
      <w:lvlText w:val="%4."/>
      <w:lvlJc w:val="left"/>
      <w:pPr>
        <w:ind w:left="2880" w:hanging="360"/>
      </w:pPr>
    </w:lvl>
    <w:lvl w:ilvl="4" w:tplc="5A84119A">
      <w:start w:val="1"/>
      <w:numFmt w:val="lowerLetter"/>
      <w:lvlText w:val="%5."/>
      <w:lvlJc w:val="left"/>
      <w:pPr>
        <w:ind w:left="3600" w:hanging="360"/>
      </w:pPr>
    </w:lvl>
    <w:lvl w:ilvl="5" w:tplc="B26EBBE8">
      <w:start w:val="1"/>
      <w:numFmt w:val="lowerRoman"/>
      <w:lvlText w:val="%6."/>
      <w:lvlJc w:val="right"/>
      <w:pPr>
        <w:ind w:left="4320" w:hanging="180"/>
      </w:pPr>
    </w:lvl>
    <w:lvl w:ilvl="6" w:tplc="5FA0FB84">
      <w:start w:val="1"/>
      <w:numFmt w:val="decimal"/>
      <w:lvlText w:val="%7."/>
      <w:lvlJc w:val="left"/>
      <w:pPr>
        <w:ind w:left="5040" w:hanging="360"/>
      </w:pPr>
    </w:lvl>
    <w:lvl w:ilvl="7" w:tplc="87009D86">
      <w:start w:val="1"/>
      <w:numFmt w:val="lowerLetter"/>
      <w:lvlText w:val="%8."/>
      <w:lvlJc w:val="left"/>
      <w:pPr>
        <w:ind w:left="5760" w:hanging="360"/>
      </w:pPr>
    </w:lvl>
    <w:lvl w:ilvl="8" w:tplc="A26224F8">
      <w:start w:val="1"/>
      <w:numFmt w:val="lowerRoman"/>
      <w:lvlText w:val="%9."/>
      <w:lvlJc w:val="right"/>
      <w:pPr>
        <w:ind w:left="6480" w:hanging="180"/>
      </w:pPr>
    </w:lvl>
  </w:abstractNum>
  <w:abstractNum w:abstractNumId="11" w15:restartNumberingAfterBreak="0">
    <w:nsid w:val="5208AB4F"/>
    <w:multiLevelType w:val="hybridMultilevel"/>
    <w:tmpl w:val="8272C892"/>
    <w:lvl w:ilvl="0" w:tplc="03B21E6C">
      <w:start w:val="1"/>
      <w:numFmt w:val="bullet"/>
      <w:lvlText w:val=""/>
      <w:lvlJc w:val="left"/>
      <w:pPr>
        <w:ind w:left="720" w:hanging="360"/>
      </w:pPr>
      <w:rPr>
        <w:rFonts w:ascii="Symbol" w:hAnsi="Symbol" w:hint="default"/>
      </w:rPr>
    </w:lvl>
    <w:lvl w:ilvl="1" w:tplc="92A08806">
      <w:start w:val="1"/>
      <w:numFmt w:val="bullet"/>
      <w:lvlText w:val="o"/>
      <w:lvlJc w:val="left"/>
      <w:pPr>
        <w:ind w:left="1440" w:hanging="360"/>
      </w:pPr>
      <w:rPr>
        <w:rFonts w:ascii="Courier New" w:hAnsi="Courier New" w:hint="default"/>
      </w:rPr>
    </w:lvl>
    <w:lvl w:ilvl="2" w:tplc="BD74BD28">
      <w:start w:val="1"/>
      <w:numFmt w:val="bullet"/>
      <w:lvlText w:val=""/>
      <w:lvlJc w:val="left"/>
      <w:pPr>
        <w:ind w:left="2160" w:hanging="360"/>
      </w:pPr>
      <w:rPr>
        <w:rFonts w:ascii="Wingdings" w:hAnsi="Wingdings" w:hint="default"/>
      </w:rPr>
    </w:lvl>
    <w:lvl w:ilvl="3" w:tplc="4678D8AC">
      <w:start w:val="1"/>
      <w:numFmt w:val="bullet"/>
      <w:lvlText w:val=""/>
      <w:lvlJc w:val="left"/>
      <w:pPr>
        <w:ind w:left="2880" w:hanging="360"/>
      </w:pPr>
      <w:rPr>
        <w:rFonts w:ascii="Symbol" w:hAnsi="Symbol" w:hint="default"/>
      </w:rPr>
    </w:lvl>
    <w:lvl w:ilvl="4" w:tplc="DA3A5DA4">
      <w:start w:val="1"/>
      <w:numFmt w:val="bullet"/>
      <w:lvlText w:val="o"/>
      <w:lvlJc w:val="left"/>
      <w:pPr>
        <w:ind w:left="3600" w:hanging="360"/>
      </w:pPr>
      <w:rPr>
        <w:rFonts w:ascii="Courier New" w:hAnsi="Courier New" w:hint="default"/>
      </w:rPr>
    </w:lvl>
    <w:lvl w:ilvl="5" w:tplc="CC186D20">
      <w:start w:val="1"/>
      <w:numFmt w:val="bullet"/>
      <w:lvlText w:val=""/>
      <w:lvlJc w:val="left"/>
      <w:pPr>
        <w:ind w:left="4320" w:hanging="360"/>
      </w:pPr>
      <w:rPr>
        <w:rFonts w:ascii="Wingdings" w:hAnsi="Wingdings" w:hint="default"/>
      </w:rPr>
    </w:lvl>
    <w:lvl w:ilvl="6" w:tplc="DB502E42">
      <w:start w:val="1"/>
      <w:numFmt w:val="bullet"/>
      <w:lvlText w:val=""/>
      <w:lvlJc w:val="left"/>
      <w:pPr>
        <w:ind w:left="5040" w:hanging="360"/>
      </w:pPr>
      <w:rPr>
        <w:rFonts w:ascii="Symbol" w:hAnsi="Symbol" w:hint="default"/>
      </w:rPr>
    </w:lvl>
    <w:lvl w:ilvl="7" w:tplc="0040F63C">
      <w:start w:val="1"/>
      <w:numFmt w:val="bullet"/>
      <w:lvlText w:val="o"/>
      <w:lvlJc w:val="left"/>
      <w:pPr>
        <w:ind w:left="5760" w:hanging="360"/>
      </w:pPr>
      <w:rPr>
        <w:rFonts w:ascii="Courier New" w:hAnsi="Courier New" w:hint="default"/>
      </w:rPr>
    </w:lvl>
    <w:lvl w:ilvl="8" w:tplc="EE6ADD18">
      <w:start w:val="1"/>
      <w:numFmt w:val="bullet"/>
      <w:lvlText w:val=""/>
      <w:lvlJc w:val="left"/>
      <w:pPr>
        <w:ind w:left="6480" w:hanging="360"/>
      </w:pPr>
      <w:rPr>
        <w:rFonts w:ascii="Wingdings" w:hAnsi="Wingdings" w:hint="default"/>
      </w:rPr>
    </w:lvl>
  </w:abstractNum>
  <w:abstractNum w:abstractNumId="12" w15:restartNumberingAfterBreak="0">
    <w:nsid w:val="576E84F2"/>
    <w:multiLevelType w:val="hybridMultilevel"/>
    <w:tmpl w:val="BC4C307C"/>
    <w:lvl w:ilvl="0" w:tplc="648009A6">
      <w:start w:val="1"/>
      <w:numFmt w:val="bullet"/>
      <w:lvlText w:val=""/>
      <w:lvlJc w:val="left"/>
      <w:pPr>
        <w:ind w:left="720" w:hanging="360"/>
      </w:pPr>
      <w:rPr>
        <w:rFonts w:ascii="Symbol" w:hAnsi="Symbol" w:hint="default"/>
      </w:rPr>
    </w:lvl>
    <w:lvl w:ilvl="1" w:tplc="62CEDCA6">
      <w:start w:val="1"/>
      <w:numFmt w:val="bullet"/>
      <w:lvlText w:val="o"/>
      <w:lvlJc w:val="left"/>
      <w:pPr>
        <w:ind w:left="1440" w:hanging="360"/>
      </w:pPr>
      <w:rPr>
        <w:rFonts w:ascii="Courier New" w:hAnsi="Courier New" w:hint="default"/>
      </w:rPr>
    </w:lvl>
    <w:lvl w:ilvl="2" w:tplc="8DCA0552">
      <w:start w:val="1"/>
      <w:numFmt w:val="bullet"/>
      <w:lvlText w:val=""/>
      <w:lvlJc w:val="left"/>
      <w:pPr>
        <w:ind w:left="2160" w:hanging="360"/>
      </w:pPr>
      <w:rPr>
        <w:rFonts w:ascii="Wingdings" w:hAnsi="Wingdings" w:hint="default"/>
      </w:rPr>
    </w:lvl>
    <w:lvl w:ilvl="3" w:tplc="8F320DE4">
      <w:start w:val="1"/>
      <w:numFmt w:val="bullet"/>
      <w:lvlText w:val=""/>
      <w:lvlJc w:val="left"/>
      <w:pPr>
        <w:ind w:left="2880" w:hanging="360"/>
      </w:pPr>
      <w:rPr>
        <w:rFonts w:ascii="Symbol" w:hAnsi="Symbol" w:hint="default"/>
      </w:rPr>
    </w:lvl>
    <w:lvl w:ilvl="4" w:tplc="22E04DBE">
      <w:start w:val="1"/>
      <w:numFmt w:val="bullet"/>
      <w:lvlText w:val="o"/>
      <w:lvlJc w:val="left"/>
      <w:pPr>
        <w:ind w:left="3600" w:hanging="360"/>
      </w:pPr>
      <w:rPr>
        <w:rFonts w:ascii="Courier New" w:hAnsi="Courier New" w:hint="default"/>
      </w:rPr>
    </w:lvl>
    <w:lvl w:ilvl="5" w:tplc="C328631C">
      <w:start w:val="1"/>
      <w:numFmt w:val="bullet"/>
      <w:lvlText w:val=""/>
      <w:lvlJc w:val="left"/>
      <w:pPr>
        <w:ind w:left="4320" w:hanging="360"/>
      </w:pPr>
      <w:rPr>
        <w:rFonts w:ascii="Wingdings" w:hAnsi="Wingdings" w:hint="default"/>
      </w:rPr>
    </w:lvl>
    <w:lvl w:ilvl="6" w:tplc="81E2504E">
      <w:start w:val="1"/>
      <w:numFmt w:val="bullet"/>
      <w:lvlText w:val=""/>
      <w:lvlJc w:val="left"/>
      <w:pPr>
        <w:ind w:left="5040" w:hanging="360"/>
      </w:pPr>
      <w:rPr>
        <w:rFonts w:ascii="Symbol" w:hAnsi="Symbol" w:hint="default"/>
      </w:rPr>
    </w:lvl>
    <w:lvl w:ilvl="7" w:tplc="34E6CE64">
      <w:start w:val="1"/>
      <w:numFmt w:val="bullet"/>
      <w:lvlText w:val="o"/>
      <w:lvlJc w:val="left"/>
      <w:pPr>
        <w:ind w:left="5760" w:hanging="360"/>
      </w:pPr>
      <w:rPr>
        <w:rFonts w:ascii="Courier New" w:hAnsi="Courier New" w:hint="default"/>
      </w:rPr>
    </w:lvl>
    <w:lvl w:ilvl="8" w:tplc="61BA800A">
      <w:start w:val="1"/>
      <w:numFmt w:val="bullet"/>
      <w:lvlText w:val=""/>
      <w:lvlJc w:val="left"/>
      <w:pPr>
        <w:ind w:left="6480" w:hanging="360"/>
      </w:pPr>
      <w:rPr>
        <w:rFonts w:ascii="Wingdings" w:hAnsi="Wingdings" w:hint="default"/>
      </w:rPr>
    </w:lvl>
  </w:abstractNum>
  <w:abstractNum w:abstractNumId="13" w15:restartNumberingAfterBreak="0">
    <w:nsid w:val="5ADDB753"/>
    <w:multiLevelType w:val="hybridMultilevel"/>
    <w:tmpl w:val="1520CF76"/>
    <w:lvl w:ilvl="0" w:tplc="5660F668">
      <w:start w:val="1"/>
      <w:numFmt w:val="bullet"/>
      <w:lvlText w:val="-"/>
      <w:lvlJc w:val="left"/>
      <w:pPr>
        <w:ind w:left="720" w:hanging="360"/>
      </w:pPr>
      <w:rPr>
        <w:rFonts w:ascii="Calibri" w:hAnsi="Calibri" w:hint="default"/>
      </w:rPr>
    </w:lvl>
    <w:lvl w:ilvl="1" w:tplc="9F448D00">
      <w:start w:val="1"/>
      <w:numFmt w:val="bullet"/>
      <w:lvlText w:val="o"/>
      <w:lvlJc w:val="left"/>
      <w:pPr>
        <w:ind w:left="1440" w:hanging="360"/>
      </w:pPr>
      <w:rPr>
        <w:rFonts w:ascii="Courier New" w:hAnsi="Courier New" w:hint="default"/>
      </w:rPr>
    </w:lvl>
    <w:lvl w:ilvl="2" w:tplc="B63CC8D0">
      <w:start w:val="1"/>
      <w:numFmt w:val="bullet"/>
      <w:lvlText w:val=""/>
      <w:lvlJc w:val="left"/>
      <w:pPr>
        <w:ind w:left="2160" w:hanging="360"/>
      </w:pPr>
      <w:rPr>
        <w:rFonts w:ascii="Wingdings" w:hAnsi="Wingdings" w:hint="default"/>
      </w:rPr>
    </w:lvl>
    <w:lvl w:ilvl="3" w:tplc="4CD2955E">
      <w:start w:val="1"/>
      <w:numFmt w:val="bullet"/>
      <w:lvlText w:val=""/>
      <w:lvlJc w:val="left"/>
      <w:pPr>
        <w:ind w:left="2880" w:hanging="360"/>
      </w:pPr>
      <w:rPr>
        <w:rFonts w:ascii="Symbol" w:hAnsi="Symbol" w:hint="default"/>
      </w:rPr>
    </w:lvl>
    <w:lvl w:ilvl="4" w:tplc="C51EA698">
      <w:start w:val="1"/>
      <w:numFmt w:val="bullet"/>
      <w:lvlText w:val="o"/>
      <w:lvlJc w:val="left"/>
      <w:pPr>
        <w:ind w:left="3600" w:hanging="360"/>
      </w:pPr>
      <w:rPr>
        <w:rFonts w:ascii="Courier New" w:hAnsi="Courier New" w:hint="default"/>
      </w:rPr>
    </w:lvl>
    <w:lvl w:ilvl="5" w:tplc="885A56EC">
      <w:start w:val="1"/>
      <w:numFmt w:val="bullet"/>
      <w:lvlText w:val=""/>
      <w:lvlJc w:val="left"/>
      <w:pPr>
        <w:ind w:left="4320" w:hanging="360"/>
      </w:pPr>
      <w:rPr>
        <w:rFonts w:ascii="Wingdings" w:hAnsi="Wingdings" w:hint="default"/>
      </w:rPr>
    </w:lvl>
    <w:lvl w:ilvl="6" w:tplc="2AD0E4F8">
      <w:start w:val="1"/>
      <w:numFmt w:val="bullet"/>
      <w:lvlText w:val=""/>
      <w:lvlJc w:val="left"/>
      <w:pPr>
        <w:ind w:left="5040" w:hanging="360"/>
      </w:pPr>
      <w:rPr>
        <w:rFonts w:ascii="Symbol" w:hAnsi="Symbol" w:hint="default"/>
      </w:rPr>
    </w:lvl>
    <w:lvl w:ilvl="7" w:tplc="79DC58CA">
      <w:start w:val="1"/>
      <w:numFmt w:val="bullet"/>
      <w:lvlText w:val="o"/>
      <w:lvlJc w:val="left"/>
      <w:pPr>
        <w:ind w:left="5760" w:hanging="360"/>
      </w:pPr>
      <w:rPr>
        <w:rFonts w:ascii="Courier New" w:hAnsi="Courier New" w:hint="default"/>
      </w:rPr>
    </w:lvl>
    <w:lvl w:ilvl="8" w:tplc="9FD4230A">
      <w:start w:val="1"/>
      <w:numFmt w:val="bullet"/>
      <w:lvlText w:val=""/>
      <w:lvlJc w:val="left"/>
      <w:pPr>
        <w:ind w:left="6480" w:hanging="360"/>
      </w:pPr>
      <w:rPr>
        <w:rFonts w:ascii="Wingdings" w:hAnsi="Wingdings" w:hint="default"/>
      </w:rPr>
    </w:lvl>
  </w:abstractNum>
  <w:abstractNum w:abstractNumId="14" w15:restartNumberingAfterBreak="0">
    <w:nsid w:val="5ED47E85"/>
    <w:multiLevelType w:val="hybridMultilevel"/>
    <w:tmpl w:val="848A2A34"/>
    <w:lvl w:ilvl="0" w:tplc="6E982C06">
      <w:start w:val="1"/>
      <w:numFmt w:val="bullet"/>
      <w:lvlText w:val=""/>
      <w:lvlJc w:val="left"/>
      <w:pPr>
        <w:ind w:left="720" w:hanging="360"/>
      </w:pPr>
      <w:rPr>
        <w:rFonts w:ascii="Symbol" w:hAnsi="Symbol" w:hint="default"/>
      </w:rPr>
    </w:lvl>
    <w:lvl w:ilvl="1" w:tplc="39747AB4">
      <w:start w:val="1"/>
      <w:numFmt w:val="bullet"/>
      <w:lvlText w:val="o"/>
      <w:lvlJc w:val="left"/>
      <w:pPr>
        <w:ind w:left="1440" w:hanging="360"/>
      </w:pPr>
      <w:rPr>
        <w:rFonts w:ascii="Courier New" w:hAnsi="Courier New" w:hint="default"/>
      </w:rPr>
    </w:lvl>
    <w:lvl w:ilvl="2" w:tplc="B282DD3C">
      <w:start w:val="1"/>
      <w:numFmt w:val="bullet"/>
      <w:lvlText w:val=""/>
      <w:lvlJc w:val="left"/>
      <w:pPr>
        <w:ind w:left="2160" w:hanging="360"/>
      </w:pPr>
      <w:rPr>
        <w:rFonts w:ascii="Wingdings" w:hAnsi="Wingdings" w:hint="default"/>
      </w:rPr>
    </w:lvl>
    <w:lvl w:ilvl="3" w:tplc="D6B8E63A">
      <w:start w:val="1"/>
      <w:numFmt w:val="bullet"/>
      <w:lvlText w:val=""/>
      <w:lvlJc w:val="left"/>
      <w:pPr>
        <w:ind w:left="2880" w:hanging="360"/>
      </w:pPr>
      <w:rPr>
        <w:rFonts w:ascii="Symbol" w:hAnsi="Symbol" w:hint="default"/>
      </w:rPr>
    </w:lvl>
    <w:lvl w:ilvl="4" w:tplc="0152EDE2">
      <w:start w:val="1"/>
      <w:numFmt w:val="bullet"/>
      <w:lvlText w:val="o"/>
      <w:lvlJc w:val="left"/>
      <w:pPr>
        <w:ind w:left="3600" w:hanging="360"/>
      </w:pPr>
      <w:rPr>
        <w:rFonts w:ascii="Courier New" w:hAnsi="Courier New" w:hint="default"/>
      </w:rPr>
    </w:lvl>
    <w:lvl w:ilvl="5" w:tplc="81A873C6">
      <w:start w:val="1"/>
      <w:numFmt w:val="bullet"/>
      <w:lvlText w:val=""/>
      <w:lvlJc w:val="left"/>
      <w:pPr>
        <w:ind w:left="4320" w:hanging="360"/>
      </w:pPr>
      <w:rPr>
        <w:rFonts w:ascii="Wingdings" w:hAnsi="Wingdings" w:hint="default"/>
      </w:rPr>
    </w:lvl>
    <w:lvl w:ilvl="6" w:tplc="FE522E9E">
      <w:start w:val="1"/>
      <w:numFmt w:val="bullet"/>
      <w:lvlText w:val=""/>
      <w:lvlJc w:val="left"/>
      <w:pPr>
        <w:ind w:left="5040" w:hanging="360"/>
      </w:pPr>
      <w:rPr>
        <w:rFonts w:ascii="Symbol" w:hAnsi="Symbol" w:hint="default"/>
      </w:rPr>
    </w:lvl>
    <w:lvl w:ilvl="7" w:tplc="CE820A02">
      <w:start w:val="1"/>
      <w:numFmt w:val="bullet"/>
      <w:lvlText w:val="o"/>
      <w:lvlJc w:val="left"/>
      <w:pPr>
        <w:ind w:left="5760" w:hanging="360"/>
      </w:pPr>
      <w:rPr>
        <w:rFonts w:ascii="Courier New" w:hAnsi="Courier New" w:hint="default"/>
      </w:rPr>
    </w:lvl>
    <w:lvl w:ilvl="8" w:tplc="4EA2EBC8">
      <w:start w:val="1"/>
      <w:numFmt w:val="bullet"/>
      <w:lvlText w:val=""/>
      <w:lvlJc w:val="left"/>
      <w:pPr>
        <w:ind w:left="6480" w:hanging="360"/>
      </w:pPr>
      <w:rPr>
        <w:rFonts w:ascii="Wingdings" w:hAnsi="Wingdings" w:hint="default"/>
      </w:rPr>
    </w:lvl>
  </w:abstractNum>
  <w:abstractNum w:abstractNumId="15" w15:restartNumberingAfterBreak="0">
    <w:nsid w:val="647FD7FB"/>
    <w:multiLevelType w:val="hybridMultilevel"/>
    <w:tmpl w:val="90C8E94E"/>
    <w:lvl w:ilvl="0" w:tplc="FD6CB206">
      <w:start w:val="1"/>
      <w:numFmt w:val="lowerLetter"/>
      <w:lvlText w:val="%1."/>
      <w:lvlJc w:val="left"/>
      <w:pPr>
        <w:ind w:left="720" w:hanging="360"/>
      </w:pPr>
    </w:lvl>
    <w:lvl w:ilvl="1" w:tplc="40F0C5CA">
      <w:start w:val="1"/>
      <w:numFmt w:val="lowerLetter"/>
      <w:lvlText w:val="%2."/>
      <w:lvlJc w:val="left"/>
      <w:pPr>
        <w:ind w:left="1440" w:hanging="360"/>
      </w:pPr>
    </w:lvl>
    <w:lvl w:ilvl="2" w:tplc="58DA21CA">
      <w:start w:val="1"/>
      <w:numFmt w:val="lowerRoman"/>
      <w:lvlText w:val="%3."/>
      <w:lvlJc w:val="right"/>
      <w:pPr>
        <w:ind w:left="2160" w:hanging="180"/>
      </w:pPr>
    </w:lvl>
    <w:lvl w:ilvl="3" w:tplc="A8A662F8">
      <w:start w:val="1"/>
      <w:numFmt w:val="decimal"/>
      <w:lvlText w:val="%4."/>
      <w:lvlJc w:val="left"/>
      <w:pPr>
        <w:ind w:left="2880" w:hanging="360"/>
      </w:pPr>
    </w:lvl>
    <w:lvl w:ilvl="4" w:tplc="5EA4210A">
      <w:start w:val="1"/>
      <w:numFmt w:val="lowerLetter"/>
      <w:lvlText w:val="%5."/>
      <w:lvlJc w:val="left"/>
      <w:pPr>
        <w:ind w:left="3600" w:hanging="360"/>
      </w:pPr>
    </w:lvl>
    <w:lvl w:ilvl="5" w:tplc="BCC2DB74">
      <w:start w:val="1"/>
      <w:numFmt w:val="lowerRoman"/>
      <w:lvlText w:val="%6."/>
      <w:lvlJc w:val="right"/>
      <w:pPr>
        <w:ind w:left="4320" w:hanging="180"/>
      </w:pPr>
    </w:lvl>
    <w:lvl w:ilvl="6" w:tplc="790E776C">
      <w:start w:val="1"/>
      <w:numFmt w:val="decimal"/>
      <w:lvlText w:val="%7."/>
      <w:lvlJc w:val="left"/>
      <w:pPr>
        <w:ind w:left="5040" w:hanging="360"/>
      </w:pPr>
    </w:lvl>
    <w:lvl w:ilvl="7" w:tplc="F3C44860">
      <w:start w:val="1"/>
      <w:numFmt w:val="lowerLetter"/>
      <w:lvlText w:val="%8."/>
      <w:lvlJc w:val="left"/>
      <w:pPr>
        <w:ind w:left="5760" w:hanging="360"/>
      </w:pPr>
    </w:lvl>
    <w:lvl w:ilvl="8" w:tplc="F30CACB0">
      <w:start w:val="1"/>
      <w:numFmt w:val="lowerRoman"/>
      <w:lvlText w:val="%9."/>
      <w:lvlJc w:val="right"/>
      <w:pPr>
        <w:ind w:left="6480" w:hanging="180"/>
      </w:pPr>
    </w:lvl>
  </w:abstractNum>
  <w:abstractNum w:abstractNumId="16" w15:restartNumberingAfterBreak="0">
    <w:nsid w:val="65184EE0"/>
    <w:multiLevelType w:val="hybridMultilevel"/>
    <w:tmpl w:val="1444D112"/>
    <w:lvl w:ilvl="0" w:tplc="4BDA5C06">
      <w:start w:val="1"/>
      <w:numFmt w:val="bullet"/>
      <w:lvlText w:val=""/>
      <w:lvlJc w:val="left"/>
      <w:pPr>
        <w:ind w:left="720" w:hanging="360"/>
      </w:pPr>
      <w:rPr>
        <w:rFonts w:ascii="Symbol" w:hAnsi="Symbol" w:hint="default"/>
      </w:rPr>
    </w:lvl>
    <w:lvl w:ilvl="1" w:tplc="B7023D4E">
      <w:start w:val="1"/>
      <w:numFmt w:val="bullet"/>
      <w:lvlText w:val="o"/>
      <w:lvlJc w:val="left"/>
      <w:pPr>
        <w:ind w:left="1440" w:hanging="360"/>
      </w:pPr>
      <w:rPr>
        <w:rFonts w:ascii="Courier New" w:hAnsi="Courier New" w:hint="default"/>
      </w:rPr>
    </w:lvl>
    <w:lvl w:ilvl="2" w:tplc="6644D0AC">
      <w:start w:val="1"/>
      <w:numFmt w:val="bullet"/>
      <w:lvlText w:val=""/>
      <w:lvlJc w:val="left"/>
      <w:pPr>
        <w:ind w:left="2160" w:hanging="360"/>
      </w:pPr>
      <w:rPr>
        <w:rFonts w:ascii="Wingdings" w:hAnsi="Wingdings" w:hint="default"/>
      </w:rPr>
    </w:lvl>
    <w:lvl w:ilvl="3" w:tplc="0FB623B4">
      <w:start w:val="1"/>
      <w:numFmt w:val="bullet"/>
      <w:lvlText w:val=""/>
      <w:lvlJc w:val="left"/>
      <w:pPr>
        <w:ind w:left="2880" w:hanging="360"/>
      </w:pPr>
      <w:rPr>
        <w:rFonts w:ascii="Symbol" w:hAnsi="Symbol" w:hint="default"/>
      </w:rPr>
    </w:lvl>
    <w:lvl w:ilvl="4" w:tplc="2F82E970">
      <w:start w:val="1"/>
      <w:numFmt w:val="bullet"/>
      <w:lvlText w:val="o"/>
      <w:lvlJc w:val="left"/>
      <w:pPr>
        <w:ind w:left="3600" w:hanging="360"/>
      </w:pPr>
      <w:rPr>
        <w:rFonts w:ascii="Courier New" w:hAnsi="Courier New" w:hint="default"/>
      </w:rPr>
    </w:lvl>
    <w:lvl w:ilvl="5" w:tplc="F08E4012">
      <w:start w:val="1"/>
      <w:numFmt w:val="bullet"/>
      <w:lvlText w:val=""/>
      <w:lvlJc w:val="left"/>
      <w:pPr>
        <w:ind w:left="4320" w:hanging="360"/>
      </w:pPr>
      <w:rPr>
        <w:rFonts w:ascii="Wingdings" w:hAnsi="Wingdings" w:hint="default"/>
      </w:rPr>
    </w:lvl>
    <w:lvl w:ilvl="6" w:tplc="67327DC0">
      <w:start w:val="1"/>
      <w:numFmt w:val="bullet"/>
      <w:lvlText w:val=""/>
      <w:lvlJc w:val="left"/>
      <w:pPr>
        <w:ind w:left="5040" w:hanging="360"/>
      </w:pPr>
      <w:rPr>
        <w:rFonts w:ascii="Symbol" w:hAnsi="Symbol" w:hint="default"/>
      </w:rPr>
    </w:lvl>
    <w:lvl w:ilvl="7" w:tplc="AD2E3AA6">
      <w:start w:val="1"/>
      <w:numFmt w:val="bullet"/>
      <w:lvlText w:val="o"/>
      <w:lvlJc w:val="left"/>
      <w:pPr>
        <w:ind w:left="5760" w:hanging="360"/>
      </w:pPr>
      <w:rPr>
        <w:rFonts w:ascii="Courier New" w:hAnsi="Courier New" w:hint="default"/>
      </w:rPr>
    </w:lvl>
    <w:lvl w:ilvl="8" w:tplc="757A57FE">
      <w:start w:val="1"/>
      <w:numFmt w:val="bullet"/>
      <w:lvlText w:val=""/>
      <w:lvlJc w:val="left"/>
      <w:pPr>
        <w:ind w:left="6480" w:hanging="360"/>
      </w:pPr>
      <w:rPr>
        <w:rFonts w:ascii="Wingdings" w:hAnsi="Wingdings" w:hint="default"/>
      </w:rPr>
    </w:lvl>
  </w:abstractNum>
  <w:abstractNum w:abstractNumId="17" w15:restartNumberingAfterBreak="0">
    <w:nsid w:val="67032FDF"/>
    <w:multiLevelType w:val="hybridMultilevel"/>
    <w:tmpl w:val="7A929EF2"/>
    <w:lvl w:ilvl="0" w:tplc="6316DC34">
      <w:start w:val="238"/>
      <w:numFmt w:val="bullet"/>
      <w:lvlText w:val=""/>
      <w:lvlJc w:val="left"/>
      <w:pPr>
        <w:ind w:left="720" w:hanging="360"/>
      </w:pPr>
      <w:rPr>
        <w:rFonts w:ascii="Wingdings" w:eastAsia="Calibri" w:hAnsi="Wingdings"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C4512"/>
    <w:multiLevelType w:val="hybridMultilevel"/>
    <w:tmpl w:val="C6CC1432"/>
    <w:lvl w:ilvl="0" w:tplc="1EEC981A">
      <w:start w:val="1"/>
      <w:numFmt w:val="decimal"/>
      <w:lvlText w:val="%1."/>
      <w:lvlJc w:val="left"/>
      <w:pPr>
        <w:ind w:left="720" w:hanging="360"/>
      </w:pPr>
    </w:lvl>
    <w:lvl w:ilvl="1" w:tplc="B026300A">
      <w:start w:val="1"/>
      <w:numFmt w:val="lowerLetter"/>
      <w:lvlText w:val="%2."/>
      <w:lvlJc w:val="left"/>
      <w:pPr>
        <w:ind w:left="1440" w:hanging="360"/>
      </w:pPr>
    </w:lvl>
    <w:lvl w:ilvl="2" w:tplc="5832CAE8">
      <w:start w:val="1"/>
      <w:numFmt w:val="lowerRoman"/>
      <w:lvlText w:val="%3."/>
      <w:lvlJc w:val="right"/>
      <w:pPr>
        <w:ind w:left="2160" w:hanging="180"/>
      </w:pPr>
    </w:lvl>
    <w:lvl w:ilvl="3" w:tplc="E050D976">
      <w:start w:val="1"/>
      <w:numFmt w:val="decimal"/>
      <w:lvlText w:val="%4."/>
      <w:lvlJc w:val="left"/>
      <w:pPr>
        <w:ind w:left="2880" w:hanging="360"/>
      </w:pPr>
    </w:lvl>
    <w:lvl w:ilvl="4" w:tplc="FEE43B1A">
      <w:start w:val="1"/>
      <w:numFmt w:val="lowerLetter"/>
      <w:lvlText w:val="%5."/>
      <w:lvlJc w:val="left"/>
      <w:pPr>
        <w:ind w:left="3600" w:hanging="360"/>
      </w:pPr>
    </w:lvl>
    <w:lvl w:ilvl="5" w:tplc="DB0870DC">
      <w:start w:val="1"/>
      <w:numFmt w:val="lowerRoman"/>
      <w:lvlText w:val="%6."/>
      <w:lvlJc w:val="right"/>
      <w:pPr>
        <w:ind w:left="4320" w:hanging="180"/>
      </w:pPr>
    </w:lvl>
    <w:lvl w:ilvl="6" w:tplc="395A7BEC">
      <w:start w:val="1"/>
      <w:numFmt w:val="decimal"/>
      <w:lvlText w:val="%7."/>
      <w:lvlJc w:val="left"/>
      <w:pPr>
        <w:ind w:left="5040" w:hanging="360"/>
      </w:pPr>
    </w:lvl>
    <w:lvl w:ilvl="7" w:tplc="A4A253FE">
      <w:start w:val="1"/>
      <w:numFmt w:val="lowerLetter"/>
      <w:lvlText w:val="%8."/>
      <w:lvlJc w:val="left"/>
      <w:pPr>
        <w:ind w:left="5760" w:hanging="360"/>
      </w:pPr>
    </w:lvl>
    <w:lvl w:ilvl="8" w:tplc="AE3A57B6">
      <w:start w:val="1"/>
      <w:numFmt w:val="lowerRoman"/>
      <w:lvlText w:val="%9."/>
      <w:lvlJc w:val="right"/>
      <w:pPr>
        <w:ind w:left="6480" w:hanging="180"/>
      </w:pPr>
    </w:lvl>
  </w:abstractNum>
  <w:abstractNum w:abstractNumId="19" w15:restartNumberingAfterBreak="0">
    <w:nsid w:val="79A145A5"/>
    <w:multiLevelType w:val="hybridMultilevel"/>
    <w:tmpl w:val="7D78C71A"/>
    <w:lvl w:ilvl="0" w:tplc="AC1E7CFA">
      <w:start w:val="1"/>
      <w:numFmt w:val="bullet"/>
      <w:lvlText w:val="-"/>
      <w:lvlJc w:val="left"/>
      <w:pPr>
        <w:ind w:left="720" w:hanging="360"/>
      </w:pPr>
      <w:rPr>
        <w:rFonts w:ascii="Calibri" w:hAnsi="Calibri" w:hint="default"/>
      </w:rPr>
    </w:lvl>
    <w:lvl w:ilvl="1" w:tplc="08BC84EC">
      <w:start w:val="1"/>
      <w:numFmt w:val="bullet"/>
      <w:lvlText w:val="o"/>
      <w:lvlJc w:val="left"/>
      <w:pPr>
        <w:ind w:left="1440" w:hanging="360"/>
      </w:pPr>
      <w:rPr>
        <w:rFonts w:ascii="Courier New" w:hAnsi="Courier New" w:hint="default"/>
      </w:rPr>
    </w:lvl>
    <w:lvl w:ilvl="2" w:tplc="F378FFC2">
      <w:start w:val="1"/>
      <w:numFmt w:val="bullet"/>
      <w:lvlText w:val=""/>
      <w:lvlJc w:val="left"/>
      <w:pPr>
        <w:ind w:left="2160" w:hanging="360"/>
      </w:pPr>
      <w:rPr>
        <w:rFonts w:ascii="Wingdings" w:hAnsi="Wingdings" w:hint="default"/>
      </w:rPr>
    </w:lvl>
    <w:lvl w:ilvl="3" w:tplc="44BAE492">
      <w:start w:val="1"/>
      <w:numFmt w:val="bullet"/>
      <w:lvlText w:val=""/>
      <w:lvlJc w:val="left"/>
      <w:pPr>
        <w:ind w:left="2880" w:hanging="360"/>
      </w:pPr>
      <w:rPr>
        <w:rFonts w:ascii="Symbol" w:hAnsi="Symbol" w:hint="default"/>
      </w:rPr>
    </w:lvl>
    <w:lvl w:ilvl="4" w:tplc="3222D1BE">
      <w:start w:val="1"/>
      <w:numFmt w:val="bullet"/>
      <w:lvlText w:val="o"/>
      <w:lvlJc w:val="left"/>
      <w:pPr>
        <w:ind w:left="3600" w:hanging="360"/>
      </w:pPr>
      <w:rPr>
        <w:rFonts w:ascii="Courier New" w:hAnsi="Courier New" w:hint="default"/>
      </w:rPr>
    </w:lvl>
    <w:lvl w:ilvl="5" w:tplc="DE1439A0">
      <w:start w:val="1"/>
      <w:numFmt w:val="bullet"/>
      <w:lvlText w:val=""/>
      <w:lvlJc w:val="left"/>
      <w:pPr>
        <w:ind w:left="4320" w:hanging="360"/>
      </w:pPr>
      <w:rPr>
        <w:rFonts w:ascii="Wingdings" w:hAnsi="Wingdings" w:hint="default"/>
      </w:rPr>
    </w:lvl>
    <w:lvl w:ilvl="6" w:tplc="1FEAA984">
      <w:start w:val="1"/>
      <w:numFmt w:val="bullet"/>
      <w:lvlText w:val=""/>
      <w:lvlJc w:val="left"/>
      <w:pPr>
        <w:ind w:left="5040" w:hanging="360"/>
      </w:pPr>
      <w:rPr>
        <w:rFonts w:ascii="Symbol" w:hAnsi="Symbol" w:hint="default"/>
      </w:rPr>
    </w:lvl>
    <w:lvl w:ilvl="7" w:tplc="AE32275A">
      <w:start w:val="1"/>
      <w:numFmt w:val="bullet"/>
      <w:lvlText w:val="o"/>
      <w:lvlJc w:val="left"/>
      <w:pPr>
        <w:ind w:left="5760" w:hanging="360"/>
      </w:pPr>
      <w:rPr>
        <w:rFonts w:ascii="Courier New" w:hAnsi="Courier New" w:hint="default"/>
      </w:rPr>
    </w:lvl>
    <w:lvl w:ilvl="8" w:tplc="3364CCFC">
      <w:start w:val="1"/>
      <w:numFmt w:val="bullet"/>
      <w:lvlText w:val=""/>
      <w:lvlJc w:val="left"/>
      <w:pPr>
        <w:ind w:left="6480" w:hanging="360"/>
      </w:pPr>
      <w:rPr>
        <w:rFonts w:ascii="Wingdings" w:hAnsi="Wingdings" w:hint="default"/>
      </w:rPr>
    </w:lvl>
  </w:abstractNum>
  <w:num w:numId="1" w16cid:durableId="522328479">
    <w:abstractNumId w:val="5"/>
  </w:num>
  <w:num w:numId="2" w16cid:durableId="1684740090">
    <w:abstractNumId w:val="15"/>
  </w:num>
  <w:num w:numId="3" w16cid:durableId="1214078043">
    <w:abstractNumId w:val="2"/>
  </w:num>
  <w:num w:numId="4" w16cid:durableId="733772910">
    <w:abstractNumId w:val="10"/>
  </w:num>
  <w:num w:numId="5" w16cid:durableId="1835146709">
    <w:abstractNumId w:val="18"/>
  </w:num>
  <w:num w:numId="6" w16cid:durableId="1565603066">
    <w:abstractNumId w:val="13"/>
  </w:num>
  <w:num w:numId="7" w16cid:durableId="1402750751">
    <w:abstractNumId w:val="19"/>
  </w:num>
  <w:num w:numId="8" w16cid:durableId="1696232376">
    <w:abstractNumId w:val="11"/>
  </w:num>
  <w:num w:numId="9" w16cid:durableId="284628937">
    <w:abstractNumId w:val="14"/>
  </w:num>
  <w:num w:numId="10" w16cid:durableId="487330775">
    <w:abstractNumId w:val="16"/>
  </w:num>
  <w:num w:numId="11" w16cid:durableId="1777021962">
    <w:abstractNumId w:val="6"/>
  </w:num>
  <w:num w:numId="12" w16cid:durableId="806900574">
    <w:abstractNumId w:val="12"/>
  </w:num>
  <w:num w:numId="13" w16cid:durableId="2112966715">
    <w:abstractNumId w:val="8"/>
  </w:num>
  <w:num w:numId="14" w16cid:durableId="599609618">
    <w:abstractNumId w:val="1"/>
  </w:num>
  <w:num w:numId="15" w16cid:durableId="1035695983">
    <w:abstractNumId w:val="7"/>
  </w:num>
  <w:num w:numId="16" w16cid:durableId="369690651">
    <w:abstractNumId w:val="0"/>
  </w:num>
  <w:num w:numId="17" w16cid:durableId="604923540">
    <w:abstractNumId w:val="3"/>
  </w:num>
  <w:num w:numId="18" w16cid:durableId="1915434007">
    <w:abstractNumId w:val="17"/>
  </w:num>
  <w:num w:numId="19" w16cid:durableId="1540163413">
    <w:abstractNumId w:val="4"/>
  </w:num>
  <w:num w:numId="20" w16cid:durableId="32363388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anne Kimiko Liu">
    <w15:presenceInfo w15:providerId="AD" w15:userId="S::joannekl@stanford.edu::7f179e67-cd76-4111-a7a8-703337675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374C"/>
    <w:rsid w:val="00004908"/>
    <w:rsid w:val="000138E1"/>
    <w:rsid w:val="00022014"/>
    <w:rsid w:val="0002388C"/>
    <w:rsid w:val="0003020D"/>
    <w:rsid w:val="00031A4B"/>
    <w:rsid w:val="00043C03"/>
    <w:rsid w:val="00044B59"/>
    <w:rsid w:val="00044C00"/>
    <w:rsid w:val="000452E0"/>
    <w:rsid w:val="0004533A"/>
    <w:rsid w:val="00045675"/>
    <w:rsid w:val="00047FD5"/>
    <w:rsid w:val="000545B7"/>
    <w:rsid w:val="00055964"/>
    <w:rsid w:val="00055D28"/>
    <w:rsid w:val="000561B1"/>
    <w:rsid w:val="00056A01"/>
    <w:rsid w:val="000570A4"/>
    <w:rsid w:val="000570F2"/>
    <w:rsid w:val="00057D40"/>
    <w:rsid w:val="00062715"/>
    <w:rsid w:val="00064D43"/>
    <w:rsid w:val="00071614"/>
    <w:rsid w:val="00076A2C"/>
    <w:rsid w:val="00080042"/>
    <w:rsid w:val="00084832"/>
    <w:rsid w:val="00090556"/>
    <w:rsid w:val="00095244"/>
    <w:rsid w:val="000A464F"/>
    <w:rsid w:val="000A4672"/>
    <w:rsid w:val="000A5D1E"/>
    <w:rsid w:val="000C2D5E"/>
    <w:rsid w:val="000C35D1"/>
    <w:rsid w:val="000C5A22"/>
    <w:rsid w:val="000E1924"/>
    <w:rsid w:val="000E241A"/>
    <w:rsid w:val="000E2753"/>
    <w:rsid w:val="000E5C41"/>
    <w:rsid w:val="000F2BD7"/>
    <w:rsid w:val="000F4930"/>
    <w:rsid w:val="000F4D8C"/>
    <w:rsid w:val="000F56C8"/>
    <w:rsid w:val="00102FDB"/>
    <w:rsid w:val="00103507"/>
    <w:rsid w:val="00121ACF"/>
    <w:rsid w:val="00122A22"/>
    <w:rsid w:val="00125C25"/>
    <w:rsid w:val="0012726B"/>
    <w:rsid w:val="001275A3"/>
    <w:rsid w:val="00131181"/>
    <w:rsid w:val="00140871"/>
    <w:rsid w:val="00141736"/>
    <w:rsid w:val="0015182F"/>
    <w:rsid w:val="00153355"/>
    <w:rsid w:val="001538FD"/>
    <w:rsid w:val="001546F0"/>
    <w:rsid w:val="00156BC5"/>
    <w:rsid w:val="00170E2D"/>
    <w:rsid w:val="00174CC5"/>
    <w:rsid w:val="00181A32"/>
    <w:rsid w:val="00181D03"/>
    <w:rsid w:val="00183066"/>
    <w:rsid w:val="001832C0"/>
    <w:rsid w:val="00183A38"/>
    <w:rsid w:val="001861D2"/>
    <w:rsid w:val="00186346"/>
    <w:rsid w:val="00186839"/>
    <w:rsid w:val="00197159"/>
    <w:rsid w:val="001A2168"/>
    <w:rsid w:val="001A2892"/>
    <w:rsid w:val="001A343B"/>
    <w:rsid w:val="001A6490"/>
    <w:rsid w:val="001B1AD6"/>
    <w:rsid w:val="001D5793"/>
    <w:rsid w:val="001D6049"/>
    <w:rsid w:val="001D60F4"/>
    <w:rsid w:val="001D78F7"/>
    <w:rsid w:val="001D7988"/>
    <w:rsid w:val="001E006B"/>
    <w:rsid w:val="001E0695"/>
    <w:rsid w:val="001E22BF"/>
    <w:rsid w:val="001E4B12"/>
    <w:rsid w:val="0020175E"/>
    <w:rsid w:val="0020200D"/>
    <w:rsid w:val="0020304B"/>
    <w:rsid w:val="00205B8D"/>
    <w:rsid w:val="002073F1"/>
    <w:rsid w:val="002075BA"/>
    <w:rsid w:val="0021068A"/>
    <w:rsid w:val="00210DF4"/>
    <w:rsid w:val="00213305"/>
    <w:rsid w:val="00216871"/>
    <w:rsid w:val="00216B6D"/>
    <w:rsid w:val="0022362E"/>
    <w:rsid w:val="0023742B"/>
    <w:rsid w:val="002419FC"/>
    <w:rsid w:val="0024213F"/>
    <w:rsid w:val="00242F9E"/>
    <w:rsid w:val="0026073E"/>
    <w:rsid w:val="00266CC2"/>
    <w:rsid w:val="00275363"/>
    <w:rsid w:val="002762FB"/>
    <w:rsid w:val="00280FD5"/>
    <w:rsid w:val="00286130"/>
    <w:rsid w:val="00297D96"/>
    <w:rsid w:val="002A30D1"/>
    <w:rsid w:val="002A71C5"/>
    <w:rsid w:val="002A7F45"/>
    <w:rsid w:val="002B25A8"/>
    <w:rsid w:val="002B7979"/>
    <w:rsid w:val="002C0D88"/>
    <w:rsid w:val="002C3B1C"/>
    <w:rsid w:val="002C64BB"/>
    <w:rsid w:val="002E4E10"/>
    <w:rsid w:val="002E6DE3"/>
    <w:rsid w:val="002E7316"/>
    <w:rsid w:val="002F37D9"/>
    <w:rsid w:val="002F4074"/>
    <w:rsid w:val="00301539"/>
    <w:rsid w:val="00303736"/>
    <w:rsid w:val="00310C8E"/>
    <w:rsid w:val="003138E3"/>
    <w:rsid w:val="00316CB3"/>
    <w:rsid w:val="0031756E"/>
    <w:rsid w:val="003223E1"/>
    <w:rsid w:val="0032324C"/>
    <w:rsid w:val="00324804"/>
    <w:rsid w:val="00325DEC"/>
    <w:rsid w:val="003275DB"/>
    <w:rsid w:val="00331D3E"/>
    <w:rsid w:val="00333C8F"/>
    <w:rsid w:val="003344BE"/>
    <w:rsid w:val="00334DB3"/>
    <w:rsid w:val="00341C81"/>
    <w:rsid w:val="0034344A"/>
    <w:rsid w:val="00343E57"/>
    <w:rsid w:val="00350CCD"/>
    <w:rsid w:val="003547DE"/>
    <w:rsid w:val="00360C84"/>
    <w:rsid w:val="003610A4"/>
    <w:rsid w:val="00371697"/>
    <w:rsid w:val="003751DA"/>
    <w:rsid w:val="00375A96"/>
    <w:rsid w:val="0038341E"/>
    <w:rsid w:val="00383C78"/>
    <w:rsid w:val="0039096F"/>
    <w:rsid w:val="00392DBD"/>
    <w:rsid w:val="00393172"/>
    <w:rsid w:val="0039565A"/>
    <w:rsid w:val="003968FB"/>
    <w:rsid w:val="003A37A6"/>
    <w:rsid w:val="003A63D6"/>
    <w:rsid w:val="003A640B"/>
    <w:rsid w:val="003A6FE4"/>
    <w:rsid w:val="003A712C"/>
    <w:rsid w:val="003B203B"/>
    <w:rsid w:val="003B54DC"/>
    <w:rsid w:val="003B7EC7"/>
    <w:rsid w:val="003D1DA9"/>
    <w:rsid w:val="003E07AE"/>
    <w:rsid w:val="003E2464"/>
    <w:rsid w:val="003E5247"/>
    <w:rsid w:val="003E621E"/>
    <w:rsid w:val="003E6CF9"/>
    <w:rsid w:val="003F604D"/>
    <w:rsid w:val="00400C29"/>
    <w:rsid w:val="00400CEF"/>
    <w:rsid w:val="004037F9"/>
    <w:rsid w:val="00406484"/>
    <w:rsid w:val="004105EC"/>
    <w:rsid w:val="00412F21"/>
    <w:rsid w:val="0041383C"/>
    <w:rsid w:val="0041608C"/>
    <w:rsid w:val="0042148F"/>
    <w:rsid w:val="00422DB1"/>
    <w:rsid w:val="00431A6E"/>
    <w:rsid w:val="0043207D"/>
    <w:rsid w:val="00440709"/>
    <w:rsid w:val="00445A41"/>
    <w:rsid w:val="00447F5F"/>
    <w:rsid w:val="0045743A"/>
    <w:rsid w:val="00466592"/>
    <w:rsid w:val="004756FA"/>
    <w:rsid w:val="004865DA"/>
    <w:rsid w:val="00491F3E"/>
    <w:rsid w:val="00492BBF"/>
    <w:rsid w:val="004A06D2"/>
    <w:rsid w:val="004A2F3A"/>
    <w:rsid w:val="004A7010"/>
    <w:rsid w:val="004A766C"/>
    <w:rsid w:val="004C0312"/>
    <w:rsid w:val="004C3B2B"/>
    <w:rsid w:val="004C4B31"/>
    <w:rsid w:val="004C4E8B"/>
    <w:rsid w:val="004D0389"/>
    <w:rsid w:val="004D61F2"/>
    <w:rsid w:val="004D6F02"/>
    <w:rsid w:val="004D6FC0"/>
    <w:rsid w:val="004F25ED"/>
    <w:rsid w:val="004F6A4C"/>
    <w:rsid w:val="005006C2"/>
    <w:rsid w:val="00500ADB"/>
    <w:rsid w:val="00503CBF"/>
    <w:rsid w:val="005054E7"/>
    <w:rsid w:val="0051086B"/>
    <w:rsid w:val="00526FA3"/>
    <w:rsid w:val="0053211B"/>
    <w:rsid w:val="00535861"/>
    <w:rsid w:val="005411B1"/>
    <w:rsid w:val="00541D32"/>
    <w:rsid w:val="00545818"/>
    <w:rsid w:val="00546723"/>
    <w:rsid w:val="00556AB4"/>
    <w:rsid w:val="0056539B"/>
    <w:rsid w:val="005716F9"/>
    <w:rsid w:val="00577261"/>
    <w:rsid w:val="00580068"/>
    <w:rsid w:val="00581BA5"/>
    <w:rsid w:val="00581C54"/>
    <w:rsid w:val="00583245"/>
    <w:rsid w:val="00583AEB"/>
    <w:rsid w:val="00584181"/>
    <w:rsid w:val="005947B3"/>
    <w:rsid w:val="00595C45"/>
    <w:rsid w:val="005A171F"/>
    <w:rsid w:val="005A34DF"/>
    <w:rsid w:val="005A696B"/>
    <w:rsid w:val="005A7FC2"/>
    <w:rsid w:val="005B3F94"/>
    <w:rsid w:val="005B64C4"/>
    <w:rsid w:val="005B6FF8"/>
    <w:rsid w:val="005C0320"/>
    <w:rsid w:val="005C0E6D"/>
    <w:rsid w:val="005C1871"/>
    <w:rsid w:val="005C3F34"/>
    <w:rsid w:val="005C51D6"/>
    <w:rsid w:val="005D7402"/>
    <w:rsid w:val="005E24EC"/>
    <w:rsid w:val="005F3021"/>
    <w:rsid w:val="005F701F"/>
    <w:rsid w:val="005F7839"/>
    <w:rsid w:val="00602C4D"/>
    <w:rsid w:val="00603F08"/>
    <w:rsid w:val="00607763"/>
    <w:rsid w:val="00610A24"/>
    <w:rsid w:val="0061263B"/>
    <w:rsid w:val="006146FE"/>
    <w:rsid w:val="0061636B"/>
    <w:rsid w:val="006206D6"/>
    <w:rsid w:val="0062246E"/>
    <w:rsid w:val="00628445"/>
    <w:rsid w:val="00633E5E"/>
    <w:rsid w:val="0063400C"/>
    <w:rsid w:val="0063458E"/>
    <w:rsid w:val="00642B1E"/>
    <w:rsid w:val="00644A76"/>
    <w:rsid w:val="00645343"/>
    <w:rsid w:val="006458E6"/>
    <w:rsid w:val="006461E6"/>
    <w:rsid w:val="006469AB"/>
    <w:rsid w:val="00654A51"/>
    <w:rsid w:val="00656B65"/>
    <w:rsid w:val="00661068"/>
    <w:rsid w:val="00661D50"/>
    <w:rsid w:val="00663D4C"/>
    <w:rsid w:val="00672FD1"/>
    <w:rsid w:val="00673D28"/>
    <w:rsid w:val="006854A3"/>
    <w:rsid w:val="00686610"/>
    <w:rsid w:val="00690862"/>
    <w:rsid w:val="00691B66"/>
    <w:rsid w:val="006943DE"/>
    <w:rsid w:val="00695408"/>
    <w:rsid w:val="00695434"/>
    <w:rsid w:val="00695607"/>
    <w:rsid w:val="006972B8"/>
    <w:rsid w:val="00697E55"/>
    <w:rsid w:val="006A18A5"/>
    <w:rsid w:val="006A60D4"/>
    <w:rsid w:val="006B0C97"/>
    <w:rsid w:val="006B308A"/>
    <w:rsid w:val="006B5A09"/>
    <w:rsid w:val="006B6BBA"/>
    <w:rsid w:val="006C3D69"/>
    <w:rsid w:val="006C51CE"/>
    <w:rsid w:val="006D4766"/>
    <w:rsid w:val="006D5F2A"/>
    <w:rsid w:val="006E0272"/>
    <w:rsid w:val="006E71C8"/>
    <w:rsid w:val="006F0ED8"/>
    <w:rsid w:val="006F3C86"/>
    <w:rsid w:val="007011DB"/>
    <w:rsid w:val="00704859"/>
    <w:rsid w:val="007136B4"/>
    <w:rsid w:val="00714280"/>
    <w:rsid w:val="00717C63"/>
    <w:rsid w:val="00720BC4"/>
    <w:rsid w:val="0072162A"/>
    <w:rsid w:val="0073070F"/>
    <w:rsid w:val="00737321"/>
    <w:rsid w:val="00740E42"/>
    <w:rsid w:val="00740FCA"/>
    <w:rsid w:val="00741505"/>
    <w:rsid w:val="0074556D"/>
    <w:rsid w:val="00746E1D"/>
    <w:rsid w:val="00751E49"/>
    <w:rsid w:val="00753071"/>
    <w:rsid w:val="007539BC"/>
    <w:rsid w:val="00753ABF"/>
    <w:rsid w:val="00763A53"/>
    <w:rsid w:val="00764F47"/>
    <w:rsid w:val="00773314"/>
    <w:rsid w:val="0077445D"/>
    <w:rsid w:val="007757E4"/>
    <w:rsid w:val="00780036"/>
    <w:rsid w:val="00781971"/>
    <w:rsid w:val="00786397"/>
    <w:rsid w:val="007A1731"/>
    <w:rsid w:val="007A19A3"/>
    <w:rsid w:val="007A4F89"/>
    <w:rsid w:val="007B2E65"/>
    <w:rsid w:val="007B3FD3"/>
    <w:rsid w:val="007B4F77"/>
    <w:rsid w:val="007B6FA3"/>
    <w:rsid w:val="007C0890"/>
    <w:rsid w:val="007C3489"/>
    <w:rsid w:val="007D0290"/>
    <w:rsid w:val="007D143C"/>
    <w:rsid w:val="007D1C5B"/>
    <w:rsid w:val="007D1E43"/>
    <w:rsid w:val="007D316C"/>
    <w:rsid w:val="007D4C5D"/>
    <w:rsid w:val="007D6367"/>
    <w:rsid w:val="007D7663"/>
    <w:rsid w:val="007E2815"/>
    <w:rsid w:val="007F25AE"/>
    <w:rsid w:val="007F7254"/>
    <w:rsid w:val="007F7B88"/>
    <w:rsid w:val="00806C1F"/>
    <w:rsid w:val="00807405"/>
    <w:rsid w:val="00814716"/>
    <w:rsid w:val="00815B07"/>
    <w:rsid w:val="008177C2"/>
    <w:rsid w:val="00823EA6"/>
    <w:rsid w:val="00824B69"/>
    <w:rsid w:val="008407C2"/>
    <w:rsid w:val="008408E0"/>
    <w:rsid w:val="0084557B"/>
    <w:rsid w:val="00845759"/>
    <w:rsid w:val="00845E98"/>
    <w:rsid w:val="00852781"/>
    <w:rsid w:val="00854698"/>
    <w:rsid w:val="00883002"/>
    <w:rsid w:val="008A2B10"/>
    <w:rsid w:val="008A5C68"/>
    <w:rsid w:val="008A6CBE"/>
    <w:rsid w:val="008B111F"/>
    <w:rsid w:val="008B3CA2"/>
    <w:rsid w:val="008B5CE4"/>
    <w:rsid w:val="008B5D39"/>
    <w:rsid w:val="008C076A"/>
    <w:rsid w:val="008C3F4A"/>
    <w:rsid w:val="008C52C2"/>
    <w:rsid w:val="008C58C0"/>
    <w:rsid w:val="008D0323"/>
    <w:rsid w:val="008E772A"/>
    <w:rsid w:val="008F3EB5"/>
    <w:rsid w:val="008F4677"/>
    <w:rsid w:val="00900522"/>
    <w:rsid w:val="00902243"/>
    <w:rsid w:val="0090304F"/>
    <w:rsid w:val="00903461"/>
    <w:rsid w:val="00910F83"/>
    <w:rsid w:val="00911FF5"/>
    <w:rsid w:val="00914835"/>
    <w:rsid w:val="00925293"/>
    <w:rsid w:val="009321E0"/>
    <w:rsid w:val="0093548C"/>
    <w:rsid w:val="00937551"/>
    <w:rsid w:val="00940076"/>
    <w:rsid w:val="00940A8A"/>
    <w:rsid w:val="00942B67"/>
    <w:rsid w:val="00943511"/>
    <w:rsid w:val="00943C40"/>
    <w:rsid w:val="00950966"/>
    <w:rsid w:val="0095513B"/>
    <w:rsid w:val="009578C0"/>
    <w:rsid w:val="00963A02"/>
    <w:rsid w:val="0097059B"/>
    <w:rsid w:val="00970B1D"/>
    <w:rsid w:val="00971B99"/>
    <w:rsid w:val="00980713"/>
    <w:rsid w:val="00987B5A"/>
    <w:rsid w:val="00991A15"/>
    <w:rsid w:val="00991B18"/>
    <w:rsid w:val="009948D8"/>
    <w:rsid w:val="00994D70"/>
    <w:rsid w:val="009967FF"/>
    <w:rsid w:val="009A1AB6"/>
    <w:rsid w:val="009A3718"/>
    <w:rsid w:val="009A4AE4"/>
    <w:rsid w:val="009A50F0"/>
    <w:rsid w:val="009B1B0F"/>
    <w:rsid w:val="009B4E21"/>
    <w:rsid w:val="009B71E1"/>
    <w:rsid w:val="009C0019"/>
    <w:rsid w:val="009C1059"/>
    <w:rsid w:val="009C3F40"/>
    <w:rsid w:val="009C6AD4"/>
    <w:rsid w:val="009D73E4"/>
    <w:rsid w:val="009E4137"/>
    <w:rsid w:val="009E4C1E"/>
    <w:rsid w:val="009F2466"/>
    <w:rsid w:val="009F2990"/>
    <w:rsid w:val="009F3945"/>
    <w:rsid w:val="009F5820"/>
    <w:rsid w:val="00A02E9B"/>
    <w:rsid w:val="00A045D2"/>
    <w:rsid w:val="00A053CD"/>
    <w:rsid w:val="00A066C1"/>
    <w:rsid w:val="00A14B5F"/>
    <w:rsid w:val="00A157B9"/>
    <w:rsid w:val="00A1649F"/>
    <w:rsid w:val="00A20425"/>
    <w:rsid w:val="00A218A3"/>
    <w:rsid w:val="00A218A7"/>
    <w:rsid w:val="00A21DE1"/>
    <w:rsid w:val="00A21F69"/>
    <w:rsid w:val="00A229B8"/>
    <w:rsid w:val="00A256CC"/>
    <w:rsid w:val="00A27CBC"/>
    <w:rsid w:val="00A3160D"/>
    <w:rsid w:val="00A34179"/>
    <w:rsid w:val="00A3475F"/>
    <w:rsid w:val="00A45C9A"/>
    <w:rsid w:val="00A45E70"/>
    <w:rsid w:val="00A46222"/>
    <w:rsid w:val="00A47BA1"/>
    <w:rsid w:val="00A5224A"/>
    <w:rsid w:val="00A57C21"/>
    <w:rsid w:val="00A636DF"/>
    <w:rsid w:val="00A63B7B"/>
    <w:rsid w:val="00A65087"/>
    <w:rsid w:val="00A659E5"/>
    <w:rsid w:val="00A717F9"/>
    <w:rsid w:val="00A71928"/>
    <w:rsid w:val="00A721E8"/>
    <w:rsid w:val="00A74E3C"/>
    <w:rsid w:val="00A76864"/>
    <w:rsid w:val="00A771CC"/>
    <w:rsid w:val="00A80932"/>
    <w:rsid w:val="00A82B37"/>
    <w:rsid w:val="00A839EC"/>
    <w:rsid w:val="00A86B19"/>
    <w:rsid w:val="00A90972"/>
    <w:rsid w:val="00A913E9"/>
    <w:rsid w:val="00A93FE2"/>
    <w:rsid w:val="00A95407"/>
    <w:rsid w:val="00A956A9"/>
    <w:rsid w:val="00A972F3"/>
    <w:rsid w:val="00A97F20"/>
    <w:rsid w:val="00AA3CC2"/>
    <w:rsid w:val="00AA7A20"/>
    <w:rsid w:val="00AB2E9C"/>
    <w:rsid w:val="00AB33F0"/>
    <w:rsid w:val="00AC3C45"/>
    <w:rsid w:val="00AC4849"/>
    <w:rsid w:val="00AC5C01"/>
    <w:rsid w:val="00AC70F4"/>
    <w:rsid w:val="00AC731C"/>
    <w:rsid w:val="00AD2575"/>
    <w:rsid w:val="00AD593D"/>
    <w:rsid w:val="00AD7750"/>
    <w:rsid w:val="00AE468F"/>
    <w:rsid w:val="00AE49D0"/>
    <w:rsid w:val="00AF023D"/>
    <w:rsid w:val="00AF126C"/>
    <w:rsid w:val="00AF22FA"/>
    <w:rsid w:val="00AF25E5"/>
    <w:rsid w:val="00AF392E"/>
    <w:rsid w:val="00AF634C"/>
    <w:rsid w:val="00B022EC"/>
    <w:rsid w:val="00B06DD9"/>
    <w:rsid w:val="00B07710"/>
    <w:rsid w:val="00B10EB1"/>
    <w:rsid w:val="00B1614F"/>
    <w:rsid w:val="00B23E24"/>
    <w:rsid w:val="00B269D9"/>
    <w:rsid w:val="00B37152"/>
    <w:rsid w:val="00B47C3A"/>
    <w:rsid w:val="00B50230"/>
    <w:rsid w:val="00B568DA"/>
    <w:rsid w:val="00B57149"/>
    <w:rsid w:val="00B64D8E"/>
    <w:rsid w:val="00B77B32"/>
    <w:rsid w:val="00B8127A"/>
    <w:rsid w:val="00B81CC0"/>
    <w:rsid w:val="00B85BDE"/>
    <w:rsid w:val="00B926CF"/>
    <w:rsid w:val="00B92AA7"/>
    <w:rsid w:val="00BA3400"/>
    <w:rsid w:val="00BB34FC"/>
    <w:rsid w:val="00BB5C75"/>
    <w:rsid w:val="00BB6A2C"/>
    <w:rsid w:val="00BC1D88"/>
    <w:rsid w:val="00BC5BCA"/>
    <w:rsid w:val="00BC665D"/>
    <w:rsid w:val="00BD3508"/>
    <w:rsid w:val="00BD4E20"/>
    <w:rsid w:val="00BE0888"/>
    <w:rsid w:val="00BF1B86"/>
    <w:rsid w:val="00C0327D"/>
    <w:rsid w:val="00C05337"/>
    <w:rsid w:val="00C1210A"/>
    <w:rsid w:val="00C16101"/>
    <w:rsid w:val="00C21382"/>
    <w:rsid w:val="00C26686"/>
    <w:rsid w:val="00C31854"/>
    <w:rsid w:val="00C3694C"/>
    <w:rsid w:val="00C418E7"/>
    <w:rsid w:val="00C449E5"/>
    <w:rsid w:val="00C4533E"/>
    <w:rsid w:val="00C45DAC"/>
    <w:rsid w:val="00C4657A"/>
    <w:rsid w:val="00C52873"/>
    <w:rsid w:val="00C55663"/>
    <w:rsid w:val="00C607E4"/>
    <w:rsid w:val="00C673C2"/>
    <w:rsid w:val="00C82279"/>
    <w:rsid w:val="00C82EC4"/>
    <w:rsid w:val="00C84CF5"/>
    <w:rsid w:val="00C862D6"/>
    <w:rsid w:val="00C86AD3"/>
    <w:rsid w:val="00CA1933"/>
    <w:rsid w:val="00CA6ABA"/>
    <w:rsid w:val="00CA7EE6"/>
    <w:rsid w:val="00CB3DA9"/>
    <w:rsid w:val="00CC41EB"/>
    <w:rsid w:val="00CD02C8"/>
    <w:rsid w:val="00CD22D3"/>
    <w:rsid w:val="00CD2694"/>
    <w:rsid w:val="00CD2861"/>
    <w:rsid w:val="00CD381E"/>
    <w:rsid w:val="00CD4308"/>
    <w:rsid w:val="00CD4E86"/>
    <w:rsid w:val="00CD7523"/>
    <w:rsid w:val="00CE2E32"/>
    <w:rsid w:val="00CE5087"/>
    <w:rsid w:val="00CE650D"/>
    <w:rsid w:val="00CE73EC"/>
    <w:rsid w:val="00CE796A"/>
    <w:rsid w:val="00CF3A1B"/>
    <w:rsid w:val="00CF4656"/>
    <w:rsid w:val="00CF560B"/>
    <w:rsid w:val="00CF6FAC"/>
    <w:rsid w:val="00D0137E"/>
    <w:rsid w:val="00D048A7"/>
    <w:rsid w:val="00D1010D"/>
    <w:rsid w:val="00D123CF"/>
    <w:rsid w:val="00D162A8"/>
    <w:rsid w:val="00D22E1B"/>
    <w:rsid w:val="00D27907"/>
    <w:rsid w:val="00D32891"/>
    <w:rsid w:val="00D33177"/>
    <w:rsid w:val="00D366AA"/>
    <w:rsid w:val="00D413CB"/>
    <w:rsid w:val="00D433D8"/>
    <w:rsid w:val="00D43B6E"/>
    <w:rsid w:val="00D521E1"/>
    <w:rsid w:val="00D5559F"/>
    <w:rsid w:val="00D574DF"/>
    <w:rsid w:val="00D61FCC"/>
    <w:rsid w:val="00D704F5"/>
    <w:rsid w:val="00D713CB"/>
    <w:rsid w:val="00D725C0"/>
    <w:rsid w:val="00D754BA"/>
    <w:rsid w:val="00D775A2"/>
    <w:rsid w:val="00D814F5"/>
    <w:rsid w:val="00D82780"/>
    <w:rsid w:val="00D8787F"/>
    <w:rsid w:val="00D87B05"/>
    <w:rsid w:val="00D925D0"/>
    <w:rsid w:val="00DA32BF"/>
    <w:rsid w:val="00DA5900"/>
    <w:rsid w:val="00DA606C"/>
    <w:rsid w:val="00DB591A"/>
    <w:rsid w:val="00DC4369"/>
    <w:rsid w:val="00DC7CAE"/>
    <w:rsid w:val="00DD2928"/>
    <w:rsid w:val="00DD6411"/>
    <w:rsid w:val="00DE0205"/>
    <w:rsid w:val="00DE1A73"/>
    <w:rsid w:val="00DE268F"/>
    <w:rsid w:val="00DE2CE1"/>
    <w:rsid w:val="00DE41FA"/>
    <w:rsid w:val="00DE6DD8"/>
    <w:rsid w:val="00DE744B"/>
    <w:rsid w:val="00DF0810"/>
    <w:rsid w:val="00DF22BB"/>
    <w:rsid w:val="00DF2EBD"/>
    <w:rsid w:val="00E07D16"/>
    <w:rsid w:val="00E1622F"/>
    <w:rsid w:val="00E2529E"/>
    <w:rsid w:val="00E332FD"/>
    <w:rsid w:val="00E35028"/>
    <w:rsid w:val="00E448FC"/>
    <w:rsid w:val="00E46242"/>
    <w:rsid w:val="00E46E7A"/>
    <w:rsid w:val="00E47122"/>
    <w:rsid w:val="00E5777C"/>
    <w:rsid w:val="00E653C7"/>
    <w:rsid w:val="00E65638"/>
    <w:rsid w:val="00E663A0"/>
    <w:rsid w:val="00E72027"/>
    <w:rsid w:val="00E73D4B"/>
    <w:rsid w:val="00E77A67"/>
    <w:rsid w:val="00E82AA2"/>
    <w:rsid w:val="00E84AD1"/>
    <w:rsid w:val="00E86683"/>
    <w:rsid w:val="00E87ACE"/>
    <w:rsid w:val="00E926D7"/>
    <w:rsid w:val="00E9649A"/>
    <w:rsid w:val="00EA0B73"/>
    <w:rsid w:val="00EA0BE7"/>
    <w:rsid w:val="00EA2AB4"/>
    <w:rsid w:val="00EA36D5"/>
    <w:rsid w:val="00EB03D4"/>
    <w:rsid w:val="00EB2E72"/>
    <w:rsid w:val="00EB4B72"/>
    <w:rsid w:val="00EC66C5"/>
    <w:rsid w:val="00ED2544"/>
    <w:rsid w:val="00ED37D4"/>
    <w:rsid w:val="00ED5C57"/>
    <w:rsid w:val="00EE05F2"/>
    <w:rsid w:val="00EE0B56"/>
    <w:rsid w:val="00EE14F1"/>
    <w:rsid w:val="00EE3A5E"/>
    <w:rsid w:val="00EE6E42"/>
    <w:rsid w:val="00EF3505"/>
    <w:rsid w:val="00EF5CB9"/>
    <w:rsid w:val="00EF6FDA"/>
    <w:rsid w:val="00F0292A"/>
    <w:rsid w:val="00F061F2"/>
    <w:rsid w:val="00F0781A"/>
    <w:rsid w:val="00F11B35"/>
    <w:rsid w:val="00F14E6C"/>
    <w:rsid w:val="00F16FA5"/>
    <w:rsid w:val="00F1737E"/>
    <w:rsid w:val="00F2178C"/>
    <w:rsid w:val="00F22EED"/>
    <w:rsid w:val="00F3168B"/>
    <w:rsid w:val="00F376CA"/>
    <w:rsid w:val="00F46937"/>
    <w:rsid w:val="00F46B51"/>
    <w:rsid w:val="00F51105"/>
    <w:rsid w:val="00F51D0F"/>
    <w:rsid w:val="00F53554"/>
    <w:rsid w:val="00F56E89"/>
    <w:rsid w:val="00F57A39"/>
    <w:rsid w:val="00F612FD"/>
    <w:rsid w:val="00F729E6"/>
    <w:rsid w:val="00F76CE2"/>
    <w:rsid w:val="00F82B4D"/>
    <w:rsid w:val="00F852D5"/>
    <w:rsid w:val="00F9427B"/>
    <w:rsid w:val="00F944FE"/>
    <w:rsid w:val="00F96DD9"/>
    <w:rsid w:val="00FA0ECD"/>
    <w:rsid w:val="00FA5EC1"/>
    <w:rsid w:val="00FB6392"/>
    <w:rsid w:val="00FB7E3F"/>
    <w:rsid w:val="00FC2E28"/>
    <w:rsid w:val="00FC3840"/>
    <w:rsid w:val="00FC63E7"/>
    <w:rsid w:val="00FD4C94"/>
    <w:rsid w:val="00FE0319"/>
    <w:rsid w:val="00FF29C9"/>
    <w:rsid w:val="00FF5517"/>
    <w:rsid w:val="020AC8BA"/>
    <w:rsid w:val="0242BCBC"/>
    <w:rsid w:val="03099F23"/>
    <w:rsid w:val="0424FE48"/>
    <w:rsid w:val="0456681B"/>
    <w:rsid w:val="05659669"/>
    <w:rsid w:val="05895591"/>
    <w:rsid w:val="06C2198C"/>
    <w:rsid w:val="06E7AAE2"/>
    <w:rsid w:val="07856D9A"/>
    <w:rsid w:val="078F7574"/>
    <w:rsid w:val="08299EDA"/>
    <w:rsid w:val="0898BBD2"/>
    <w:rsid w:val="08F8F9CC"/>
    <w:rsid w:val="09BB764F"/>
    <w:rsid w:val="09EFB4FC"/>
    <w:rsid w:val="09F321BD"/>
    <w:rsid w:val="0A28587D"/>
    <w:rsid w:val="0A4CECF0"/>
    <w:rsid w:val="0AE3949F"/>
    <w:rsid w:val="0DDDE8AE"/>
    <w:rsid w:val="0F130D8B"/>
    <w:rsid w:val="0FE5D8F4"/>
    <w:rsid w:val="1001EE3A"/>
    <w:rsid w:val="104EEFA1"/>
    <w:rsid w:val="11407451"/>
    <w:rsid w:val="11609EFF"/>
    <w:rsid w:val="13203301"/>
    <w:rsid w:val="1337F62F"/>
    <w:rsid w:val="1369BCDE"/>
    <w:rsid w:val="13799A25"/>
    <w:rsid w:val="138A64C1"/>
    <w:rsid w:val="13C2DE36"/>
    <w:rsid w:val="1410B8FD"/>
    <w:rsid w:val="144DE0CD"/>
    <w:rsid w:val="14711749"/>
    <w:rsid w:val="14F371A0"/>
    <w:rsid w:val="15C3DC53"/>
    <w:rsid w:val="15C7EC51"/>
    <w:rsid w:val="15CC1F5B"/>
    <w:rsid w:val="16726BC0"/>
    <w:rsid w:val="17804D77"/>
    <w:rsid w:val="17EC4E1B"/>
    <w:rsid w:val="182B865A"/>
    <w:rsid w:val="1862E045"/>
    <w:rsid w:val="187B0F17"/>
    <w:rsid w:val="1890523D"/>
    <w:rsid w:val="18F77B1C"/>
    <w:rsid w:val="194F12D4"/>
    <w:rsid w:val="1A3C3C74"/>
    <w:rsid w:val="1A6D5DD1"/>
    <w:rsid w:val="1BD3D1D0"/>
    <w:rsid w:val="1C5C0306"/>
    <w:rsid w:val="1CABF3BE"/>
    <w:rsid w:val="1CACDF65"/>
    <w:rsid w:val="1E026AE5"/>
    <w:rsid w:val="1F109294"/>
    <w:rsid w:val="1F422B6F"/>
    <w:rsid w:val="1F6FA9BE"/>
    <w:rsid w:val="1FAA36C5"/>
    <w:rsid w:val="1FB032AF"/>
    <w:rsid w:val="20232AE9"/>
    <w:rsid w:val="208F7070"/>
    <w:rsid w:val="209CBB5F"/>
    <w:rsid w:val="20CDB36A"/>
    <w:rsid w:val="2144CB5B"/>
    <w:rsid w:val="21FEC4C5"/>
    <w:rsid w:val="222894B4"/>
    <w:rsid w:val="226AB9F8"/>
    <w:rsid w:val="22D12EF8"/>
    <w:rsid w:val="2313B4E1"/>
    <w:rsid w:val="235BDFB4"/>
    <w:rsid w:val="237A1545"/>
    <w:rsid w:val="23B4B790"/>
    <w:rsid w:val="24446FD0"/>
    <w:rsid w:val="24D0A102"/>
    <w:rsid w:val="256807AB"/>
    <w:rsid w:val="26521D36"/>
    <w:rsid w:val="2722E30D"/>
    <w:rsid w:val="277AFB34"/>
    <w:rsid w:val="27A94172"/>
    <w:rsid w:val="27F363B1"/>
    <w:rsid w:val="288C9384"/>
    <w:rsid w:val="290BEB72"/>
    <w:rsid w:val="29FFB3CA"/>
    <w:rsid w:val="2B08A518"/>
    <w:rsid w:val="2B6DCFE6"/>
    <w:rsid w:val="2C34D708"/>
    <w:rsid w:val="2C810CB1"/>
    <w:rsid w:val="2D19C48D"/>
    <w:rsid w:val="2D65E60D"/>
    <w:rsid w:val="2D804282"/>
    <w:rsid w:val="2E056CB6"/>
    <w:rsid w:val="2E237160"/>
    <w:rsid w:val="2E375AA4"/>
    <w:rsid w:val="2E48956A"/>
    <w:rsid w:val="2E9E299A"/>
    <w:rsid w:val="2EDDD262"/>
    <w:rsid w:val="2F35C10E"/>
    <w:rsid w:val="300D24F5"/>
    <w:rsid w:val="3224D635"/>
    <w:rsid w:val="323DA6B5"/>
    <w:rsid w:val="331D410E"/>
    <w:rsid w:val="3344D307"/>
    <w:rsid w:val="34BFB3D0"/>
    <w:rsid w:val="35D36E6D"/>
    <w:rsid w:val="362862DD"/>
    <w:rsid w:val="3674806D"/>
    <w:rsid w:val="36840630"/>
    <w:rsid w:val="36B01DCF"/>
    <w:rsid w:val="36F75394"/>
    <w:rsid w:val="38071CAA"/>
    <w:rsid w:val="380E5C6A"/>
    <w:rsid w:val="38A97CEA"/>
    <w:rsid w:val="38F90115"/>
    <w:rsid w:val="39501238"/>
    <w:rsid w:val="39A8A381"/>
    <w:rsid w:val="3AA9DB4E"/>
    <w:rsid w:val="3B9EF1C7"/>
    <w:rsid w:val="3C85328C"/>
    <w:rsid w:val="3CB5EE51"/>
    <w:rsid w:val="3D563319"/>
    <w:rsid w:val="3D5FB897"/>
    <w:rsid w:val="3EFB4435"/>
    <w:rsid w:val="3EFC2DF9"/>
    <w:rsid w:val="3FD443D1"/>
    <w:rsid w:val="3FE3A23F"/>
    <w:rsid w:val="4106FA77"/>
    <w:rsid w:val="41732F93"/>
    <w:rsid w:val="418A30E2"/>
    <w:rsid w:val="41F2D620"/>
    <w:rsid w:val="423AA4F3"/>
    <w:rsid w:val="440033CB"/>
    <w:rsid w:val="4482F7D4"/>
    <w:rsid w:val="4488CC42"/>
    <w:rsid w:val="45057A96"/>
    <w:rsid w:val="466DDCC3"/>
    <w:rsid w:val="46C51ECC"/>
    <w:rsid w:val="4753A249"/>
    <w:rsid w:val="491C2487"/>
    <w:rsid w:val="492D0DB7"/>
    <w:rsid w:val="495279FD"/>
    <w:rsid w:val="49755E00"/>
    <w:rsid w:val="49850100"/>
    <w:rsid w:val="49A58F92"/>
    <w:rsid w:val="4C6938D1"/>
    <w:rsid w:val="4C777293"/>
    <w:rsid w:val="4CDBCCF0"/>
    <w:rsid w:val="4D003BC6"/>
    <w:rsid w:val="4D23A97C"/>
    <w:rsid w:val="4D666A07"/>
    <w:rsid w:val="4F35CB9B"/>
    <w:rsid w:val="4F77DF2E"/>
    <w:rsid w:val="4F7D22C8"/>
    <w:rsid w:val="50448BAA"/>
    <w:rsid w:val="509B0EFC"/>
    <w:rsid w:val="50BAD3AC"/>
    <w:rsid w:val="51CFA6DE"/>
    <w:rsid w:val="52331658"/>
    <w:rsid w:val="52422FCD"/>
    <w:rsid w:val="52BA8723"/>
    <w:rsid w:val="53288500"/>
    <w:rsid w:val="5384F06A"/>
    <w:rsid w:val="5407B6FA"/>
    <w:rsid w:val="5562F424"/>
    <w:rsid w:val="5606A867"/>
    <w:rsid w:val="568A0B0F"/>
    <w:rsid w:val="56B4FA4B"/>
    <w:rsid w:val="5766B4E3"/>
    <w:rsid w:val="5777492D"/>
    <w:rsid w:val="57CB5B4F"/>
    <w:rsid w:val="580E5A8B"/>
    <w:rsid w:val="58A38595"/>
    <w:rsid w:val="58B1C4FE"/>
    <w:rsid w:val="58B4AFCD"/>
    <w:rsid w:val="58BDD2A2"/>
    <w:rsid w:val="58DB46D3"/>
    <w:rsid w:val="58FF1943"/>
    <w:rsid w:val="592B19C5"/>
    <w:rsid w:val="595C537F"/>
    <w:rsid w:val="597E9ACB"/>
    <w:rsid w:val="598FD3F4"/>
    <w:rsid w:val="59961667"/>
    <w:rsid w:val="59EA4023"/>
    <w:rsid w:val="59F33DA4"/>
    <w:rsid w:val="5A35FA5B"/>
    <w:rsid w:val="5A46B45F"/>
    <w:rsid w:val="5AF47AC5"/>
    <w:rsid w:val="5B65F480"/>
    <w:rsid w:val="5BA98D80"/>
    <w:rsid w:val="5C639482"/>
    <w:rsid w:val="5C72624B"/>
    <w:rsid w:val="5E63AAF5"/>
    <w:rsid w:val="5E6EEDA4"/>
    <w:rsid w:val="5E73522A"/>
    <w:rsid w:val="5EC52DF0"/>
    <w:rsid w:val="5FE991B6"/>
    <w:rsid w:val="601FB03F"/>
    <w:rsid w:val="6199548F"/>
    <w:rsid w:val="621F2DB3"/>
    <w:rsid w:val="62CA8B72"/>
    <w:rsid w:val="65C5EF80"/>
    <w:rsid w:val="6742647B"/>
    <w:rsid w:val="67B56CA2"/>
    <w:rsid w:val="68294695"/>
    <w:rsid w:val="690C8B6C"/>
    <w:rsid w:val="6993C7E5"/>
    <w:rsid w:val="69D40705"/>
    <w:rsid w:val="6BBC9301"/>
    <w:rsid w:val="6C3B794C"/>
    <w:rsid w:val="6C79B9EA"/>
    <w:rsid w:val="6CD0E11C"/>
    <w:rsid w:val="6D164417"/>
    <w:rsid w:val="6DC8D1A1"/>
    <w:rsid w:val="6E11A7EB"/>
    <w:rsid w:val="6EA9D08F"/>
    <w:rsid w:val="6F7E9CB9"/>
    <w:rsid w:val="705DB80B"/>
    <w:rsid w:val="72461836"/>
    <w:rsid w:val="728F61B3"/>
    <w:rsid w:val="7321C2D1"/>
    <w:rsid w:val="733A6F16"/>
    <w:rsid w:val="73FC8725"/>
    <w:rsid w:val="74014DEC"/>
    <w:rsid w:val="7498FDCE"/>
    <w:rsid w:val="74E85A4E"/>
    <w:rsid w:val="764950D6"/>
    <w:rsid w:val="771E6C04"/>
    <w:rsid w:val="775F4FDE"/>
    <w:rsid w:val="783E5895"/>
    <w:rsid w:val="784BE67C"/>
    <w:rsid w:val="79A236E4"/>
    <w:rsid w:val="79CAA17D"/>
    <w:rsid w:val="79F40E49"/>
    <w:rsid w:val="7A7AA7D1"/>
    <w:rsid w:val="7A846EBF"/>
    <w:rsid w:val="7AD62870"/>
    <w:rsid w:val="7AE68610"/>
    <w:rsid w:val="7B2E022D"/>
    <w:rsid w:val="7BE81275"/>
    <w:rsid w:val="7CE70FC4"/>
    <w:rsid w:val="7D3BD5CB"/>
    <w:rsid w:val="7EF682EE"/>
    <w:rsid w:val="7FA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04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1E"/>
    <w:pPr>
      <w:spacing w:after="160" w:line="278" w:lineRule="auto"/>
      <w:ind w:left="720"/>
      <w:contextualSpacing/>
    </w:pPr>
    <w:rPr>
      <w:rFonts w:eastAsiaTheme="minorEastAsia"/>
      <w:lang w:eastAsia="ja-JP"/>
    </w:rPr>
  </w:style>
  <w:style w:type="table" w:styleId="TableGrid">
    <w:name w:val="Table Grid"/>
    <w:basedOn w:val="TableNormal"/>
    <w:uiPriority w:val="39"/>
    <w:rsid w:val="0038341E"/>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36DF"/>
    <w:rPr>
      <w:b/>
      <w:bCs/>
    </w:rPr>
  </w:style>
  <w:style w:type="character" w:customStyle="1" w:styleId="CommentSubjectChar">
    <w:name w:val="Comment Subject Char"/>
    <w:basedOn w:val="CommentTextChar"/>
    <w:link w:val="CommentSubject"/>
    <w:uiPriority w:val="99"/>
    <w:semiHidden/>
    <w:rsid w:val="00A636DF"/>
    <w:rPr>
      <w:b/>
      <w:bCs/>
      <w:sz w:val="20"/>
      <w:szCs w:val="20"/>
    </w:rPr>
  </w:style>
  <w:style w:type="character" w:customStyle="1" w:styleId="Heading1Char">
    <w:name w:val="Heading 1 Char"/>
    <w:basedOn w:val="DefaultParagraphFont"/>
    <w:link w:val="Heading1"/>
    <w:uiPriority w:val="9"/>
    <w:rsid w:val="0090304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B5CE4"/>
    <w:rPr>
      <w:color w:val="0000FF"/>
      <w:u w:val="single"/>
    </w:rPr>
  </w:style>
  <w:style w:type="character" w:styleId="FollowedHyperlink">
    <w:name w:val="FollowedHyperlink"/>
    <w:basedOn w:val="DefaultParagraphFont"/>
    <w:uiPriority w:val="99"/>
    <w:semiHidden/>
    <w:unhideWhenUsed/>
    <w:rsid w:val="00375A96"/>
    <w:rPr>
      <w:color w:val="954F72" w:themeColor="followedHyperlink"/>
      <w:u w:val="single"/>
    </w:rPr>
  </w:style>
  <w:style w:type="character" w:styleId="UnresolvedMention">
    <w:name w:val="Unresolved Mention"/>
    <w:basedOn w:val="DefaultParagraphFont"/>
    <w:uiPriority w:val="99"/>
    <w:rsid w:val="008C58C0"/>
    <w:rPr>
      <w:color w:val="605E5C"/>
      <w:shd w:val="clear" w:color="auto" w:fill="E1DFDD"/>
    </w:rPr>
  </w:style>
  <w:style w:type="character" w:customStyle="1" w:styleId="normaltextrun">
    <w:name w:val="normaltextrun"/>
    <w:basedOn w:val="DefaultParagraphFont"/>
    <w:rsid w:val="00971B99"/>
  </w:style>
  <w:style w:type="paragraph" w:customStyle="1" w:styleId="paragraph">
    <w:name w:val="paragraph"/>
    <w:basedOn w:val="Normal"/>
    <w:rsid w:val="00170E2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57149"/>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CD2694"/>
  </w:style>
  <w:style w:type="character" w:customStyle="1" w:styleId="findhit">
    <w:name w:val="findhit"/>
    <w:basedOn w:val="DefaultParagraphFont"/>
    <w:rsid w:val="00CD2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97821">
      <w:bodyDiv w:val="1"/>
      <w:marLeft w:val="0"/>
      <w:marRight w:val="0"/>
      <w:marTop w:val="0"/>
      <w:marBottom w:val="0"/>
      <w:divBdr>
        <w:top w:val="none" w:sz="0" w:space="0" w:color="auto"/>
        <w:left w:val="none" w:sz="0" w:space="0" w:color="auto"/>
        <w:bottom w:val="none" w:sz="0" w:space="0" w:color="auto"/>
        <w:right w:val="none" w:sz="0" w:space="0" w:color="auto"/>
      </w:divBdr>
    </w:div>
    <w:div w:id="96759829">
      <w:bodyDiv w:val="1"/>
      <w:marLeft w:val="0"/>
      <w:marRight w:val="0"/>
      <w:marTop w:val="0"/>
      <w:marBottom w:val="0"/>
      <w:divBdr>
        <w:top w:val="none" w:sz="0" w:space="0" w:color="auto"/>
        <w:left w:val="none" w:sz="0" w:space="0" w:color="auto"/>
        <w:bottom w:val="none" w:sz="0" w:space="0" w:color="auto"/>
        <w:right w:val="none" w:sz="0" w:space="0" w:color="auto"/>
      </w:divBdr>
      <w:divsChild>
        <w:div w:id="1055009328">
          <w:marLeft w:val="0"/>
          <w:marRight w:val="0"/>
          <w:marTop w:val="0"/>
          <w:marBottom w:val="0"/>
          <w:divBdr>
            <w:top w:val="none" w:sz="0" w:space="0" w:color="auto"/>
            <w:left w:val="none" w:sz="0" w:space="0" w:color="auto"/>
            <w:bottom w:val="none" w:sz="0" w:space="0" w:color="auto"/>
            <w:right w:val="none" w:sz="0" w:space="0" w:color="auto"/>
          </w:divBdr>
        </w:div>
        <w:div w:id="433599090">
          <w:marLeft w:val="0"/>
          <w:marRight w:val="0"/>
          <w:marTop w:val="0"/>
          <w:marBottom w:val="0"/>
          <w:divBdr>
            <w:top w:val="none" w:sz="0" w:space="0" w:color="auto"/>
            <w:left w:val="none" w:sz="0" w:space="0" w:color="auto"/>
            <w:bottom w:val="none" w:sz="0" w:space="0" w:color="auto"/>
            <w:right w:val="none" w:sz="0" w:space="0" w:color="auto"/>
          </w:divBdr>
        </w:div>
        <w:div w:id="1374960359">
          <w:marLeft w:val="0"/>
          <w:marRight w:val="0"/>
          <w:marTop w:val="0"/>
          <w:marBottom w:val="0"/>
          <w:divBdr>
            <w:top w:val="none" w:sz="0" w:space="0" w:color="auto"/>
            <w:left w:val="none" w:sz="0" w:space="0" w:color="auto"/>
            <w:bottom w:val="none" w:sz="0" w:space="0" w:color="auto"/>
            <w:right w:val="none" w:sz="0" w:space="0" w:color="auto"/>
          </w:divBdr>
        </w:div>
        <w:div w:id="1269001050">
          <w:marLeft w:val="0"/>
          <w:marRight w:val="0"/>
          <w:marTop w:val="0"/>
          <w:marBottom w:val="0"/>
          <w:divBdr>
            <w:top w:val="none" w:sz="0" w:space="0" w:color="auto"/>
            <w:left w:val="none" w:sz="0" w:space="0" w:color="auto"/>
            <w:bottom w:val="none" w:sz="0" w:space="0" w:color="auto"/>
            <w:right w:val="none" w:sz="0" w:space="0" w:color="auto"/>
          </w:divBdr>
        </w:div>
        <w:div w:id="227107885">
          <w:marLeft w:val="0"/>
          <w:marRight w:val="0"/>
          <w:marTop w:val="0"/>
          <w:marBottom w:val="0"/>
          <w:divBdr>
            <w:top w:val="none" w:sz="0" w:space="0" w:color="auto"/>
            <w:left w:val="none" w:sz="0" w:space="0" w:color="auto"/>
            <w:bottom w:val="none" w:sz="0" w:space="0" w:color="auto"/>
            <w:right w:val="none" w:sz="0" w:space="0" w:color="auto"/>
          </w:divBdr>
        </w:div>
        <w:div w:id="942153873">
          <w:marLeft w:val="0"/>
          <w:marRight w:val="0"/>
          <w:marTop w:val="0"/>
          <w:marBottom w:val="0"/>
          <w:divBdr>
            <w:top w:val="none" w:sz="0" w:space="0" w:color="auto"/>
            <w:left w:val="none" w:sz="0" w:space="0" w:color="auto"/>
            <w:bottom w:val="none" w:sz="0" w:space="0" w:color="auto"/>
            <w:right w:val="none" w:sz="0" w:space="0" w:color="auto"/>
          </w:divBdr>
        </w:div>
        <w:div w:id="1803189738">
          <w:marLeft w:val="0"/>
          <w:marRight w:val="0"/>
          <w:marTop w:val="0"/>
          <w:marBottom w:val="0"/>
          <w:divBdr>
            <w:top w:val="none" w:sz="0" w:space="0" w:color="auto"/>
            <w:left w:val="none" w:sz="0" w:space="0" w:color="auto"/>
            <w:bottom w:val="none" w:sz="0" w:space="0" w:color="auto"/>
            <w:right w:val="none" w:sz="0" w:space="0" w:color="auto"/>
          </w:divBdr>
        </w:div>
        <w:div w:id="559638950">
          <w:marLeft w:val="0"/>
          <w:marRight w:val="0"/>
          <w:marTop w:val="0"/>
          <w:marBottom w:val="0"/>
          <w:divBdr>
            <w:top w:val="none" w:sz="0" w:space="0" w:color="auto"/>
            <w:left w:val="none" w:sz="0" w:space="0" w:color="auto"/>
            <w:bottom w:val="none" w:sz="0" w:space="0" w:color="auto"/>
            <w:right w:val="none" w:sz="0" w:space="0" w:color="auto"/>
          </w:divBdr>
        </w:div>
        <w:div w:id="598216853">
          <w:marLeft w:val="0"/>
          <w:marRight w:val="0"/>
          <w:marTop w:val="0"/>
          <w:marBottom w:val="0"/>
          <w:divBdr>
            <w:top w:val="none" w:sz="0" w:space="0" w:color="auto"/>
            <w:left w:val="none" w:sz="0" w:space="0" w:color="auto"/>
            <w:bottom w:val="none" w:sz="0" w:space="0" w:color="auto"/>
            <w:right w:val="none" w:sz="0" w:space="0" w:color="auto"/>
          </w:divBdr>
        </w:div>
        <w:div w:id="728193815">
          <w:marLeft w:val="0"/>
          <w:marRight w:val="0"/>
          <w:marTop w:val="0"/>
          <w:marBottom w:val="0"/>
          <w:divBdr>
            <w:top w:val="none" w:sz="0" w:space="0" w:color="auto"/>
            <w:left w:val="none" w:sz="0" w:space="0" w:color="auto"/>
            <w:bottom w:val="none" w:sz="0" w:space="0" w:color="auto"/>
            <w:right w:val="none" w:sz="0" w:space="0" w:color="auto"/>
          </w:divBdr>
        </w:div>
        <w:div w:id="457064928">
          <w:marLeft w:val="0"/>
          <w:marRight w:val="0"/>
          <w:marTop w:val="0"/>
          <w:marBottom w:val="0"/>
          <w:divBdr>
            <w:top w:val="none" w:sz="0" w:space="0" w:color="auto"/>
            <w:left w:val="none" w:sz="0" w:space="0" w:color="auto"/>
            <w:bottom w:val="none" w:sz="0" w:space="0" w:color="auto"/>
            <w:right w:val="none" w:sz="0" w:space="0" w:color="auto"/>
          </w:divBdr>
        </w:div>
        <w:div w:id="1222868014">
          <w:marLeft w:val="0"/>
          <w:marRight w:val="0"/>
          <w:marTop w:val="0"/>
          <w:marBottom w:val="0"/>
          <w:divBdr>
            <w:top w:val="none" w:sz="0" w:space="0" w:color="auto"/>
            <w:left w:val="none" w:sz="0" w:space="0" w:color="auto"/>
            <w:bottom w:val="none" w:sz="0" w:space="0" w:color="auto"/>
            <w:right w:val="none" w:sz="0" w:space="0" w:color="auto"/>
          </w:divBdr>
        </w:div>
        <w:div w:id="715857385">
          <w:marLeft w:val="0"/>
          <w:marRight w:val="0"/>
          <w:marTop w:val="0"/>
          <w:marBottom w:val="0"/>
          <w:divBdr>
            <w:top w:val="none" w:sz="0" w:space="0" w:color="auto"/>
            <w:left w:val="none" w:sz="0" w:space="0" w:color="auto"/>
            <w:bottom w:val="none" w:sz="0" w:space="0" w:color="auto"/>
            <w:right w:val="none" w:sz="0" w:space="0" w:color="auto"/>
          </w:divBdr>
        </w:div>
        <w:div w:id="369187565">
          <w:marLeft w:val="0"/>
          <w:marRight w:val="0"/>
          <w:marTop w:val="0"/>
          <w:marBottom w:val="0"/>
          <w:divBdr>
            <w:top w:val="none" w:sz="0" w:space="0" w:color="auto"/>
            <w:left w:val="none" w:sz="0" w:space="0" w:color="auto"/>
            <w:bottom w:val="none" w:sz="0" w:space="0" w:color="auto"/>
            <w:right w:val="none" w:sz="0" w:space="0" w:color="auto"/>
          </w:divBdr>
        </w:div>
        <w:div w:id="1787962818">
          <w:marLeft w:val="0"/>
          <w:marRight w:val="0"/>
          <w:marTop w:val="0"/>
          <w:marBottom w:val="0"/>
          <w:divBdr>
            <w:top w:val="none" w:sz="0" w:space="0" w:color="auto"/>
            <w:left w:val="none" w:sz="0" w:space="0" w:color="auto"/>
            <w:bottom w:val="none" w:sz="0" w:space="0" w:color="auto"/>
            <w:right w:val="none" w:sz="0" w:space="0" w:color="auto"/>
          </w:divBdr>
        </w:div>
        <w:div w:id="142549769">
          <w:marLeft w:val="0"/>
          <w:marRight w:val="0"/>
          <w:marTop w:val="0"/>
          <w:marBottom w:val="0"/>
          <w:divBdr>
            <w:top w:val="none" w:sz="0" w:space="0" w:color="auto"/>
            <w:left w:val="none" w:sz="0" w:space="0" w:color="auto"/>
            <w:bottom w:val="none" w:sz="0" w:space="0" w:color="auto"/>
            <w:right w:val="none" w:sz="0" w:space="0" w:color="auto"/>
          </w:divBdr>
        </w:div>
        <w:div w:id="262499012">
          <w:marLeft w:val="0"/>
          <w:marRight w:val="0"/>
          <w:marTop w:val="0"/>
          <w:marBottom w:val="0"/>
          <w:divBdr>
            <w:top w:val="none" w:sz="0" w:space="0" w:color="auto"/>
            <w:left w:val="none" w:sz="0" w:space="0" w:color="auto"/>
            <w:bottom w:val="none" w:sz="0" w:space="0" w:color="auto"/>
            <w:right w:val="none" w:sz="0" w:space="0" w:color="auto"/>
          </w:divBdr>
        </w:div>
        <w:div w:id="323362022">
          <w:marLeft w:val="0"/>
          <w:marRight w:val="0"/>
          <w:marTop w:val="0"/>
          <w:marBottom w:val="0"/>
          <w:divBdr>
            <w:top w:val="none" w:sz="0" w:space="0" w:color="auto"/>
            <w:left w:val="none" w:sz="0" w:space="0" w:color="auto"/>
            <w:bottom w:val="none" w:sz="0" w:space="0" w:color="auto"/>
            <w:right w:val="none" w:sz="0" w:space="0" w:color="auto"/>
          </w:divBdr>
        </w:div>
        <w:div w:id="808322182">
          <w:marLeft w:val="0"/>
          <w:marRight w:val="0"/>
          <w:marTop w:val="0"/>
          <w:marBottom w:val="0"/>
          <w:divBdr>
            <w:top w:val="none" w:sz="0" w:space="0" w:color="auto"/>
            <w:left w:val="none" w:sz="0" w:space="0" w:color="auto"/>
            <w:bottom w:val="none" w:sz="0" w:space="0" w:color="auto"/>
            <w:right w:val="none" w:sz="0" w:space="0" w:color="auto"/>
          </w:divBdr>
        </w:div>
        <w:div w:id="55326835">
          <w:marLeft w:val="0"/>
          <w:marRight w:val="0"/>
          <w:marTop w:val="0"/>
          <w:marBottom w:val="0"/>
          <w:divBdr>
            <w:top w:val="none" w:sz="0" w:space="0" w:color="auto"/>
            <w:left w:val="none" w:sz="0" w:space="0" w:color="auto"/>
            <w:bottom w:val="none" w:sz="0" w:space="0" w:color="auto"/>
            <w:right w:val="none" w:sz="0" w:space="0" w:color="auto"/>
          </w:divBdr>
        </w:div>
        <w:div w:id="857546560">
          <w:marLeft w:val="0"/>
          <w:marRight w:val="0"/>
          <w:marTop w:val="0"/>
          <w:marBottom w:val="0"/>
          <w:divBdr>
            <w:top w:val="none" w:sz="0" w:space="0" w:color="auto"/>
            <w:left w:val="none" w:sz="0" w:space="0" w:color="auto"/>
            <w:bottom w:val="none" w:sz="0" w:space="0" w:color="auto"/>
            <w:right w:val="none" w:sz="0" w:space="0" w:color="auto"/>
          </w:divBdr>
        </w:div>
      </w:divsChild>
    </w:div>
    <w:div w:id="112866425">
      <w:bodyDiv w:val="1"/>
      <w:marLeft w:val="0"/>
      <w:marRight w:val="0"/>
      <w:marTop w:val="0"/>
      <w:marBottom w:val="0"/>
      <w:divBdr>
        <w:top w:val="none" w:sz="0" w:space="0" w:color="auto"/>
        <w:left w:val="none" w:sz="0" w:space="0" w:color="auto"/>
        <w:bottom w:val="none" w:sz="0" w:space="0" w:color="auto"/>
        <w:right w:val="none" w:sz="0" w:space="0" w:color="auto"/>
      </w:divBdr>
    </w:div>
    <w:div w:id="128744933">
      <w:bodyDiv w:val="1"/>
      <w:marLeft w:val="0"/>
      <w:marRight w:val="0"/>
      <w:marTop w:val="0"/>
      <w:marBottom w:val="0"/>
      <w:divBdr>
        <w:top w:val="none" w:sz="0" w:space="0" w:color="auto"/>
        <w:left w:val="none" w:sz="0" w:space="0" w:color="auto"/>
        <w:bottom w:val="none" w:sz="0" w:space="0" w:color="auto"/>
        <w:right w:val="none" w:sz="0" w:space="0" w:color="auto"/>
      </w:divBdr>
    </w:div>
    <w:div w:id="282270297">
      <w:bodyDiv w:val="1"/>
      <w:marLeft w:val="0"/>
      <w:marRight w:val="0"/>
      <w:marTop w:val="0"/>
      <w:marBottom w:val="0"/>
      <w:divBdr>
        <w:top w:val="none" w:sz="0" w:space="0" w:color="auto"/>
        <w:left w:val="none" w:sz="0" w:space="0" w:color="auto"/>
        <w:bottom w:val="none" w:sz="0" w:space="0" w:color="auto"/>
        <w:right w:val="none" w:sz="0" w:space="0" w:color="auto"/>
      </w:divBdr>
    </w:div>
    <w:div w:id="311370012">
      <w:bodyDiv w:val="1"/>
      <w:marLeft w:val="0"/>
      <w:marRight w:val="0"/>
      <w:marTop w:val="0"/>
      <w:marBottom w:val="0"/>
      <w:divBdr>
        <w:top w:val="none" w:sz="0" w:space="0" w:color="auto"/>
        <w:left w:val="none" w:sz="0" w:space="0" w:color="auto"/>
        <w:bottom w:val="none" w:sz="0" w:space="0" w:color="auto"/>
        <w:right w:val="none" w:sz="0" w:space="0" w:color="auto"/>
      </w:divBdr>
      <w:divsChild>
        <w:div w:id="849681987">
          <w:marLeft w:val="0"/>
          <w:marRight w:val="0"/>
          <w:marTop w:val="0"/>
          <w:marBottom w:val="0"/>
          <w:divBdr>
            <w:top w:val="none" w:sz="0" w:space="0" w:color="auto"/>
            <w:left w:val="none" w:sz="0" w:space="0" w:color="auto"/>
            <w:bottom w:val="none" w:sz="0" w:space="0" w:color="auto"/>
            <w:right w:val="none" w:sz="0" w:space="0" w:color="auto"/>
          </w:divBdr>
          <w:divsChild>
            <w:div w:id="1484391045">
              <w:marLeft w:val="0"/>
              <w:marRight w:val="0"/>
              <w:marTop w:val="0"/>
              <w:marBottom w:val="0"/>
              <w:divBdr>
                <w:top w:val="none" w:sz="0" w:space="0" w:color="auto"/>
                <w:left w:val="none" w:sz="0" w:space="0" w:color="auto"/>
                <w:bottom w:val="none" w:sz="0" w:space="0" w:color="auto"/>
                <w:right w:val="none" w:sz="0" w:space="0" w:color="auto"/>
              </w:divBdr>
            </w:div>
          </w:divsChild>
        </w:div>
        <w:div w:id="87580115">
          <w:marLeft w:val="0"/>
          <w:marRight w:val="0"/>
          <w:marTop w:val="0"/>
          <w:marBottom w:val="0"/>
          <w:divBdr>
            <w:top w:val="none" w:sz="0" w:space="0" w:color="auto"/>
            <w:left w:val="none" w:sz="0" w:space="0" w:color="auto"/>
            <w:bottom w:val="none" w:sz="0" w:space="0" w:color="auto"/>
            <w:right w:val="none" w:sz="0" w:space="0" w:color="auto"/>
          </w:divBdr>
          <w:divsChild>
            <w:div w:id="2140299998">
              <w:marLeft w:val="0"/>
              <w:marRight w:val="0"/>
              <w:marTop w:val="0"/>
              <w:marBottom w:val="0"/>
              <w:divBdr>
                <w:top w:val="none" w:sz="0" w:space="0" w:color="auto"/>
                <w:left w:val="none" w:sz="0" w:space="0" w:color="auto"/>
                <w:bottom w:val="none" w:sz="0" w:space="0" w:color="auto"/>
                <w:right w:val="none" w:sz="0" w:space="0" w:color="auto"/>
              </w:divBdr>
            </w:div>
          </w:divsChild>
        </w:div>
        <w:div w:id="326520144">
          <w:marLeft w:val="0"/>
          <w:marRight w:val="0"/>
          <w:marTop w:val="0"/>
          <w:marBottom w:val="0"/>
          <w:divBdr>
            <w:top w:val="none" w:sz="0" w:space="0" w:color="auto"/>
            <w:left w:val="none" w:sz="0" w:space="0" w:color="auto"/>
            <w:bottom w:val="none" w:sz="0" w:space="0" w:color="auto"/>
            <w:right w:val="none" w:sz="0" w:space="0" w:color="auto"/>
          </w:divBdr>
          <w:divsChild>
            <w:div w:id="398288934">
              <w:marLeft w:val="0"/>
              <w:marRight w:val="0"/>
              <w:marTop w:val="0"/>
              <w:marBottom w:val="0"/>
              <w:divBdr>
                <w:top w:val="none" w:sz="0" w:space="0" w:color="auto"/>
                <w:left w:val="none" w:sz="0" w:space="0" w:color="auto"/>
                <w:bottom w:val="none" w:sz="0" w:space="0" w:color="auto"/>
                <w:right w:val="none" w:sz="0" w:space="0" w:color="auto"/>
              </w:divBdr>
            </w:div>
          </w:divsChild>
        </w:div>
        <w:div w:id="1453787859">
          <w:marLeft w:val="0"/>
          <w:marRight w:val="0"/>
          <w:marTop w:val="0"/>
          <w:marBottom w:val="0"/>
          <w:divBdr>
            <w:top w:val="none" w:sz="0" w:space="0" w:color="auto"/>
            <w:left w:val="none" w:sz="0" w:space="0" w:color="auto"/>
            <w:bottom w:val="none" w:sz="0" w:space="0" w:color="auto"/>
            <w:right w:val="none" w:sz="0" w:space="0" w:color="auto"/>
          </w:divBdr>
          <w:divsChild>
            <w:div w:id="618922910">
              <w:marLeft w:val="0"/>
              <w:marRight w:val="0"/>
              <w:marTop w:val="0"/>
              <w:marBottom w:val="0"/>
              <w:divBdr>
                <w:top w:val="none" w:sz="0" w:space="0" w:color="auto"/>
                <w:left w:val="none" w:sz="0" w:space="0" w:color="auto"/>
                <w:bottom w:val="none" w:sz="0" w:space="0" w:color="auto"/>
                <w:right w:val="none" w:sz="0" w:space="0" w:color="auto"/>
              </w:divBdr>
            </w:div>
          </w:divsChild>
        </w:div>
        <w:div w:id="1320960032">
          <w:marLeft w:val="0"/>
          <w:marRight w:val="0"/>
          <w:marTop w:val="0"/>
          <w:marBottom w:val="0"/>
          <w:divBdr>
            <w:top w:val="none" w:sz="0" w:space="0" w:color="auto"/>
            <w:left w:val="none" w:sz="0" w:space="0" w:color="auto"/>
            <w:bottom w:val="none" w:sz="0" w:space="0" w:color="auto"/>
            <w:right w:val="none" w:sz="0" w:space="0" w:color="auto"/>
          </w:divBdr>
          <w:divsChild>
            <w:div w:id="968974068">
              <w:marLeft w:val="0"/>
              <w:marRight w:val="0"/>
              <w:marTop w:val="0"/>
              <w:marBottom w:val="0"/>
              <w:divBdr>
                <w:top w:val="none" w:sz="0" w:space="0" w:color="auto"/>
                <w:left w:val="none" w:sz="0" w:space="0" w:color="auto"/>
                <w:bottom w:val="none" w:sz="0" w:space="0" w:color="auto"/>
                <w:right w:val="none" w:sz="0" w:space="0" w:color="auto"/>
              </w:divBdr>
            </w:div>
          </w:divsChild>
        </w:div>
        <w:div w:id="521481213">
          <w:marLeft w:val="0"/>
          <w:marRight w:val="0"/>
          <w:marTop w:val="0"/>
          <w:marBottom w:val="0"/>
          <w:divBdr>
            <w:top w:val="none" w:sz="0" w:space="0" w:color="auto"/>
            <w:left w:val="none" w:sz="0" w:space="0" w:color="auto"/>
            <w:bottom w:val="none" w:sz="0" w:space="0" w:color="auto"/>
            <w:right w:val="none" w:sz="0" w:space="0" w:color="auto"/>
          </w:divBdr>
          <w:divsChild>
            <w:div w:id="408617825">
              <w:marLeft w:val="0"/>
              <w:marRight w:val="0"/>
              <w:marTop w:val="0"/>
              <w:marBottom w:val="0"/>
              <w:divBdr>
                <w:top w:val="none" w:sz="0" w:space="0" w:color="auto"/>
                <w:left w:val="none" w:sz="0" w:space="0" w:color="auto"/>
                <w:bottom w:val="none" w:sz="0" w:space="0" w:color="auto"/>
                <w:right w:val="none" w:sz="0" w:space="0" w:color="auto"/>
              </w:divBdr>
            </w:div>
          </w:divsChild>
        </w:div>
        <w:div w:id="1998995072">
          <w:marLeft w:val="0"/>
          <w:marRight w:val="0"/>
          <w:marTop w:val="0"/>
          <w:marBottom w:val="0"/>
          <w:divBdr>
            <w:top w:val="none" w:sz="0" w:space="0" w:color="auto"/>
            <w:left w:val="none" w:sz="0" w:space="0" w:color="auto"/>
            <w:bottom w:val="none" w:sz="0" w:space="0" w:color="auto"/>
            <w:right w:val="none" w:sz="0" w:space="0" w:color="auto"/>
          </w:divBdr>
          <w:divsChild>
            <w:div w:id="417676982">
              <w:marLeft w:val="0"/>
              <w:marRight w:val="0"/>
              <w:marTop w:val="0"/>
              <w:marBottom w:val="0"/>
              <w:divBdr>
                <w:top w:val="none" w:sz="0" w:space="0" w:color="auto"/>
                <w:left w:val="none" w:sz="0" w:space="0" w:color="auto"/>
                <w:bottom w:val="none" w:sz="0" w:space="0" w:color="auto"/>
                <w:right w:val="none" w:sz="0" w:space="0" w:color="auto"/>
              </w:divBdr>
            </w:div>
          </w:divsChild>
        </w:div>
        <w:div w:id="288972153">
          <w:marLeft w:val="0"/>
          <w:marRight w:val="0"/>
          <w:marTop w:val="0"/>
          <w:marBottom w:val="0"/>
          <w:divBdr>
            <w:top w:val="none" w:sz="0" w:space="0" w:color="auto"/>
            <w:left w:val="none" w:sz="0" w:space="0" w:color="auto"/>
            <w:bottom w:val="none" w:sz="0" w:space="0" w:color="auto"/>
            <w:right w:val="none" w:sz="0" w:space="0" w:color="auto"/>
          </w:divBdr>
          <w:divsChild>
            <w:div w:id="1403794146">
              <w:marLeft w:val="0"/>
              <w:marRight w:val="0"/>
              <w:marTop w:val="0"/>
              <w:marBottom w:val="0"/>
              <w:divBdr>
                <w:top w:val="none" w:sz="0" w:space="0" w:color="auto"/>
                <w:left w:val="none" w:sz="0" w:space="0" w:color="auto"/>
                <w:bottom w:val="none" w:sz="0" w:space="0" w:color="auto"/>
                <w:right w:val="none" w:sz="0" w:space="0" w:color="auto"/>
              </w:divBdr>
            </w:div>
          </w:divsChild>
        </w:div>
        <w:div w:id="1181892389">
          <w:marLeft w:val="0"/>
          <w:marRight w:val="0"/>
          <w:marTop w:val="0"/>
          <w:marBottom w:val="0"/>
          <w:divBdr>
            <w:top w:val="none" w:sz="0" w:space="0" w:color="auto"/>
            <w:left w:val="none" w:sz="0" w:space="0" w:color="auto"/>
            <w:bottom w:val="none" w:sz="0" w:space="0" w:color="auto"/>
            <w:right w:val="none" w:sz="0" w:space="0" w:color="auto"/>
          </w:divBdr>
          <w:divsChild>
            <w:div w:id="68158716">
              <w:marLeft w:val="0"/>
              <w:marRight w:val="0"/>
              <w:marTop w:val="0"/>
              <w:marBottom w:val="0"/>
              <w:divBdr>
                <w:top w:val="none" w:sz="0" w:space="0" w:color="auto"/>
                <w:left w:val="none" w:sz="0" w:space="0" w:color="auto"/>
                <w:bottom w:val="none" w:sz="0" w:space="0" w:color="auto"/>
                <w:right w:val="none" w:sz="0" w:space="0" w:color="auto"/>
              </w:divBdr>
            </w:div>
          </w:divsChild>
        </w:div>
        <w:div w:id="1870097687">
          <w:marLeft w:val="0"/>
          <w:marRight w:val="0"/>
          <w:marTop w:val="0"/>
          <w:marBottom w:val="0"/>
          <w:divBdr>
            <w:top w:val="none" w:sz="0" w:space="0" w:color="auto"/>
            <w:left w:val="none" w:sz="0" w:space="0" w:color="auto"/>
            <w:bottom w:val="none" w:sz="0" w:space="0" w:color="auto"/>
            <w:right w:val="none" w:sz="0" w:space="0" w:color="auto"/>
          </w:divBdr>
          <w:divsChild>
            <w:div w:id="2122676178">
              <w:marLeft w:val="0"/>
              <w:marRight w:val="0"/>
              <w:marTop w:val="0"/>
              <w:marBottom w:val="0"/>
              <w:divBdr>
                <w:top w:val="none" w:sz="0" w:space="0" w:color="auto"/>
                <w:left w:val="none" w:sz="0" w:space="0" w:color="auto"/>
                <w:bottom w:val="none" w:sz="0" w:space="0" w:color="auto"/>
                <w:right w:val="none" w:sz="0" w:space="0" w:color="auto"/>
              </w:divBdr>
            </w:div>
          </w:divsChild>
        </w:div>
        <w:div w:id="1821994766">
          <w:marLeft w:val="0"/>
          <w:marRight w:val="0"/>
          <w:marTop w:val="0"/>
          <w:marBottom w:val="0"/>
          <w:divBdr>
            <w:top w:val="none" w:sz="0" w:space="0" w:color="auto"/>
            <w:left w:val="none" w:sz="0" w:space="0" w:color="auto"/>
            <w:bottom w:val="none" w:sz="0" w:space="0" w:color="auto"/>
            <w:right w:val="none" w:sz="0" w:space="0" w:color="auto"/>
          </w:divBdr>
          <w:divsChild>
            <w:div w:id="1153909911">
              <w:marLeft w:val="0"/>
              <w:marRight w:val="0"/>
              <w:marTop w:val="0"/>
              <w:marBottom w:val="0"/>
              <w:divBdr>
                <w:top w:val="none" w:sz="0" w:space="0" w:color="auto"/>
                <w:left w:val="none" w:sz="0" w:space="0" w:color="auto"/>
                <w:bottom w:val="none" w:sz="0" w:space="0" w:color="auto"/>
                <w:right w:val="none" w:sz="0" w:space="0" w:color="auto"/>
              </w:divBdr>
            </w:div>
          </w:divsChild>
        </w:div>
        <w:div w:id="1826624370">
          <w:marLeft w:val="0"/>
          <w:marRight w:val="0"/>
          <w:marTop w:val="0"/>
          <w:marBottom w:val="0"/>
          <w:divBdr>
            <w:top w:val="none" w:sz="0" w:space="0" w:color="auto"/>
            <w:left w:val="none" w:sz="0" w:space="0" w:color="auto"/>
            <w:bottom w:val="none" w:sz="0" w:space="0" w:color="auto"/>
            <w:right w:val="none" w:sz="0" w:space="0" w:color="auto"/>
          </w:divBdr>
          <w:divsChild>
            <w:div w:id="278877920">
              <w:marLeft w:val="0"/>
              <w:marRight w:val="0"/>
              <w:marTop w:val="0"/>
              <w:marBottom w:val="0"/>
              <w:divBdr>
                <w:top w:val="none" w:sz="0" w:space="0" w:color="auto"/>
                <w:left w:val="none" w:sz="0" w:space="0" w:color="auto"/>
                <w:bottom w:val="none" w:sz="0" w:space="0" w:color="auto"/>
                <w:right w:val="none" w:sz="0" w:space="0" w:color="auto"/>
              </w:divBdr>
            </w:div>
          </w:divsChild>
        </w:div>
        <w:div w:id="1891653527">
          <w:marLeft w:val="0"/>
          <w:marRight w:val="0"/>
          <w:marTop w:val="0"/>
          <w:marBottom w:val="0"/>
          <w:divBdr>
            <w:top w:val="none" w:sz="0" w:space="0" w:color="auto"/>
            <w:left w:val="none" w:sz="0" w:space="0" w:color="auto"/>
            <w:bottom w:val="none" w:sz="0" w:space="0" w:color="auto"/>
            <w:right w:val="none" w:sz="0" w:space="0" w:color="auto"/>
          </w:divBdr>
          <w:divsChild>
            <w:div w:id="299269986">
              <w:marLeft w:val="0"/>
              <w:marRight w:val="0"/>
              <w:marTop w:val="0"/>
              <w:marBottom w:val="0"/>
              <w:divBdr>
                <w:top w:val="none" w:sz="0" w:space="0" w:color="auto"/>
                <w:left w:val="none" w:sz="0" w:space="0" w:color="auto"/>
                <w:bottom w:val="none" w:sz="0" w:space="0" w:color="auto"/>
                <w:right w:val="none" w:sz="0" w:space="0" w:color="auto"/>
              </w:divBdr>
            </w:div>
          </w:divsChild>
        </w:div>
        <w:div w:id="477917698">
          <w:marLeft w:val="0"/>
          <w:marRight w:val="0"/>
          <w:marTop w:val="0"/>
          <w:marBottom w:val="0"/>
          <w:divBdr>
            <w:top w:val="none" w:sz="0" w:space="0" w:color="auto"/>
            <w:left w:val="none" w:sz="0" w:space="0" w:color="auto"/>
            <w:bottom w:val="none" w:sz="0" w:space="0" w:color="auto"/>
            <w:right w:val="none" w:sz="0" w:space="0" w:color="auto"/>
          </w:divBdr>
          <w:divsChild>
            <w:div w:id="1756590722">
              <w:marLeft w:val="0"/>
              <w:marRight w:val="0"/>
              <w:marTop w:val="0"/>
              <w:marBottom w:val="0"/>
              <w:divBdr>
                <w:top w:val="none" w:sz="0" w:space="0" w:color="auto"/>
                <w:left w:val="none" w:sz="0" w:space="0" w:color="auto"/>
                <w:bottom w:val="none" w:sz="0" w:space="0" w:color="auto"/>
                <w:right w:val="none" w:sz="0" w:space="0" w:color="auto"/>
              </w:divBdr>
            </w:div>
          </w:divsChild>
        </w:div>
        <w:div w:id="478770812">
          <w:marLeft w:val="0"/>
          <w:marRight w:val="0"/>
          <w:marTop w:val="0"/>
          <w:marBottom w:val="0"/>
          <w:divBdr>
            <w:top w:val="none" w:sz="0" w:space="0" w:color="auto"/>
            <w:left w:val="none" w:sz="0" w:space="0" w:color="auto"/>
            <w:bottom w:val="none" w:sz="0" w:space="0" w:color="auto"/>
            <w:right w:val="none" w:sz="0" w:space="0" w:color="auto"/>
          </w:divBdr>
          <w:divsChild>
            <w:div w:id="1832211983">
              <w:marLeft w:val="0"/>
              <w:marRight w:val="0"/>
              <w:marTop w:val="0"/>
              <w:marBottom w:val="0"/>
              <w:divBdr>
                <w:top w:val="none" w:sz="0" w:space="0" w:color="auto"/>
                <w:left w:val="none" w:sz="0" w:space="0" w:color="auto"/>
                <w:bottom w:val="none" w:sz="0" w:space="0" w:color="auto"/>
                <w:right w:val="none" w:sz="0" w:space="0" w:color="auto"/>
              </w:divBdr>
            </w:div>
          </w:divsChild>
        </w:div>
        <w:div w:id="2778998">
          <w:marLeft w:val="0"/>
          <w:marRight w:val="0"/>
          <w:marTop w:val="0"/>
          <w:marBottom w:val="0"/>
          <w:divBdr>
            <w:top w:val="none" w:sz="0" w:space="0" w:color="auto"/>
            <w:left w:val="none" w:sz="0" w:space="0" w:color="auto"/>
            <w:bottom w:val="none" w:sz="0" w:space="0" w:color="auto"/>
            <w:right w:val="none" w:sz="0" w:space="0" w:color="auto"/>
          </w:divBdr>
          <w:divsChild>
            <w:div w:id="317075553">
              <w:marLeft w:val="0"/>
              <w:marRight w:val="0"/>
              <w:marTop w:val="0"/>
              <w:marBottom w:val="0"/>
              <w:divBdr>
                <w:top w:val="none" w:sz="0" w:space="0" w:color="auto"/>
                <w:left w:val="none" w:sz="0" w:space="0" w:color="auto"/>
                <w:bottom w:val="none" w:sz="0" w:space="0" w:color="auto"/>
                <w:right w:val="none" w:sz="0" w:space="0" w:color="auto"/>
              </w:divBdr>
            </w:div>
          </w:divsChild>
        </w:div>
        <w:div w:id="791676247">
          <w:marLeft w:val="0"/>
          <w:marRight w:val="0"/>
          <w:marTop w:val="0"/>
          <w:marBottom w:val="0"/>
          <w:divBdr>
            <w:top w:val="none" w:sz="0" w:space="0" w:color="auto"/>
            <w:left w:val="none" w:sz="0" w:space="0" w:color="auto"/>
            <w:bottom w:val="none" w:sz="0" w:space="0" w:color="auto"/>
            <w:right w:val="none" w:sz="0" w:space="0" w:color="auto"/>
          </w:divBdr>
          <w:divsChild>
            <w:div w:id="896741771">
              <w:marLeft w:val="0"/>
              <w:marRight w:val="0"/>
              <w:marTop w:val="0"/>
              <w:marBottom w:val="0"/>
              <w:divBdr>
                <w:top w:val="none" w:sz="0" w:space="0" w:color="auto"/>
                <w:left w:val="none" w:sz="0" w:space="0" w:color="auto"/>
                <w:bottom w:val="none" w:sz="0" w:space="0" w:color="auto"/>
                <w:right w:val="none" w:sz="0" w:space="0" w:color="auto"/>
              </w:divBdr>
            </w:div>
          </w:divsChild>
        </w:div>
        <w:div w:id="1926524666">
          <w:marLeft w:val="0"/>
          <w:marRight w:val="0"/>
          <w:marTop w:val="0"/>
          <w:marBottom w:val="0"/>
          <w:divBdr>
            <w:top w:val="none" w:sz="0" w:space="0" w:color="auto"/>
            <w:left w:val="none" w:sz="0" w:space="0" w:color="auto"/>
            <w:bottom w:val="none" w:sz="0" w:space="0" w:color="auto"/>
            <w:right w:val="none" w:sz="0" w:space="0" w:color="auto"/>
          </w:divBdr>
          <w:divsChild>
            <w:div w:id="1612784679">
              <w:marLeft w:val="0"/>
              <w:marRight w:val="0"/>
              <w:marTop w:val="0"/>
              <w:marBottom w:val="0"/>
              <w:divBdr>
                <w:top w:val="none" w:sz="0" w:space="0" w:color="auto"/>
                <w:left w:val="none" w:sz="0" w:space="0" w:color="auto"/>
                <w:bottom w:val="none" w:sz="0" w:space="0" w:color="auto"/>
                <w:right w:val="none" w:sz="0" w:space="0" w:color="auto"/>
              </w:divBdr>
            </w:div>
          </w:divsChild>
        </w:div>
        <w:div w:id="1100489456">
          <w:marLeft w:val="0"/>
          <w:marRight w:val="0"/>
          <w:marTop w:val="0"/>
          <w:marBottom w:val="0"/>
          <w:divBdr>
            <w:top w:val="none" w:sz="0" w:space="0" w:color="auto"/>
            <w:left w:val="none" w:sz="0" w:space="0" w:color="auto"/>
            <w:bottom w:val="none" w:sz="0" w:space="0" w:color="auto"/>
            <w:right w:val="none" w:sz="0" w:space="0" w:color="auto"/>
          </w:divBdr>
          <w:divsChild>
            <w:div w:id="629359782">
              <w:marLeft w:val="0"/>
              <w:marRight w:val="0"/>
              <w:marTop w:val="0"/>
              <w:marBottom w:val="0"/>
              <w:divBdr>
                <w:top w:val="none" w:sz="0" w:space="0" w:color="auto"/>
                <w:left w:val="none" w:sz="0" w:space="0" w:color="auto"/>
                <w:bottom w:val="none" w:sz="0" w:space="0" w:color="auto"/>
                <w:right w:val="none" w:sz="0" w:space="0" w:color="auto"/>
              </w:divBdr>
            </w:div>
          </w:divsChild>
        </w:div>
        <w:div w:id="1898973008">
          <w:marLeft w:val="0"/>
          <w:marRight w:val="0"/>
          <w:marTop w:val="0"/>
          <w:marBottom w:val="0"/>
          <w:divBdr>
            <w:top w:val="none" w:sz="0" w:space="0" w:color="auto"/>
            <w:left w:val="none" w:sz="0" w:space="0" w:color="auto"/>
            <w:bottom w:val="none" w:sz="0" w:space="0" w:color="auto"/>
            <w:right w:val="none" w:sz="0" w:space="0" w:color="auto"/>
          </w:divBdr>
          <w:divsChild>
            <w:div w:id="1951662860">
              <w:marLeft w:val="0"/>
              <w:marRight w:val="0"/>
              <w:marTop w:val="0"/>
              <w:marBottom w:val="0"/>
              <w:divBdr>
                <w:top w:val="none" w:sz="0" w:space="0" w:color="auto"/>
                <w:left w:val="none" w:sz="0" w:space="0" w:color="auto"/>
                <w:bottom w:val="none" w:sz="0" w:space="0" w:color="auto"/>
                <w:right w:val="none" w:sz="0" w:space="0" w:color="auto"/>
              </w:divBdr>
            </w:div>
          </w:divsChild>
        </w:div>
        <w:div w:id="2124034316">
          <w:marLeft w:val="0"/>
          <w:marRight w:val="0"/>
          <w:marTop w:val="0"/>
          <w:marBottom w:val="0"/>
          <w:divBdr>
            <w:top w:val="none" w:sz="0" w:space="0" w:color="auto"/>
            <w:left w:val="none" w:sz="0" w:space="0" w:color="auto"/>
            <w:bottom w:val="none" w:sz="0" w:space="0" w:color="auto"/>
            <w:right w:val="none" w:sz="0" w:space="0" w:color="auto"/>
          </w:divBdr>
          <w:divsChild>
            <w:div w:id="1356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389">
      <w:bodyDiv w:val="1"/>
      <w:marLeft w:val="0"/>
      <w:marRight w:val="0"/>
      <w:marTop w:val="0"/>
      <w:marBottom w:val="0"/>
      <w:divBdr>
        <w:top w:val="none" w:sz="0" w:space="0" w:color="auto"/>
        <w:left w:val="none" w:sz="0" w:space="0" w:color="auto"/>
        <w:bottom w:val="none" w:sz="0" w:space="0" w:color="auto"/>
        <w:right w:val="none" w:sz="0" w:space="0" w:color="auto"/>
      </w:divBdr>
      <w:divsChild>
        <w:div w:id="1402363501">
          <w:marLeft w:val="0"/>
          <w:marRight w:val="0"/>
          <w:marTop w:val="0"/>
          <w:marBottom w:val="0"/>
          <w:divBdr>
            <w:top w:val="none" w:sz="0" w:space="0" w:color="auto"/>
            <w:left w:val="none" w:sz="0" w:space="0" w:color="auto"/>
            <w:bottom w:val="none" w:sz="0" w:space="0" w:color="auto"/>
            <w:right w:val="none" w:sz="0" w:space="0" w:color="auto"/>
          </w:divBdr>
        </w:div>
        <w:div w:id="502403882">
          <w:marLeft w:val="0"/>
          <w:marRight w:val="0"/>
          <w:marTop w:val="0"/>
          <w:marBottom w:val="0"/>
          <w:divBdr>
            <w:top w:val="none" w:sz="0" w:space="0" w:color="auto"/>
            <w:left w:val="none" w:sz="0" w:space="0" w:color="auto"/>
            <w:bottom w:val="none" w:sz="0" w:space="0" w:color="auto"/>
            <w:right w:val="none" w:sz="0" w:space="0" w:color="auto"/>
          </w:divBdr>
        </w:div>
        <w:div w:id="1142579060">
          <w:marLeft w:val="0"/>
          <w:marRight w:val="0"/>
          <w:marTop w:val="0"/>
          <w:marBottom w:val="0"/>
          <w:divBdr>
            <w:top w:val="none" w:sz="0" w:space="0" w:color="auto"/>
            <w:left w:val="none" w:sz="0" w:space="0" w:color="auto"/>
            <w:bottom w:val="none" w:sz="0" w:space="0" w:color="auto"/>
            <w:right w:val="none" w:sz="0" w:space="0" w:color="auto"/>
          </w:divBdr>
        </w:div>
        <w:div w:id="2054846340">
          <w:marLeft w:val="0"/>
          <w:marRight w:val="0"/>
          <w:marTop w:val="0"/>
          <w:marBottom w:val="0"/>
          <w:divBdr>
            <w:top w:val="none" w:sz="0" w:space="0" w:color="auto"/>
            <w:left w:val="none" w:sz="0" w:space="0" w:color="auto"/>
            <w:bottom w:val="none" w:sz="0" w:space="0" w:color="auto"/>
            <w:right w:val="none" w:sz="0" w:space="0" w:color="auto"/>
          </w:divBdr>
        </w:div>
        <w:div w:id="836769970">
          <w:marLeft w:val="0"/>
          <w:marRight w:val="0"/>
          <w:marTop w:val="0"/>
          <w:marBottom w:val="0"/>
          <w:divBdr>
            <w:top w:val="none" w:sz="0" w:space="0" w:color="auto"/>
            <w:left w:val="none" w:sz="0" w:space="0" w:color="auto"/>
            <w:bottom w:val="none" w:sz="0" w:space="0" w:color="auto"/>
            <w:right w:val="none" w:sz="0" w:space="0" w:color="auto"/>
          </w:divBdr>
        </w:div>
        <w:div w:id="1864711482">
          <w:marLeft w:val="0"/>
          <w:marRight w:val="0"/>
          <w:marTop w:val="0"/>
          <w:marBottom w:val="0"/>
          <w:divBdr>
            <w:top w:val="none" w:sz="0" w:space="0" w:color="auto"/>
            <w:left w:val="none" w:sz="0" w:space="0" w:color="auto"/>
            <w:bottom w:val="none" w:sz="0" w:space="0" w:color="auto"/>
            <w:right w:val="none" w:sz="0" w:space="0" w:color="auto"/>
          </w:divBdr>
        </w:div>
        <w:div w:id="1876431659">
          <w:marLeft w:val="0"/>
          <w:marRight w:val="0"/>
          <w:marTop w:val="0"/>
          <w:marBottom w:val="0"/>
          <w:divBdr>
            <w:top w:val="none" w:sz="0" w:space="0" w:color="auto"/>
            <w:left w:val="none" w:sz="0" w:space="0" w:color="auto"/>
            <w:bottom w:val="none" w:sz="0" w:space="0" w:color="auto"/>
            <w:right w:val="none" w:sz="0" w:space="0" w:color="auto"/>
          </w:divBdr>
        </w:div>
        <w:div w:id="1621449489">
          <w:marLeft w:val="0"/>
          <w:marRight w:val="0"/>
          <w:marTop w:val="0"/>
          <w:marBottom w:val="0"/>
          <w:divBdr>
            <w:top w:val="none" w:sz="0" w:space="0" w:color="auto"/>
            <w:left w:val="none" w:sz="0" w:space="0" w:color="auto"/>
            <w:bottom w:val="none" w:sz="0" w:space="0" w:color="auto"/>
            <w:right w:val="none" w:sz="0" w:space="0" w:color="auto"/>
          </w:divBdr>
        </w:div>
        <w:div w:id="1053306836">
          <w:marLeft w:val="0"/>
          <w:marRight w:val="0"/>
          <w:marTop w:val="0"/>
          <w:marBottom w:val="0"/>
          <w:divBdr>
            <w:top w:val="none" w:sz="0" w:space="0" w:color="auto"/>
            <w:left w:val="none" w:sz="0" w:space="0" w:color="auto"/>
            <w:bottom w:val="none" w:sz="0" w:space="0" w:color="auto"/>
            <w:right w:val="none" w:sz="0" w:space="0" w:color="auto"/>
          </w:divBdr>
        </w:div>
        <w:div w:id="1568690614">
          <w:marLeft w:val="0"/>
          <w:marRight w:val="0"/>
          <w:marTop w:val="0"/>
          <w:marBottom w:val="0"/>
          <w:divBdr>
            <w:top w:val="none" w:sz="0" w:space="0" w:color="auto"/>
            <w:left w:val="none" w:sz="0" w:space="0" w:color="auto"/>
            <w:bottom w:val="none" w:sz="0" w:space="0" w:color="auto"/>
            <w:right w:val="none" w:sz="0" w:space="0" w:color="auto"/>
          </w:divBdr>
        </w:div>
        <w:div w:id="1627618284">
          <w:marLeft w:val="0"/>
          <w:marRight w:val="0"/>
          <w:marTop w:val="0"/>
          <w:marBottom w:val="0"/>
          <w:divBdr>
            <w:top w:val="none" w:sz="0" w:space="0" w:color="auto"/>
            <w:left w:val="none" w:sz="0" w:space="0" w:color="auto"/>
            <w:bottom w:val="none" w:sz="0" w:space="0" w:color="auto"/>
            <w:right w:val="none" w:sz="0" w:space="0" w:color="auto"/>
          </w:divBdr>
        </w:div>
        <w:div w:id="967852381">
          <w:marLeft w:val="0"/>
          <w:marRight w:val="0"/>
          <w:marTop w:val="0"/>
          <w:marBottom w:val="0"/>
          <w:divBdr>
            <w:top w:val="none" w:sz="0" w:space="0" w:color="auto"/>
            <w:left w:val="none" w:sz="0" w:space="0" w:color="auto"/>
            <w:bottom w:val="none" w:sz="0" w:space="0" w:color="auto"/>
            <w:right w:val="none" w:sz="0" w:space="0" w:color="auto"/>
          </w:divBdr>
        </w:div>
        <w:div w:id="407653656">
          <w:marLeft w:val="0"/>
          <w:marRight w:val="0"/>
          <w:marTop w:val="0"/>
          <w:marBottom w:val="0"/>
          <w:divBdr>
            <w:top w:val="none" w:sz="0" w:space="0" w:color="auto"/>
            <w:left w:val="none" w:sz="0" w:space="0" w:color="auto"/>
            <w:bottom w:val="none" w:sz="0" w:space="0" w:color="auto"/>
            <w:right w:val="none" w:sz="0" w:space="0" w:color="auto"/>
          </w:divBdr>
        </w:div>
        <w:div w:id="582419707">
          <w:marLeft w:val="0"/>
          <w:marRight w:val="0"/>
          <w:marTop w:val="0"/>
          <w:marBottom w:val="0"/>
          <w:divBdr>
            <w:top w:val="none" w:sz="0" w:space="0" w:color="auto"/>
            <w:left w:val="none" w:sz="0" w:space="0" w:color="auto"/>
            <w:bottom w:val="none" w:sz="0" w:space="0" w:color="auto"/>
            <w:right w:val="none" w:sz="0" w:space="0" w:color="auto"/>
          </w:divBdr>
        </w:div>
        <w:div w:id="487867738">
          <w:marLeft w:val="0"/>
          <w:marRight w:val="0"/>
          <w:marTop w:val="0"/>
          <w:marBottom w:val="0"/>
          <w:divBdr>
            <w:top w:val="none" w:sz="0" w:space="0" w:color="auto"/>
            <w:left w:val="none" w:sz="0" w:space="0" w:color="auto"/>
            <w:bottom w:val="none" w:sz="0" w:space="0" w:color="auto"/>
            <w:right w:val="none" w:sz="0" w:space="0" w:color="auto"/>
          </w:divBdr>
        </w:div>
        <w:div w:id="405880431">
          <w:marLeft w:val="0"/>
          <w:marRight w:val="0"/>
          <w:marTop w:val="0"/>
          <w:marBottom w:val="0"/>
          <w:divBdr>
            <w:top w:val="none" w:sz="0" w:space="0" w:color="auto"/>
            <w:left w:val="none" w:sz="0" w:space="0" w:color="auto"/>
            <w:bottom w:val="none" w:sz="0" w:space="0" w:color="auto"/>
            <w:right w:val="none" w:sz="0" w:space="0" w:color="auto"/>
          </w:divBdr>
        </w:div>
        <w:div w:id="1049915873">
          <w:marLeft w:val="0"/>
          <w:marRight w:val="0"/>
          <w:marTop w:val="0"/>
          <w:marBottom w:val="0"/>
          <w:divBdr>
            <w:top w:val="none" w:sz="0" w:space="0" w:color="auto"/>
            <w:left w:val="none" w:sz="0" w:space="0" w:color="auto"/>
            <w:bottom w:val="none" w:sz="0" w:space="0" w:color="auto"/>
            <w:right w:val="none" w:sz="0" w:space="0" w:color="auto"/>
          </w:divBdr>
        </w:div>
        <w:div w:id="2046322252">
          <w:marLeft w:val="0"/>
          <w:marRight w:val="0"/>
          <w:marTop w:val="0"/>
          <w:marBottom w:val="0"/>
          <w:divBdr>
            <w:top w:val="none" w:sz="0" w:space="0" w:color="auto"/>
            <w:left w:val="none" w:sz="0" w:space="0" w:color="auto"/>
            <w:bottom w:val="none" w:sz="0" w:space="0" w:color="auto"/>
            <w:right w:val="none" w:sz="0" w:space="0" w:color="auto"/>
          </w:divBdr>
        </w:div>
        <w:div w:id="135688532">
          <w:marLeft w:val="0"/>
          <w:marRight w:val="0"/>
          <w:marTop w:val="0"/>
          <w:marBottom w:val="0"/>
          <w:divBdr>
            <w:top w:val="none" w:sz="0" w:space="0" w:color="auto"/>
            <w:left w:val="none" w:sz="0" w:space="0" w:color="auto"/>
            <w:bottom w:val="none" w:sz="0" w:space="0" w:color="auto"/>
            <w:right w:val="none" w:sz="0" w:space="0" w:color="auto"/>
          </w:divBdr>
        </w:div>
        <w:div w:id="1507093683">
          <w:marLeft w:val="0"/>
          <w:marRight w:val="0"/>
          <w:marTop w:val="0"/>
          <w:marBottom w:val="0"/>
          <w:divBdr>
            <w:top w:val="none" w:sz="0" w:space="0" w:color="auto"/>
            <w:left w:val="none" w:sz="0" w:space="0" w:color="auto"/>
            <w:bottom w:val="none" w:sz="0" w:space="0" w:color="auto"/>
            <w:right w:val="none" w:sz="0" w:space="0" w:color="auto"/>
          </w:divBdr>
        </w:div>
        <w:div w:id="1117061515">
          <w:marLeft w:val="0"/>
          <w:marRight w:val="0"/>
          <w:marTop w:val="0"/>
          <w:marBottom w:val="0"/>
          <w:divBdr>
            <w:top w:val="none" w:sz="0" w:space="0" w:color="auto"/>
            <w:left w:val="none" w:sz="0" w:space="0" w:color="auto"/>
            <w:bottom w:val="none" w:sz="0" w:space="0" w:color="auto"/>
            <w:right w:val="none" w:sz="0" w:space="0" w:color="auto"/>
          </w:divBdr>
        </w:div>
        <w:div w:id="1106071949">
          <w:marLeft w:val="0"/>
          <w:marRight w:val="0"/>
          <w:marTop w:val="0"/>
          <w:marBottom w:val="0"/>
          <w:divBdr>
            <w:top w:val="none" w:sz="0" w:space="0" w:color="auto"/>
            <w:left w:val="none" w:sz="0" w:space="0" w:color="auto"/>
            <w:bottom w:val="none" w:sz="0" w:space="0" w:color="auto"/>
            <w:right w:val="none" w:sz="0" w:space="0" w:color="auto"/>
          </w:divBdr>
        </w:div>
      </w:divsChild>
    </w:div>
    <w:div w:id="625047566">
      <w:bodyDiv w:val="1"/>
      <w:marLeft w:val="0"/>
      <w:marRight w:val="0"/>
      <w:marTop w:val="0"/>
      <w:marBottom w:val="0"/>
      <w:divBdr>
        <w:top w:val="none" w:sz="0" w:space="0" w:color="auto"/>
        <w:left w:val="none" w:sz="0" w:space="0" w:color="auto"/>
        <w:bottom w:val="none" w:sz="0" w:space="0" w:color="auto"/>
        <w:right w:val="none" w:sz="0" w:space="0" w:color="auto"/>
      </w:divBdr>
    </w:div>
    <w:div w:id="665282402">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815881471">
      <w:bodyDiv w:val="1"/>
      <w:marLeft w:val="0"/>
      <w:marRight w:val="0"/>
      <w:marTop w:val="0"/>
      <w:marBottom w:val="0"/>
      <w:divBdr>
        <w:top w:val="none" w:sz="0" w:space="0" w:color="auto"/>
        <w:left w:val="none" w:sz="0" w:space="0" w:color="auto"/>
        <w:bottom w:val="none" w:sz="0" w:space="0" w:color="auto"/>
        <w:right w:val="none" w:sz="0" w:space="0" w:color="auto"/>
      </w:divBdr>
    </w:div>
    <w:div w:id="890503622">
      <w:bodyDiv w:val="1"/>
      <w:marLeft w:val="0"/>
      <w:marRight w:val="0"/>
      <w:marTop w:val="0"/>
      <w:marBottom w:val="0"/>
      <w:divBdr>
        <w:top w:val="none" w:sz="0" w:space="0" w:color="auto"/>
        <w:left w:val="none" w:sz="0" w:space="0" w:color="auto"/>
        <w:bottom w:val="none" w:sz="0" w:space="0" w:color="auto"/>
        <w:right w:val="none" w:sz="0" w:space="0" w:color="auto"/>
      </w:divBdr>
      <w:divsChild>
        <w:div w:id="993609362">
          <w:marLeft w:val="0"/>
          <w:marRight w:val="0"/>
          <w:marTop w:val="0"/>
          <w:marBottom w:val="0"/>
          <w:divBdr>
            <w:top w:val="none" w:sz="0" w:space="0" w:color="auto"/>
            <w:left w:val="none" w:sz="0" w:space="0" w:color="auto"/>
            <w:bottom w:val="none" w:sz="0" w:space="0" w:color="auto"/>
            <w:right w:val="none" w:sz="0" w:space="0" w:color="auto"/>
          </w:divBdr>
        </w:div>
        <w:div w:id="1975207502">
          <w:marLeft w:val="0"/>
          <w:marRight w:val="0"/>
          <w:marTop w:val="0"/>
          <w:marBottom w:val="0"/>
          <w:divBdr>
            <w:top w:val="none" w:sz="0" w:space="0" w:color="auto"/>
            <w:left w:val="none" w:sz="0" w:space="0" w:color="auto"/>
            <w:bottom w:val="none" w:sz="0" w:space="0" w:color="auto"/>
            <w:right w:val="none" w:sz="0" w:space="0" w:color="auto"/>
          </w:divBdr>
        </w:div>
      </w:divsChild>
    </w:div>
    <w:div w:id="1129780428">
      <w:bodyDiv w:val="1"/>
      <w:marLeft w:val="0"/>
      <w:marRight w:val="0"/>
      <w:marTop w:val="0"/>
      <w:marBottom w:val="0"/>
      <w:divBdr>
        <w:top w:val="none" w:sz="0" w:space="0" w:color="auto"/>
        <w:left w:val="none" w:sz="0" w:space="0" w:color="auto"/>
        <w:bottom w:val="none" w:sz="0" w:space="0" w:color="auto"/>
        <w:right w:val="none" w:sz="0" w:space="0" w:color="auto"/>
      </w:divBdr>
    </w:div>
    <w:div w:id="1150440879">
      <w:bodyDiv w:val="1"/>
      <w:marLeft w:val="0"/>
      <w:marRight w:val="0"/>
      <w:marTop w:val="0"/>
      <w:marBottom w:val="0"/>
      <w:divBdr>
        <w:top w:val="none" w:sz="0" w:space="0" w:color="auto"/>
        <w:left w:val="none" w:sz="0" w:space="0" w:color="auto"/>
        <w:bottom w:val="none" w:sz="0" w:space="0" w:color="auto"/>
        <w:right w:val="none" w:sz="0" w:space="0" w:color="auto"/>
      </w:divBdr>
    </w:div>
    <w:div w:id="1197427052">
      <w:bodyDiv w:val="1"/>
      <w:marLeft w:val="0"/>
      <w:marRight w:val="0"/>
      <w:marTop w:val="0"/>
      <w:marBottom w:val="0"/>
      <w:divBdr>
        <w:top w:val="none" w:sz="0" w:space="0" w:color="auto"/>
        <w:left w:val="none" w:sz="0" w:space="0" w:color="auto"/>
        <w:bottom w:val="none" w:sz="0" w:space="0" w:color="auto"/>
        <w:right w:val="none" w:sz="0" w:space="0" w:color="auto"/>
      </w:divBdr>
    </w:div>
    <w:div w:id="1288076652">
      <w:bodyDiv w:val="1"/>
      <w:marLeft w:val="0"/>
      <w:marRight w:val="0"/>
      <w:marTop w:val="0"/>
      <w:marBottom w:val="0"/>
      <w:divBdr>
        <w:top w:val="none" w:sz="0" w:space="0" w:color="auto"/>
        <w:left w:val="none" w:sz="0" w:space="0" w:color="auto"/>
        <w:bottom w:val="none" w:sz="0" w:space="0" w:color="auto"/>
        <w:right w:val="none" w:sz="0" w:space="0" w:color="auto"/>
      </w:divBdr>
    </w:div>
    <w:div w:id="1295795845">
      <w:bodyDiv w:val="1"/>
      <w:marLeft w:val="0"/>
      <w:marRight w:val="0"/>
      <w:marTop w:val="0"/>
      <w:marBottom w:val="0"/>
      <w:divBdr>
        <w:top w:val="none" w:sz="0" w:space="0" w:color="auto"/>
        <w:left w:val="none" w:sz="0" w:space="0" w:color="auto"/>
        <w:bottom w:val="none" w:sz="0" w:space="0" w:color="auto"/>
        <w:right w:val="none" w:sz="0" w:space="0" w:color="auto"/>
      </w:divBdr>
    </w:div>
    <w:div w:id="1587765399">
      <w:bodyDiv w:val="1"/>
      <w:marLeft w:val="0"/>
      <w:marRight w:val="0"/>
      <w:marTop w:val="0"/>
      <w:marBottom w:val="0"/>
      <w:divBdr>
        <w:top w:val="none" w:sz="0" w:space="0" w:color="auto"/>
        <w:left w:val="none" w:sz="0" w:space="0" w:color="auto"/>
        <w:bottom w:val="none" w:sz="0" w:space="0" w:color="auto"/>
        <w:right w:val="none" w:sz="0" w:space="0" w:color="auto"/>
      </w:divBdr>
      <w:divsChild>
        <w:div w:id="239561163">
          <w:marLeft w:val="0"/>
          <w:marRight w:val="0"/>
          <w:marTop w:val="0"/>
          <w:marBottom w:val="0"/>
          <w:divBdr>
            <w:top w:val="none" w:sz="0" w:space="0" w:color="auto"/>
            <w:left w:val="none" w:sz="0" w:space="0" w:color="auto"/>
            <w:bottom w:val="none" w:sz="0" w:space="0" w:color="auto"/>
            <w:right w:val="none" w:sz="0" w:space="0" w:color="auto"/>
          </w:divBdr>
          <w:divsChild>
            <w:div w:id="618687009">
              <w:marLeft w:val="0"/>
              <w:marRight w:val="0"/>
              <w:marTop w:val="0"/>
              <w:marBottom w:val="0"/>
              <w:divBdr>
                <w:top w:val="none" w:sz="0" w:space="0" w:color="auto"/>
                <w:left w:val="none" w:sz="0" w:space="0" w:color="auto"/>
                <w:bottom w:val="none" w:sz="0" w:space="0" w:color="auto"/>
                <w:right w:val="none" w:sz="0" w:space="0" w:color="auto"/>
              </w:divBdr>
            </w:div>
          </w:divsChild>
        </w:div>
        <w:div w:id="553851732">
          <w:marLeft w:val="0"/>
          <w:marRight w:val="0"/>
          <w:marTop w:val="0"/>
          <w:marBottom w:val="0"/>
          <w:divBdr>
            <w:top w:val="none" w:sz="0" w:space="0" w:color="auto"/>
            <w:left w:val="none" w:sz="0" w:space="0" w:color="auto"/>
            <w:bottom w:val="none" w:sz="0" w:space="0" w:color="auto"/>
            <w:right w:val="none" w:sz="0" w:space="0" w:color="auto"/>
          </w:divBdr>
          <w:divsChild>
            <w:div w:id="727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7919">
      <w:bodyDiv w:val="1"/>
      <w:marLeft w:val="0"/>
      <w:marRight w:val="0"/>
      <w:marTop w:val="0"/>
      <w:marBottom w:val="0"/>
      <w:divBdr>
        <w:top w:val="none" w:sz="0" w:space="0" w:color="auto"/>
        <w:left w:val="none" w:sz="0" w:space="0" w:color="auto"/>
        <w:bottom w:val="none" w:sz="0" w:space="0" w:color="auto"/>
        <w:right w:val="none" w:sz="0" w:space="0" w:color="auto"/>
      </w:divBdr>
    </w:div>
    <w:div w:id="2005668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ubmed.ncbi.nlm.nih.gov/37958471/" TargetMode="External"/><Relationship Id="rId3" Type="http://schemas.openxmlformats.org/officeDocument/2006/relationships/hyperlink" Target="https://www.sciencedirect.com/science/article/pii/S0959804908001317" TargetMode="External"/><Relationship Id="rId7" Type="http://schemas.openxmlformats.org/officeDocument/2006/relationships/hyperlink" Target="https://pubmed.ncbi.nlm.nih.gov/29253194/" TargetMode="External"/><Relationship Id="rId2" Type="http://schemas.openxmlformats.org/officeDocument/2006/relationships/hyperlink" Target="https://onlinelibrary.wiley.com/doi/full/10.1111/apt.12450" TargetMode="External"/><Relationship Id="rId1" Type="http://schemas.openxmlformats.org/officeDocument/2006/relationships/hyperlink" Target="https://www.nature.com/articles/s41575-020-00381-6" TargetMode="External"/><Relationship Id="rId6" Type="http://schemas.openxmlformats.org/officeDocument/2006/relationships/hyperlink" Target="https://acsjournals.onlinelibrary.wiley.com/doi/full/10.1002/cncr.10236" TargetMode="External"/><Relationship Id="rId11" Type="http://schemas.openxmlformats.org/officeDocument/2006/relationships/hyperlink" Target="https://bmjopengastro.bmj.com/content/3/1/e000107" TargetMode="External"/><Relationship Id="rId5" Type="http://schemas.openxmlformats.org/officeDocument/2006/relationships/hyperlink" Target="https://academic.oup.com/jnci/article/97/20/1532/2521445" TargetMode="External"/><Relationship Id="rId10" Type="http://schemas.openxmlformats.org/officeDocument/2006/relationships/hyperlink" Target="https://pmc.ncbi.nlm.nih.gov/articles/PMC10230112/" TargetMode="External"/><Relationship Id="rId4" Type="http://schemas.openxmlformats.org/officeDocument/2006/relationships/hyperlink" Target="https://pmc.ncbi.nlm.nih.gov/articles/PMC10650854/" TargetMode="External"/><Relationship Id="rId9" Type="http://schemas.openxmlformats.org/officeDocument/2006/relationships/hyperlink" Target="https://pubmed.ncbi.nlm.nih.gov/37958471/"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ubmed.ncbi.nlm.nih.gov/28263954/" TargetMode="External"/><Relationship Id="rId21" Type="http://schemas.openxmlformats.org/officeDocument/2006/relationships/hyperlink" Target="https://journals.lww.com/jcge/fulltext/2018/07000/rate_of_nonsurveillance_and_advanced.17.aspx" TargetMode="External"/><Relationship Id="rId42" Type="http://schemas.openxmlformats.org/officeDocument/2006/relationships/hyperlink" Target="https://pmc.ncbi.nlm.nih.gov/articles/PMC5584479/" TargetMode="External"/><Relationship Id="rId47" Type="http://schemas.openxmlformats.org/officeDocument/2006/relationships/hyperlink" Target="https://www.usinflationcalculator.com/" TargetMode="External"/><Relationship Id="rId63" Type="http://schemas.openxmlformats.org/officeDocument/2006/relationships/hyperlink" Target="https://www.ssa.gov/oact/STATS/table4c6.html" TargetMode="External"/><Relationship Id="rId68" Type="http://schemas.openxmlformats.org/officeDocument/2006/relationships/hyperlink" Target="https://pmc.ncbi.nlm.nih.gov/articles/PMC6279617/" TargetMode="External"/><Relationship Id="rId84" Type="http://schemas.openxmlformats.org/officeDocument/2006/relationships/hyperlink" Target="https://pmc.ncbi.nlm.nih.gov/articles/PMC10699569/" TargetMode="External"/><Relationship Id="rId16" Type="http://schemas.microsoft.com/office/2018/08/relationships/commentsExtensible" Target="commentsExtensible.xml"/><Relationship Id="rId11" Type="http://schemas.openxmlformats.org/officeDocument/2006/relationships/hyperlink" Target="https://pubmed.ncbi.nlm.nih.gov/18822004/" TargetMode="External"/><Relationship Id="rId32" Type="http://schemas.openxmlformats.org/officeDocument/2006/relationships/hyperlink" Target="https://pubmed.ncbi.nlm.nih.gov/33224278/" TargetMode="External"/><Relationship Id="rId37" Type="http://schemas.openxmlformats.org/officeDocument/2006/relationships/hyperlink" Target="https://pubmed.ncbi.nlm.nih.gov/25284590/" TargetMode="External"/><Relationship Id="rId53" Type="http://schemas.openxmlformats.org/officeDocument/2006/relationships/hyperlink" Target="https://acsjournals.onlinelibrary.wiley.com/doi/full/10.1002/cncr.29855" TargetMode="External"/><Relationship Id="rId58" Type="http://schemas.openxmlformats.org/officeDocument/2006/relationships/hyperlink" Target="https://pmc.ncbi.nlm.nih.gov/articles/PMC6279617/" TargetMode="External"/><Relationship Id="rId74" Type="http://schemas.openxmlformats.org/officeDocument/2006/relationships/hyperlink" Target="https://pmc.ncbi.nlm.nih.gov/articles/PMC6279617/" TargetMode="External"/><Relationship Id="rId79" Type="http://schemas.openxmlformats.org/officeDocument/2006/relationships/hyperlink" Target="https://pmc.ncbi.nlm.nih.gov/articles/PMC11548784/" TargetMode="External"/><Relationship Id="rId5" Type="http://schemas.openxmlformats.org/officeDocument/2006/relationships/webSettings" Target="webSettings.xml"/><Relationship Id="rId19" Type="http://schemas.openxmlformats.org/officeDocument/2006/relationships/hyperlink" Target="https://pmc.ncbi.nlm.nih.gov/articles/PMC6279617/" TargetMode="External"/><Relationship Id="rId14" Type="http://schemas.microsoft.com/office/2011/relationships/commentsExtended" Target="commentsExtended.xml"/><Relationship Id="rId22" Type="http://schemas.openxmlformats.org/officeDocument/2006/relationships/hyperlink" Target="https://pmc.ncbi.nlm.nih.gov/articles/PMC10026948/" TargetMode="External"/><Relationship Id="rId27" Type="http://schemas.openxmlformats.org/officeDocument/2006/relationships/hyperlink" Target="https://jamanetwork.com/journals/jamanetworkopen/fullarticle/2784529" TargetMode="External"/><Relationship Id="rId30" Type="http://schemas.openxmlformats.org/officeDocument/2006/relationships/hyperlink" Target="https://pmc.ncbi.nlm.nih.gov/articles/PMC5985555/" TargetMode="External"/><Relationship Id="rId35" Type="http://schemas.openxmlformats.org/officeDocument/2006/relationships/hyperlink" Target="https://pubmed.ncbi.nlm.nih.gov/27521507/" TargetMode="External"/><Relationship Id="rId43" Type="http://schemas.openxmlformats.org/officeDocument/2006/relationships/hyperlink" Target="https://pmc.ncbi.nlm.nih.gov/articles/PMC7541544/" TargetMode="External"/><Relationship Id="rId48" Type="http://schemas.openxmlformats.org/officeDocument/2006/relationships/hyperlink" Target="https://pmc.ncbi.nlm.nih.gov/articles/PMC7541544/" TargetMode="External"/><Relationship Id="rId56" Type="http://schemas.openxmlformats.org/officeDocument/2006/relationships/hyperlink" Target="https://link.springer.com/article/10.1007/s40273-013-0109-7" TargetMode="External"/><Relationship Id="rId64" Type="http://schemas.openxmlformats.org/officeDocument/2006/relationships/hyperlink" Target="https://pubmed.ncbi.nlm.nih.gov/26784271/" TargetMode="External"/><Relationship Id="rId69" Type="http://schemas.openxmlformats.org/officeDocument/2006/relationships/hyperlink" Target="https://journals.lww.com/jcge/fulltext/2024/08000/incidence_of_cirrhosis_and_hepatocellular.13.aspx" TargetMode="External"/><Relationship Id="rId77" Type="http://schemas.openxmlformats.org/officeDocument/2006/relationships/hyperlink" Target="https://diabetesjournals.org/care/article/41/5/929/36592/The-Cost-of-Diabetes-Care-An-Elephant-in-the-Room" TargetMode="External"/><Relationship Id="rId8" Type="http://schemas.openxmlformats.org/officeDocument/2006/relationships/hyperlink" Target="https://pubmed.ncbi.nlm.nih.gov/30344803/" TargetMode="External"/><Relationship Id="rId51" Type="http://schemas.openxmlformats.org/officeDocument/2006/relationships/hyperlink" Target="https://www.sciencedirect.com/science/article/pii/S1542356522010953" TargetMode="External"/><Relationship Id="rId72" Type="http://schemas.openxmlformats.org/officeDocument/2006/relationships/hyperlink" Target="https://journals.lww.com/hep/fulltext/2016/07000/global_epidemiology_of_nonalcoholic_fatty_liver.14.aspx" TargetMode="External"/><Relationship Id="rId80" Type="http://schemas.openxmlformats.org/officeDocument/2006/relationships/hyperlink" Target="https://pmc.ncbi.nlm.nih.gov/articles/PMC11548784/" TargetMode="External"/><Relationship Id="rId85" Type="http://schemas.openxmlformats.org/officeDocument/2006/relationships/hyperlink" Target="https://journals.lww.com/ajg/fulltext/2014/07000/mortality_from_chronic_liver_diseases_in_diabetes.16.aspx" TargetMode="External"/><Relationship Id="rId3" Type="http://schemas.openxmlformats.org/officeDocument/2006/relationships/styles" Target="styles.xml"/><Relationship Id="rId12" Type="http://schemas.openxmlformats.org/officeDocument/2006/relationships/hyperlink" Target="https://pmc.ncbi.nlm.nih.gov/articles/PMC11016479/" TargetMode="External"/><Relationship Id="rId17" Type="http://schemas.openxmlformats.org/officeDocument/2006/relationships/hyperlink" Target="https://pubmed.ncbi.nlm.nih.gov/37395730/" TargetMode="External"/><Relationship Id="rId25" Type="http://schemas.openxmlformats.org/officeDocument/2006/relationships/hyperlink" Target="https://pubmed.ncbi.nlm.nih.gov/35234371/" TargetMode="External"/><Relationship Id="rId33" Type="http://schemas.openxmlformats.org/officeDocument/2006/relationships/hyperlink" Target="https://www.nature.com/articles/s41598-023-43516-w" TargetMode="External"/><Relationship Id="rId38" Type="http://schemas.openxmlformats.org/officeDocument/2006/relationships/hyperlink" Target="https://pubmed.ncbi.nlm.nih.gov/30656831/" TargetMode="External"/><Relationship Id="rId46" Type="http://schemas.openxmlformats.org/officeDocument/2006/relationships/hyperlink" Target="https://pmc.ncbi.nlm.nih.gov/articles/PMC5584479/" TargetMode="External"/><Relationship Id="rId59" Type="http://schemas.openxmlformats.org/officeDocument/2006/relationships/hyperlink" Target="https://pmc.ncbi.nlm.nih.gov/articles/PMC6279617/" TargetMode="External"/><Relationship Id="rId67" Type="http://schemas.openxmlformats.org/officeDocument/2006/relationships/hyperlink" Target="https://pmc.ncbi.nlm.nih.gov/articles/PMC6279617/" TargetMode="External"/><Relationship Id="rId20" Type="http://schemas.openxmlformats.org/officeDocument/2006/relationships/hyperlink" Target="https://journals.lww.com/jcge/fulltext/2018/07000/rate_of_nonsurveillance_and_advanced.17.aspx" TargetMode="External"/><Relationship Id="rId41" Type="http://schemas.openxmlformats.org/officeDocument/2006/relationships/hyperlink" Target="https://karger.com/lic/article/13/6/643/909485/Cost-Effectiveness-of-a-Biomarker-Based-Screening" TargetMode="External"/><Relationship Id="rId54" Type="http://schemas.openxmlformats.org/officeDocument/2006/relationships/hyperlink" Target="https://link.springer.com/article/10.1007/s40273-013-0109-7" TargetMode="External"/><Relationship Id="rId62" Type="http://schemas.openxmlformats.org/officeDocument/2006/relationships/hyperlink" Target="https://journals.lww.com/jcge/fulltext/2024/08000/incidence_of_cirrhosis_and_hepatocellular.13.aspx" TargetMode="External"/><Relationship Id="rId70" Type="http://schemas.openxmlformats.org/officeDocument/2006/relationships/hyperlink" Target="https://journals.lww.com/jcge/fulltext/2024/08000/incidence_of_cirrhosis_and_hepatocellular.13.aspx" TargetMode="External"/><Relationship Id="rId75" Type="http://schemas.openxmlformats.org/officeDocument/2006/relationships/hyperlink" Target="https://journals.lww.com/jcge/fulltext/2024/08000/incidence_of_cirrhosis_and_hepatocellular.13.aspx" TargetMode="External"/><Relationship Id="rId83" Type="http://schemas.openxmlformats.org/officeDocument/2006/relationships/hyperlink" Target="https://journals.lww.com/hep/fulltext/2021/12000/nafld_and_alcohol_associated_liver_disease_will_be.34.asp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ubmed.ncbi.nlm.nih.gov/26784271/" TargetMode="External"/><Relationship Id="rId15" Type="http://schemas.microsoft.com/office/2016/09/relationships/commentsIds" Target="commentsIds.xml"/><Relationship Id="rId23" Type="http://schemas.openxmlformats.org/officeDocument/2006/relationships/hyperlink" Target="https://pubmed.ncbi.nlm.nih.gov/37378630/" TargetMode="External"/><Relationship Id="rId28" Type="http://schemas.openxmlformats.org/officeDocument/2006/relationships/hyperlink" Target="https://pubmed.ncbi.nlm.nih.gov/30805950/" TargetMode="External"/><Relationship Id="rId36" Type="http://schemas.openxmlformats.org/officeDocument/2006/relationships/hyperlink" Target="https://pubmed.ncbi.nlm.nih.gov/30113483/" TargetMode="External"/><Relationship Id="rId49" Type="http://schemas.openxmlformats.org/officeDocument/2006/relationships/hyperlink" Target="https://pmc.ncbi.nlm.nih.gov/articles/PMC7541544/" TargetMode="External"/><Relationship Id="rId57" Type="http://schemas.openxmlformats.org/officeDocument/2006/relationships/hyperlink" Target="https://pubmed.ncbi.nlm.nih.gov/18822004/" TargetMode="External"/><Relationship Id="rId10" Type="http://schemas.openxmlformats.org/officeDocument/2006/relationships/hyperlink" Target="https://pubmed.ncbi.nlm.nih.gov/26784271/" TargetMode="External"/><Relationship Id="rId31" Type="http://schemas.openxmlformats.org/officeDocument/2006/relationships/hyperlink" Target="https://www.nature.com/articles/nrclinonc.2014.122-c3" TargetMode="External"/><Relationship Id="rId44" Type="http://schemas.openxmlformats.org/officeDocument/2006/relationships/hyperlink" Target="https://pmc.ncbi.nlm.nih.gov/articles/PMC7541544/" TargetMode="External"/><Relationship Id="rId52" Type="http://schemas.openxmlformats.org/officeDocument/2006/relationships/hyperlink" Target="https://link.springer.com/article/10.1007/s40273-013-0109-7" TargetMode="External"/><Relationship Id="rId60" Type="http://schemas.openxmlformats.org/officeDocument/2006/relationships/hyperlink" Target="https://pmc.ncbi.nlm.nih.gov/articles/PMC6279617/" TargetMode="External"/><Relationship Id="rId65" Type="http://schemas.openxmlformats.org/officeDocument/2006/relationships/hyperlink" Target="https://pmc.ncbi.nlm.nih.gov/articles/PMC6279617/" TargetMode="External"/><Relationship Id="rId73" Type="http://schemas.openxmlformats.org/officeDocument/2006/relationships/hyperlink" Target="https://pmc.ncbi.nlm.nih.gov/articles/PMC6279617/" TargetMode="External"/><Relationship Id="rId78" Type="http://schemas.openxmlformats.org/officeDocument/2006/relationships/hyperlink" Target="https://pmc.ncbi.nlm.nih.gov/articles/PMC11548784/" TargetMode="External"/><Relationship Id="rId81" Type="http://schemas.openxmlformats.org/officeDocument/2006/relationships/hyperlink" Target="https://journals.lww.com/jcge/fulltext/2024/08000/incidence_of_cirrhosis_and_hepatocellular.13.aspx"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med.ncbi.nlm.nih.gov/22846843/" TargetMode="External"/><Relationship Id="rId13" Type="http://schemas.openxmlformats.org/officeDocument/2006/relationships/comments" Target="comments.xml"/><Relationship Id="rId18" Type="http://schemas.openxmlformats.org/officeDocument/2006/relationships/hyperlink" Target="https://pubmed.ncbi.nlm.nih.gov/38079023/" TargetMode="External"/><Relationship Id="rId39" Type="http://schemas.openxmlformats.org/officeDocument/2006/relationships/hyperlink" Target="https://pubmed.ncbi.nlm.nih.gov/27521507/" TargetMode="External"/><Relationship Id="rId34" Type="http://schemas.openxmlformats.org/officeDocument/2006/relationships/hyperlink" Target="https://pubmed.ncbi.nlm.nih.gov/33224278/" TargetMode="External"/><Relationship Id="rId50" Type="http://schemas.openxmlformats.org/officeDocument/2006/relationships/hyperlink" Target="https://pubmed.ncbi.nlm.nih.gov/37250870/" TargetMode="External"/><Relationship Id="rId55" Type="http://schemas.openxmlformats.org/officeDocument/2006/relationships/hyperlink" Target="https://acsjournals.onlinelibrary.wiley.com/doi/full/10.1002/cncr.29855" TargetMode="External"/><Relationship Id="rId76" Type="http://schemas.openxmlformats.org/officeDocument/2006/relationships/hyperlink" Target="https://journals.lww.com/ajg/fulltext/2014/07000/mortality_from_chronic_liver_diseases_in_diabetes.16.aspx" TargetMode="External"/><Relationship Id="rId7" Type="http://schemas.openxmlformats.org/officeDocument/2006/relationships/hyperlink" Target="https://pubmed.ncbi.nlm.nih.gov/18822004/" TargetMode="External"/><Relationship Id="rId71" Type="http://schemas.openxmlformats.org/officeDocument/2006/relationships/hyperlink" Target="https://www.ssa.gov/oact/STATS/table4c6.html" TargetMode="External"/><Relationship Id="rId2" Type="http://schemas.openxmlformats.org/officeDocument/2006/relationships/numbering" Target="numbering.xml"/><Relationship Id="rId29" Type="http://schemas.openxmlformats.org/officeDocument/2006/relationships/hyperlink" Target="https://pubmed.ncbi.nlm.nih.gov/27521507/" TargetMode="External"/><Relationship Id="rId24" Type="http://schemas.openxmlformats.org/officeDocument/2006/relationships/hyperlink" Target="https://www.cancer.org/cancer/types/liver-cancer/detection-diagnosis-staging/survival-rates.html" TargetMode="External"/><Relationship Id="rId40" Type="http://schemas.openxmlformats.org/officeDocument/2006/relationships/hyperlink" Target="https://pmc.ncbi.nlm.nih.gov/articles/PMC8078581/" TargetMode="External"/><Relationship Id="rId45" Type="http://schemas.openxmlformats.org/officeDocument/2006/relationships/hyperlink" Target="https://pmc.ncbi.nlm.nih.gov/articles/PMC7541544/" TargetMode="External"/><Relationship Id="rId66" Type="http://schemas.openxmlformats.org/officeDocument/2006/relationships/hyperlink" Target="https://pmc.ncbi.nlm.nih.gov/articles/PMC6279617/" TargetMode="External"/><Relationship Id="rId87" Type="http://schemas.microsoft.com/office/2011/relationships/people" Target="people.xml"/><Relationship Id="rId61" Type="http://schemas.openxmlformats.org/officeDocument/2006/relationships/hyperlink" Target="https://pmc.ncbi.nlm.nih.gov/articles/PMC6279617/" TargetMode="External"/><Relationship Id="rId82" Type="http://schemas.openxmlformats.org/officeDocument/2006/relationships/hyperlink" Target="https://diabetesjournals.org/care/article/44/2/519/35494/High-Prevalence-of-Advanced-Liver-Fibr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D5B9A-24DB-411C-A009-CEBD5AA4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3971</Words>
  <Characters>22640</Characters>
  <Application>Microsoft Office Word</Application>
  <DocSecurity>0</DocSecurity>
  <Lines>188</Lines>
  <Paragraphs>53</Paragraphs>
  <ScaleCrop>false</ScaleCrop>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 Kimiko Liu</cp:lastModifiedBy>
  <cp:revision>703</cp:revision>
  <dcterms:created xsi:type="dcterms:W3CDTF">2024-10-30T18:51:00Z</dcterms:created>
  <dcterms:modified xsi:type="dcterms:W3CDTF">2025-03-27T22:03:00Z</dcterms:modified>
</cp:coreProperties>
</file>