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A182" w14:textId="250FFAB4" w:rsidR="0038341E" w:rsidRDefault="003A640B" w:rsidP="59961667">
      <w:pPr>
        <w:rPr>
          <w:b/>
          <w:bCs/>
          <w:highlight w:val="yellow"/>
        </w:rPr>
      </w:pPr>
      <w:r>
        <w:rPr>
          <w:b/>
          <w:bCs/>
        </w:rPr>
        <w:t xml:space="preserve">   </w:t>
      </w:r>
      <w:r w:rsidR="3AA9DB4E" w:rsidRPr="3AA9DB4E">
        <w:rPr>
          <w:b/>
          <w:bCs/>
        </w:rPr>
        <w:t xml:space="preserve">Population Characteristics from </w:t>
      </w:r>
      <w:r w:rsidR="3AA9DB4E" w:rsidRPr="00102FDB">
        <w:rPr>
          <w:b/>
          <w:bCs/>
        </w:rPr>
        <w:t>Truven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06"/>
        <w:gridCol w:w="2965"/>
        <w:gridCol w:w="3099"/>
      </w:tblGrid>
      <w:tr w:rsidR="3AA9DB4E" w14:paraId="229CDA42" w14:textId="77777777" w:rsidTr="1890523D">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54DD8" w14:textId="50BD652A" w:rsidR="3AA9DB4E" w:rsidRDefault="003A640B" w:rsidP="3AA9DB4E">
            <w:r>
              <w:rPr>
                <w:rFonts w:ascii="Calibri" w:eastAsia="Calibri" w:hAnsi="Calibri" w:cs="Calibri"/>
                <w:b/>
                <w:bCs/>
                <w:color w:val="000000" w:themeColor="text1"/>
              </w:rPr>
              <w:t xml:space="preserve">1. </w:t>
            </w:r>
            <w:r w:rsidR="3AA9DB4E" w:rsidRPr="3AA9DB4E">
              <w:rPr>
                <w:rFonts w:ascii="Calibri" w:eastAsia="Calibri" w:hAnsi="Calibri" w:cs="Calibri"/>
                <w:b/>
                <w:bCs/>
                <w:color w:val="000000" w:themeColor="text1"/>
              </w:rPr>
              <w:t>Breakdown of overall MASLD patients (no diagnosis code for cirrhosis at MASLD diagnosis)</w:t>
            </w:r>
          </w:p>
        </w:tc>
      </w:tr>
      <w:tr w:rsidR="3AA9DB4E" w14:paraId="39506099"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9093E" w14:textId="7014DA3A" w:rsidR="3AA9DB4E" w:rsidRDefault="3AA9DB4E" w:rsidP="3AA9DB4E">
            <w:r w:rsidRPr="3AA9DB4E">
              <w:rPr>
                <w:rFonts w:ascii="Calibri" w:eastAsia="Calibri" w:hAnsi="Calibri" w:cs="Calibri"/>
                <w:color w:val="000000" w:themeColor="text1"/>
              </w:rPr>
              <w:t>Overall (N=</w:t>
            </w:r>
            <w:r w:rsidRPr="3AA9DB4E">
              <w:rPr>
                <w:rFonts w:ascii="Calibri" w:eastAsia="Calibri" w:hAnsi="Calibri" w:cs="Calibri"/>
              </w:rPr>
              <w:t xml:space="preserve"> </w:t>
            </w:r>
            <w:r w:rsidRPr="3AA9DB4E">
              <w:rPr>
                <w:rFonts w:ascii="Calibri" w:eastAsia="Calibri" w:hAnsi="Calibri" w:cs="Calibri"/>
                <w:color w:val="000000" w:themeColor="text1"/>
              </w:rPr>
              <w:t xml:space="preserve">859970)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74F88AC8" w14:textId="04948178" w:rsidR="3AA9DB4E" w:rsidRDefault="3AA9DB4E" w:rsidP="3AA9DB4E">
            <w:r w:rsidRPr="3AA9DB4E">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645337CA" w14:textId="3D4DEFEF" w:rsidR="3AA9DB4E" w:rsidRDefault="3AA9DB4E" w:rsidP="3AA9DB4E">
            <w:r w:rsidRPr="3AA9DB4E">
              <w:rPr>
                <w:rFonts w:ascii="Calibri" w:eastAsia="Calibri" w:hAnsi="Calibri" w:cs="Calibri"/>
                <w:color w:val="000000" w:themeColor="text1"/>
              </w:rPr>
              <w:t xml:space="preserve">Female  </w:t>
            </w:r>
          </w:p>
        </w:tc>
      </w:tr>
      <w:tr w:rsidR="3AA9DB4E" w14:paraId="4B8FE6A0"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5FA625B" w14:textId="43C346C4" w:rsidR="3AA9DB4E" w:rsidRDefault="3AA9DB4E" w:rsidP="3AA9DB4E">
            <w:r w:rsidRPr="3AA9DB4E">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F5230" w14:textId="2C79742C" w:rsidR="3AA9DB4E" w:rsidRDefault="3AA9DB4E" w:rsidP="3AA9DB4E">
            <w:r w:rsidRPr="3AA9DB4E">
              <w:rPr>
                <w:rFonts w:ascii="Calibri" w:eastAsia="Calibri" w:hAnsi="Calibri" w:cs="Calibri"/>
                <w:color w:val="000000" w:themeColor="text1"/>
              </w:rPr>
              <w:t xml:space="preserve">187674 (21.8%)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C4F33" w14:textId="77CC3835" w:rsidR="3AA9DB4E" w:rsidRDefault="3AA9DB4E" w:rsidP="3AA9DB4E">
            <w:r w:rsidRPr="3AA9DB4E">
              <w:rPr>
                <w:rFonts w:ascii="Calibri" w:eastAsia="Calibri" w:hAnsi="Calibri" w:cs="Calibri"/>
                <w:color w:val="000000" w:themeColor="text1"/>
              </w:rPr>
              <w:t xml:space="preserve">179391 (20.9%)  </w:t>
            </w:r>
          </w:p>
        </w:tc>
      </w:tr>
      <w:tr w:rsidR="3AA9DB4E" w14:paraId="139D05C3"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93C6920" w14:textId="54A4EC07" w:rsidR="3AA9DB4E" w:rsidRDefault="3AA9DB4E" w:rsidP="3AA9DB4E">
            <w:r w:rsidRPr="3AA9DB4E">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920E0" w14:textId="51CFF898" w:rsidR="3AA9DB4E" w:rsidRDefault="3AA9DB4E" w:rsidP="3AA9DB4E">
            <w:r w:rsidRPr="3AA9DB4E">
              <w:rPr>
                <w:rFonts w:ascii="Calibri" w:eastAsia="Calibri" w:hAnsi="Calibri" w:cs="Calibri"/>
                <w:color w:val="000000" w:themeColor="text1"/>
              </w:rPr>
              <w:t xml:space="preserve">222642 (25.9%)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92259" w14:textId="2D70CCA8" w:rsidR="3AA9DB4E" w:rsidRDefault="3AA9DB4E" w:rsidP="3AA9DB4E">
            <w:r w:rsidRPr="3AA9DB4E">
              <w:rPr>
                <w:rFonts w:ascii="Calibri" w:eastAsia="Calibri" w:hAnsi="Calibri" w:cs="Calibri"/>
                <w:color w:val="000000" w:themeColor="text1"/>
              </w:rPr>
              <w:t xml:space="preserve">270263 (31.4%)  </w:t>
            </w:r>
          </w:p>
        </w:tc>
      </w:tr>
      <w:tr w:rsidR="3AA9DB4E" w14:paraId="48E9BF22" w14:textId="77777777" w:rsidTr="1890523D">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EC64E" w14:textId="5EC7CC39" w:rsidR="3AA9DB4E" w:rsidRDefault="003A640B" w:rsidP="3AA9DB4E">
            <w:commentRangeStart w:id="0"/>
            <w:commentRangeStart w:id="1"/>
            <w:r>
              <w:rPr>
                <w:rFonts w:ascii="Calibri" w:eastAsia="Calibri" w:hAnsi="Calibri" w:cs="Calibri"/>
                <w:b/>
                <w:bCs/>
                <w:color w:val="000000" w:themeColor="text1"/>
              </w:rPr>
              <w:t>2.</w:t>
            </w:r>
            <w:r w:rsidR="3AA9DB4E" w:rsidRPr="3AA9DB4E">
              <w:rPr>
                <w:rFonts w:ascii="Calibri" w:eastAsia="Calibri" w:hAnsi="Calibri" w:cs="Calibri"/>
                <w:b/>
                <w:bCs/>
                <w:color w:val="000000" w:themeColor="text1"/>
              </w:rPr>
              <w:t xml:space="preserve"> Breakdown of patients who were diagnosed with cirrhosis before HCC</w:t>
            </w:r>
          </w:p>
          <w:p w14:paraId="277CFD17" w14:textId="7FE86E52" w:rsidR="3AA9DB4E" w:rsidRDefault="3AA9DB4E" w:rsidP="3AA9DB4E">
            <w:r w:rsidRPr="3AA9DB4E">
              <w:rPr>
                <w:rFonts w:ascii="Calibri" w:eastAsia="Calibri" w:hAnsi="Calibri" w:cs="Calibri"/>
                <w:color w:val="000000" w:themeColor="text1"/>
              </w:rPr>
              <w:t xml:space="preserve"> (These patients will be censored.)</w:t>
            </w:r>
            <w:commentRangeEnd w:id="0"/>
            <w:r w:rsidR="00A636DF">
              <w:rPr>
                <w:rStyle w:val="CommentReference"/>
              </w:rPr>
              <w:commentReference w:id="0"/>
            </w:r>
            <w:commentRangeEnd w:id="1"/>
            <w:r w:rsidR="00D22E1B">
              <w:rPr>
                <w:rStyle w:val="CommentReference"/>
              </w:rPr>
              <w:commentReference w:id="1"/>
            </w:r>
          </w:p>
        </w:tc>
      </w:tr>
      <w:tr w:rsidR="3AA9DB4E" w14:paraId="086638A7" w14:textId="77777777" w:rsidTr="1890523D">
        <w:trPr>
          <w:trHeight w:val="31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A7D9C" w14:textId="770B75EE" w:rsidR="3AA9DB4E" w:rsidRPr="00DF0810" w:rsidRDefault="3AA9DB4E" w:rsidP="3AA9DB4E">
            <w:r w:rsidRPr="00DF0810">
              <w:rPr>
                <w:rFonts w:ascii="Calibri" w:eastAsia="Calibri" w:hAnsi="Calibri" w:cs="Calibri"/>
                <w:color w:val="000000" w:themeColor="text1"/>
              </w:rPr>
              <w:t>Diagnosed cirrhosis (N</w:t>
            </w:r>
            <w:r w:rsidR="005C3F34" w:rsidRPr="00DF0810">
              <w:rPr>
                <w:rFonts w:ascii="Calibri" w:eastAsia="Calibri" w:hAnsi="Calibri" w:cs="Calibri"/>
                <w:color w:val="000000" w:themeColor="text1"/>
              </w:rPr>
              <w:t xml:space="preserve"> </w:t>
            </w:r>
            <w:r w:rsidRPr="00DF0810">
              <w:rPr>
                <w:rFonts w:ascii="Calibri" w:eastAsia="Calibri" w:hAnsi="Calibri" w:cs="Calibri"/>
                <w:color w:val="000000" w:themeColor="text1"/>
              </w:rPr>
              <w:t>=</w:t>
            </w:r>
            <w:r w:rsidR="005C3F34" w:rsidRPr="00DF0810">
              <w:rPr>
                <w:rFonts w:ascii="Calibri" w:eastAsia="Calibri" w:hAnsi="Calibri" w:cs="Calibri"/>
                <w:color w:val="000000" w:themeColor="text1"/>
              </w:rPr>
              <w:t xml:space="preserve"> 993</w:t>
            </w:r>
            <w:r w:rsidRPr="00DF0810">
              <w:rPr>
                <w:rFonts w:ascii="Calibri" w:eastAsia="Calibri" w:hAnsi="Calibri" w:cs="Calibri"/>
                <w:color w:val="000000" w:themeColor="text1"/>
              </w:rPr>
              <w:t>)</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14E804F3" w14:textId="486EF0C2"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0F9E0A04" w14:textId="6738A706" w:rsidR="3AA9DB4E" w:rsidRPr="00DF0810" w:rsidRDefault="3AA9DB4E" w:rsidP="3AA9DB4E">
            <w:r w:rsidRPr="00DF0810">
              <w:rPr>
                <w:rFonts w:ascii="Calibri" w:eastAsia="Calibri" w:hAnsi="Calibri" w:cs="Calibri"/>
                <w:color w:val="000000" w:themeColor="text1"/>
              </w:rPr>
              <w:t xml:space="preserve">Female  </w:t>
            </w:r>
          </w:p>
        </w:tc>
      </w:tr>
      <w:tr w:rsidR="3AA9DB4E" w14:paraId="39726FF4" w14:textId="77777777" w:rsidTr="1890523D">
        <w:trPr>
          <w:trHeight w:val="36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6E47B9" w14:textId="0035E732"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6B925" w14:textId="19FAFA5F" w:rsidR="3AA9DB4E" w:rsidRPr="00DF0810" w:rsidRDefault="00F22EED" w:rsidP="3AA9DB4E">
            <w:r w:rsidRPr="00DF0810">
              <w:rPr>
                <w:rFonts w:ascii="Calibri" w:eastAsia="Calibri" w:hAnsi="Calibri" w:cs="Calibri"/>
                <w:color w:val="000000" w:themeColor="text1"/>
              </w:rPr>
              <w:t>69</w:t>
            </w:r>
            <w:r w:rsidR="00C21382" w:rsidRPr="00DF0810">
              <w:rPr>
                <w:rFonts w:ascii="Calibri" w:eastAsia="Calibri" w:hAnsi="Calibri" w:cs="Calibri"/>
                <w:color w:val="000000" w:themeColor="text1"/>
              </w:rPr>
              <w:t xml:space="preserve"> (6.9%)</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F6022" w14:textId="38086AB2"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41</w:t>
            </w:r>
            <w:r w:rsidRPr="00DF0810">
              <w:rPr>
                <w:rFonts w:ascii="Calibri" w:eastAsia="Calibri" w:hAnsi="Calibri" w:cs="Calibri"/>
                <w:color w:val="000000" w:themeColor="text1"/>
              </w:rPr>
              <w:t xml:space="preserve"> </w:t>
            </w:r>
            <w:r w:rsidR="009E4137" w:rsidRPr="00DF0810">
              <w:rPr>
                <w:rFonts w:ascii="Calibri" w:eastAsia="Calibri" w:hAnsi="Calibri" w:cs="Calibri"/>
                <w:color w:val="000000" w:themeColor="text1"/>
              </w:rPr>
              <w:t>(4.1%)</w:t>
            </w:r>
          </w:p>
        </w:tc>
      </w:tr>
      <w:tr w:rsidR="3AA9DB4E" w14:paraId="7C2C119A"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17D0D5A" w14:textId="1F82B0BC"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38565" w14:textId="5DCE29EA" w:rsidR="3AA9DB4E" w:rsidRPr="00DF0810" w:rsidRDefault="00F22EED" w:rsidP="3AA9DB4E">
            <w:r w:rsidRPr="00DF0810">
              <w:rPr>
                <w:rFonts w:ascii="Calibri" w:eastAsia="Calibri" w:hAnsi="Calibri" w:cs="Calibri"/>
                <w:color w:val="000000" w:themeColor="text1"/>
              </w:rPr>
              <w:t>587</w:t>
            </w:r>
            <w:r w:rsidR="00491F3E" w:rsidRPr="00DF0810">
              <w:rPr>
                <w:rFonts w:ascii="Calibri" w:eastAsia="Calibri" w:hAnsi="Calibri" w:cs="Calibri"/>
                <w:color w:val="000000" w:themeColor="text1"/>
              </w:rPr>
              <w:t xml:space="preserve"> (59.1%)</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6446D8" w14:textId="5D2A4804"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236</w:t>
            </w:r>
            <w:r w:rsidR="00CB3DA9" w:rsidRPr="00DF0810">
              <w:rPr>
                <w:rFonts w:ascii="Calibri" w:eastAsia="Calibri" w:hAnsi="Calibri" w:cs="Calibri"/>
                <w:color w:val="000000" w:themeColor="text1"/>
              </w:rPr>
              <w:t xml:space="preserve"> (23.8%)</w:t>
            </w:r>
          </w:p>
        </w:tc>
      </w:tr>
      <w:tr w:rsidR="3AA9DB4E" w14:paraId="38FD5EFB" w14:textId="77777777" w:rsidTr="1890523D">
        <w:trPr>
          <w:trHeight w:val="345"/>
        </w:trPr>
        <w:tc>
          <w:tcPr>
            <w:tcW w:w="9270" w:type="dxa"/>
            <w:gridSpan w:val="3"/>
            <w:tcBorders>
              <w:top w:val="single" w:sz="8" w:space="0" w:color="000000" w:themeColor="text1"/>
              <w:left w:val="single" w:sz="8" w:space="0" w:color="000000" w:themeColor="text1"/>
              <w:bottom w:val="single" w:sz="8" w:space="0" w:color="000000" w:themeColor="text1"/>
            </w:tcBorders>
            <w:shd w:val="clear" w:color="auto" w:fill="FFFFFF" w:themeFill="background1"/>
          </w:tcPr>
          <w:p w14:paraId="3DC89486" w14:textId="4DD1C75F" w:rsidR="003A640B" w:rsidRPr="72461836" w:rsidRDefault="003A640B" w:rsidP="72461836">
            <w:pPr>
              <w:rPr>
                <w:rFonts w:ascii="Calibri" w:eastAsia="Calibri" w:hAnsi="Calibri" w:cs="Calibri"/>
                <w:b/>
                <w:bCs/>
                <w:color w:val="000000" w:themeColor="text1"/>
              </w:rPr>
            </w:pPr>
            <w:r w:rsidRPr="72461836">
              <w:rPr>
                <w:rFonts w:ascii="Calibri" w:eastAsia="Calibri" w:hAnsi="Calibri" w:cs="Calibri"/>
                <w:b/>
                <w:bCs/>
                <w:color w:val="000000" w:themeColor="text1"/>
              </w:rPr>
              <w:t xml:space="preserve">3. </w:t>
            </w:r>
            <w:commentRangeStart w:id="2"/>
            <w:commentRangeStart w:id="3"/>
            <w:proofErr w:type="gramStart"/>
            <w:r w:rsidR="3AA9DB4E" w:rsidRPr="72461836">
              <w:rPr>
                <w:rFonts w:ascii="Calibri" w:eastAsia="Calibri" w:hAnsi="Calibri" w:cs="Calibri"/>
                <w:b/>
                <w:bCs/>
                <w:color w:val="000000" w:themeColor="text1"/>
              </w:rPr>
              <w:t>N(</w:t>
            </w:r>
            <w:proofErr w:type="gramEnd"/>
            <w:r w:rsidR="3AA9DB4E" w:rsidRPr="72461836">
              <w:rPr>
                <w:rFonts w:ascii="Calibri" w:eastAsia="Calibri" w:hAnsi="Calibri" w:cs="Calibri"/>
                <w:b/>
                <w:bCs/>
                <w:color w:val="000000" w:themeColor="text1"/>
              </w:rPr>
              <w:t>%) of patients with undiagnosed cirrhosis</w:t>
            </w:r>
            <w:commentRangeEnd w:id="2"/>
            <w:r>
              <w:rPr>
                <w:rStyle w:val="CommentReference"/>
              </w:rPr>
              <w:commentReference w:id="2"/>
            </w:r>
            <w:commentRangeEnd w:id="3"/>
            <w:r>
              <w:rPr>
                <w:rStyle w:val="CommentReference"/>
              </w:rPr>
              <w:commentReference w:id="3"/>
            </w:r>
            <w:r w:rsidR="3AA9DB4E" w:rsidRPr="72461836">
              <w:rPr>
                <w:rFonts w:ascii="Calibri" w:eastAsia="Calibri" w:hAnsi="Calibri" w:cs="Calibri"/>
                <w:b/>
                <w:bCs/>
                <w:color w:val="000000" w:themeColor="text1"/>
              </w:rPr>
              <w:t xml:space="preserve"> </w:t>
            </w:r>
            <w:r w:rsidR="0AE3949F" w:rsidRPr="72461836">
              <w:rPr>
                <w:rFonts w:ascii="Calibri" w:eastAsia="Calibri" w:hAnsi="Calibri" w:cs="Calibri"/>
                <w:color w:val="000000" w:themeColor="text1"/>
              </w:rPr>
              <w:t>(</w:t>
            </w:r>
            <w:r w:rsidR="3AA9DB4E" w:rsidRPr="72461836">
              <w:rPr>
                <w:rFonts w:ascii="Calibri" w:eastAsia="Calibri" w:hAnsi="Calibri" w:cs="Calibri"/>
                <w:color w:val="000000" w:themeColor="text1"/>
              </w:rPr>
              <w:t>PLT&lt;140 or FIB-4&gt;=2.67 w/o cirrhosis diagnosis</w:t>
            </w:r>
            <w:r w:rsidR="1F109294" w:rsidRPr="72461836">
              <w:rPr>
                <w:rFonts w:ascii="Calibri" w:eastAsia="Calibri" w:hAnsi="Calibri" w:cs="Calibri"/>
                <w:color w:val="000000" w:themeColor="text1"/>
              </w:rPr>
              <w:t>)</w:t>
            </w:r>
            <w:r w:rsidR="6199548F" w:rsidRPr="72461836">
              <w:rPr>
                <w:rFonts w:ascii="Calibri" w:eastAsia="Calibri" w:hAnsi="Calibri" w:cs="Calibri"/>
                <w:color w:val="000000" w:themeColor="text1"/>
              </w:rPr>
              <w:t xml:space="preserve">. </w:t>
            </w:r>
            <w:r w:rsidR="6199548F" w:rsidRPr="72461836">
              <w:rPr>
                <w:rFonts w:ascii="Calibri" w:eastAsia="Calibri" w:hAnsi="Calibri" w:cs="Calibri"/>
              </w:rPr>
              <w:t>Denominator is % out of our final MASLD cohort who have PLT/FIB-4 dat</w:t>
            </w:r>
            <w:r w:rsidR="41732F93" w:rsidRPr="72461836">
              <w:rPr>
                <w:rFonts w:ascii="Calibri" w:eastAsia="Calibri" w:hAnsi="Calibri" w:cs="Calibri"/>
              </w:rPr>
              <w:t xml:space="preserve">a. </w:t>
            </w:r>
          </w:p>
        </w:tc>
      </w:tr>
      <w:tr w:rsidR="72461836" w14:paraId="64939D81" w14:textId="77777777" w:rsidTr="1890523D">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317F475F" w14:textId="2B9575E3" w:rsidR="6199548F" w:rsidRDefault="6199548F" w:rsidP="72461836">
            <w:pPr>
              <w:spacing w:line="257" w:lineRule="auto"/>
              <w:rPr>
                <w:rFonts w:ascii="Calibri" w:eastAsia="Calibri" w:hAnsi="Calibri" w:cs="Calibri"/>
                <w:color w:val="000000" w:themeColor="text1"/>
              </w:rPr>
            </w:pPr>
            <w:r w:rsidRPr="72461836">
              <w:rPr>
                <w:rFonts w:ascii="Calibri" w:eastAsia="Calibri" w:hAnsi="Calibri" w:cs="Calibri"/>
                <w:color w:val="000000" w:themeColor="text1"/>
              </w:rPr>
              <w:t>Out of overall final MASLD cohort</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2C691" w14:textId="5D59FCF7" w:rsidR="6199548F" w:rsidRDefault="1890523D" w:rsidP="1890523D">
            <w:pPr>
              <w:jc w:val="center"/>
              <w:rPr>
                <w:rFonts w:ascii="Calibri" w:eastAsia="Calibri" w:hAnsi="Calibri" w:cs="Calibri"/>
                <w:color w:val="FF0000"/>
              </w:rPr>
            </w:pPr>
            <w:r w:rsidRPr="1890523D">
              <w:rPr>
                <w:rFonts w:ascii="Calibri" w:eastAsia="Calibri" w:hAnsi="Calibri" w:cs="Calibri"/>
                <w:color w:val="000000" w:themeColor="text1"/>
              </w:rPr>
              <w:t>2,236/40,630 (5.5%)</w:t>
            </w:r>
          </w:p>
          <w:p w14:paraId="46A08DB9" w14:textId="21B97544" w:rsidR="6199548F" w:rsidRDefault="1890523D" w:rsidP="1890523D">
            <w:pPr>
              <w:jc w:val="center"/>
              <w:rPr>
                <w:rFonts w:ascii="Calibri" w:eastAsia="Calibri" w:hAnsi="Calibri" w:cs="Calibri"/>
                <w:color w:val="000000" w:themeColor="text1"/>
              </w:rPr>
            </w:pPr>
            <w:commentRangeStart w:id="4"/>
            <w:r w:rsidRPr="1890523D">
              <w:rPr>
                <w:rFonts w:ascii="Calibri" w:eastAsia="Calibri" w:hAnsi="Calibri" w:cs="Calibri"/>
                <w:b/>
                <w:bCs/>
                <w:color w:val="000000" w:themeColor="text1"/>
              </w:rPr>
              <w:t>From literature: 19%-50% --&gt; ~35%</w:t>
            </w:r>
            <w:commentRangeEnd w:id="4"/>
            <w:r w:rsidR="6199548F">
              <w:rPr>
                <w:rStyle w:val="CommentReference"/>
              </w:rPr>
              <w:commentReference w:id="4"/>
            </w:r>
          </w:p>
        </w:tc>
      </w:tr>
      <w:tr w:rsidR="72461836" w14:paraId="536264CA" w14:textId="77777777" w:rsidTr="1890523D">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31ADD6D5" w14:textId="6AB8B301" w:rsidR="6199548F" w:rsidRDefault="6199548F" w:rsidP="72461836">
            <w:pPr>
              <w:spacing w:line="257" w:lineRule="auto"/>
              <w:rPr>
                <w:rFonts w:ascii="Calibri" w:eastAsia="Calibri" w:hAnsi="Calibri" w:cs="Calibri"/>
                <w:b/>
                <w:bCs/>
                <w:color w:val="000000" w:themeColor="text1"/>
              </w:rPr>
            </w:pPr>
            <w:r w:rsidRPr="72461836">
              <w:rPr>
                <w:rFonts w:ascii="Calibri" w:eastAsia="Calibri" w:hAnsi="Calibri" w:cs="Calibri"/>
                <w:color w:val="000000" w:themeColor="text1"/>
              </w:rPr>
              <w:t>Subgroup of male aged &gt;=50</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78A0C" w14:textId="291F95BF" w:rsidR="6199548F" w:rsidRDefault="1890523D" w:rsidP="1890523D">
            <w:pPr>
              <w:jc w:val="center"/>
              <w:rPr>
                <w:rFonts w:ascii="Calibri" w:eastAsia="Calibri" w:hAnsi="Calibri" w:cs="Calibri"/>
              </w:rPr>
            </w:pPr>
            <w:r w:rsidRPr="1890523D">
              <w:rPr>
                <w:rFonts w:ascii="Calibri" w:eastAsia="Calibri" w:hAnsi="Calibri" w:cs="Calibri"/>
              </w:rPr>
              <w:t>663/14738 (4.5%)</w:t>
            </w:r>
          </w:p>
          <w:p w14:paraId="7DDB624C" w14:textId="364A6804" w:rsidR="6199548F" w:rsidRDefault="1890523D" w:rsidP="1890523D">
            <w:pPr>
              <w:jc w:val="center"/>
              <w:rPr>
                <w:rFonts w:ascii="Calibri" w:eastAsia="Calibri" w:hAnsi="Calibri" w:cs="Calibri"/>
                <w:b/>
                <w:bCs/>
                <w:highlight w:val="yellow"/>
              </w:rPr>
            </w:pPr>
            <w:commentRangeStart w:id="5"/>
            <w:r w:rsidRPr="1890523D">
              <w:rPr>
                <w:rFonts w:ascii="Calibri" w:eastAsia="Calibri" w:hAnsi="Calibri" w:cs="Calibri"/>
                <w:b/>
                <w:bCs/>
                <w:highlight w:val="yellow"/>
              </w:rPr>
              <w:t>From literature: 40% among patients aged &gt;65 (Walker 2017)</w:t>
            </w:r>
            <w:commentRangeEnd w:id="5"/>
            <w:r w:rsidR="4482F7D4">
              <w:rPr>
                <w:rStyle w:val="CommentReference"/>
              </w:rPr>
              <w:commentReference w:id="5"/>
            </w:r>
          </w:p>
        </w:tc>
      </w:tr>
      <w:tr w:rsidR="3AA9DB4E" w14:paraId="6BC99B5E" w14:textId="77777777" w:rsidTr="1890523D">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B6584" w14:textId="0B61CFEB" w:rsidR="3AA9DB4E" w:rsidRPr="00DF0810" w:rsidRDefault="003A640B" w:rsidP="3AA9DB4E">
            <w:r w:rsidRPr="00DF0810">
              <w:rPr>
                <w:rFonts w:ascii="Calibri" w:eastAsia="Calibri" w:hAnsi="Calibri" w:cs="Calibri"/>
                <w:b/>
                <w:bCs/>
                <w:color w:val="000000" w:themeColor="text1"/>
              </w:rPr>
              <w:t>4.</w:t>
            </w:r>
            <w:r w:rsidR="3AA9DB4E" w:rsidRPr="00DF0810">
              <w:rPr>
                <w:rFonts w:ascii="Calibri" w:eastAsia="Calibri" w:hAnsi="Calibri" w:cs="Calibri"/>
                <w:color w:val="000000" w:themeColor="text1"/>
              </w:rPr>
              <w:t xml:space="preserve"> </w:t>
            </w:r>
            <w:r w:rsidR="3AA9DB4E" w:rsidRPr="00DF0810">
              <w:rPr>
                <w:rFonts w:ascii="Calibri" w:eastAsia="Calibri" w:hAnsi="Calibri" w:cs="Calibri"/>
                <w:b/>
                <w:bCs/>
                <w:color w:val="000000" w:themeColor="text1"/>
              </w:rPr>
              <w:t>Breakdown of patients who develop HCC (exclude pts who get diagnosed with cirrhosis before HCC)</w:t>
            </w:r>
          </w:p>
        </w:tc>
      </w:tr>
      <w:tr w:rsidR="3AA9DB4E" w14:paraId="77EEC249"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1E455" w14:textId="68F8228B" w:rsidR="3AA9DB4E" w:rsidRPr="00DF0810" w:rsidRDefault="3AA9DB4E" w:rsidP="3AA9DB4E">
            <w:r w:rsidRPr="00DF0810">
              <w:rPr>
                <w:rFonts w:ascii="Calibri" w:eastAsia="Calibri" w:hAnsi="Calibri" w:cs="Calibri"/>
                <w:color w:val="000000" w:themeColor="text1"/>
              </w:rPr>
              <w:t>HCC (N=</w:t>
            </w:r>
            <w:r w:rsidR="00F46937" w:rsidRPr="00DF0810">
              <w:rPr>
                <w:rFonts w:ascii="Calibri" w:eastAsia="Calibri" w:hAnsi="Calibri" w:cs="Calibri"/>
                <w:color w:val="000000" w:themeColor="text1"/>
              </w:rPr>
              <w:t>804</w:t>
            </w:r>
            <w:r w:rsidRPr="00DF0810">
              <w:rPr>
                <w:rFonts w:ascii="Calibri" w:eastAsia="Calibri" w:hAnsi="Calibri" w:cs="Calibri"/>
                <w:color w:val="000000" w:themeColor="text1"/>
              </w:rPr>
              <w:t xml:space="preserve">)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234E21AD" w14:textId="26DDB96E"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316849B3" w14:textId="5ABFCEE8" w:rsidR="3AA9DB4E" w:rsidRPr="00DF0810" w:rsidRDefault="3AA9DB4E" w:rsidP="3AA9DB4E">
            <w:r w:rsidRPr="00DF0810">
              <w:rPr>
                <w:rFonts w:ascii="Calibri" w:eastAsia="Calibri" w:hAnsi="Calibri" w:cs="Calibri"/>
                <w:color w:val="000000" w:themeColor="text1"/>
              </w:rPr>
              <w:t xml:space="preserve">Female  </w:t>
            </w:r>
          </w:p>
        </w:tc>
      </w:tr>
      <w:tr w:rsidR="3AA9DB4E" w14:paraId="1403F111"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073EAF" w14:textId="2FA8C02A"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8EE85" w14:textId="1D070533"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67 (8.3%)</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0AA2C" w14:textId="5DA1001A" w:rsidR="3AA9DB4E" w:rsidRPr="00DF0810" w:rsidRDefault="3AA9DB4E" w:rsidP="3AA9DB4E">
            <w:r w:rsidRPr="00DF0810">
              <w:rPr>
                <w:rFonts w:ascii="Calibri" w:eastAsia="Calibri" w:hAnsi="Calibri" w:cs="Calibri"/>
                <w:color w:val="000000" w:themeColor="text1"/>
              </w:rPr>
              <w:t xml:space="preserve">  </w:t>
            </w:r>
            <w:commentRangeStart w:id="6"/>
            <w:r w:rsidR="00F46937" w:rsidRPr="00DF0810">
              <w:rPr>
                <w:rFonts w:ascii="Calibri" w:eastAsia="Calibri" w:hAnsi="Calibri" w:cs="Calibri"/>
                <w:color w:val="000000" w:themeColor="text1"/>
              </w:rPr>
              <w:t>69 (8.6%)</w:t>
            </w:r>
            <w:commentRangeEnd w:id="6"/>
            <w:r w:rsidR="00BE44E6">
              <w:rPr>
                <w:rStyle w:val="CommentReference"/>
              </w:rPr>
              <w:commentReference w:id="6"/>
            </w:r>
          </w:p>
        </w:tc>
      </w:tr>
      <w:tr w:rsidR="3AA9DB4E" w14:paraId="5AAD7E72"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49CD3903" w14:textId="6167385E"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19BBD" w14:textId="68311931"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442 (55.0%)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B50BC" w14:textId="2A69EE26"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226</w:t>
            </w:r>
            <w:r w:rsidR="008D0323" w:rsidRPr="00DF0810">
              <w:rPr>
                <w:rFonts w:ascii="Calibri" w:eastAsia="Calibri" w:hAnsi="Calibri" w:cs="Calibri"/>
                <w:color w:val="000000" w:themeColor="text1"/>
              </w:rPr>
              <w:t xml:space="preserve"> (28.1%)</w:t>
            </w:r>
          </w:p>
        </w:tc>
      </w:tr>
      <w:tr w:rsidR="3AA9DB4E" w14:paraId="3672F5F2" w14:textId="77777777" w:rsidTr="1890523D">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3C1947" w14:textId="1F798352" w:rsidR="3AA9DB4E" w:rsidRDefault="1890523D" w:rsidP="3AA9DB4E">
            <w:pPr>
              <w:rPr>
                <w:rFonts w:ascii="Calibri" w:eastAsia="Calibri" w:hAnsi="Calibri" w:cs="Calibri"/>
                <w:color w:val="FF0000"/>
              </w:rPr>
            </w:pPr>
            <w:r w:rsidRPr="1890523D">
              <w:rPr>
                <w:rFonts w:ascii="Calibri" w:eastAsia="Calibri" w:hAnsi="Calibri" w:cs="Calibri"/>
                <w:b/>
                <w:bCs/>
                <w:color w:val="000000" w:themeColor="text1"/>
              </w:rPr>
              <w:t>5.</w:t>
            </w:r>
            <w:r w:rsidRPr="1890523D">
              <w:rPr>
                <w:rFonts w:ascii="Calibri" w:eastAsia="Calibri" w:hAnsi="Calibri" w:cs="Calibri"/>
                <w:color w:val="000000" w:themeColor="text1"/>
              </w:rPr>
              <w:t xml:space="preserve"> </w:t>
            </w:r>
            <w:commentRangeStart w:id="7"/>
            <w:commentRangeStart w:id="8"/>
            <w:commentRangeStart w:id="9"/>
            <w:r w:rsidRPr="1890523D">
              <w:rPr>
                <w:rFonts w:ascii="Calibri" w:eastAsia="Calibri" w:hAnsi="Calibri" w:cs="Calibri"/>
                <w:b/>
                <w:bCs/>
                <w:color w:val="000000" w:themeColor="text1"/>
              </w:rPr>
              <w:t xml:space="preserve">Breakdown of HCC patients who die (exclude pts who get diagnosed with cirrhosis before HCC) </w:t>
            </w:r>
            <w:r w:rsidRPr="1890523D">
              <w:rPr>
                <w:rFonts w:ascii="Calibri" w:eastAsia="Calibri" w:hAnsi="Calibri" w:cs="Calibri"/>
                <w:color w:val="FF0000"/>
              </w:rPr>
              <w:t xml:space="preserve">-- Hold off on weighing transition rate from HCC to death by sex and age. See comment. </w:t>
            </w:r>
            <w:commentRangeEnd w:id="7"/>
            <w:r w:rsidR="003A640B">
              <w:rPr>
                <w:rStyle w:val="CommentReference"/>
              </w:rPr>
              <w:commentReference w:id="7"/>
            </w:r>
            <w:commentRangeEnd w:id="8"/>
            <w:r w:rsidR="003A640B">
              <w:rPr>
                <w:rStyle w:val="CommentReference"/>
              </w:rPr>
              <w:commentReference w:id="8"/>
            </w:r>
            <w:commentRangeEnd w:id="9"/>
            <w:r w:rsidR="003A640B">
              <w:rPr>
                <w:rStyle w:val="CommentReference"/>
              </w:rPr>
              <w:commentReference w:id="9"/>
            </w:r>
          </w:p>
        </w:tc>
      </w:tr>
      <w:tr w:rsidR="3AA9DB4E" w14:paraId="6901DA0B"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1AEB3" w14:textId="50E7B1F0" w:rsidR="3AA9DB4E" w:rsidRPr="00DF0810" w:rsidRDefault="3AA9DB4E" w:rsidP="3AA9DB4E">
            <w:r w:rsidRPr="00DF0810">
              <w:rPr>
                <w:rFonts w:ascii="Calibri" w:eastAsia="Calibri" w:hAnsi="Calibri" w:cs="Calibri"/>
                <w:color w:val="000000" w:themeColor="text1"/>
              </w:rPr>
              <w:t xml:space="preserve">Death (N=)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63629536" w14:textId="0EEF380E"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2610BD04" w14:textId="53FF7C64" w:rsidR="3AA9DB4E" w:rsidRPr="00DF0810" w:rsidRDefault="3AA9DB4E" w:rsidP="3AA9DB4E">
            <w:r w:rsidRPr="00DF0810">
              <w:rPr>
                <w:rFonts w:ascii="Calibri" w:eastAsia="Calibri" w:hAnsi="Calibri" w:cs="Calibri"/>
                <w:color w:val="000000" w:themeColor="text1"/>
              </w:rPr>
              <w:t xml:space="preserve">Female  </w:t>
            </w:r>
          </w:p>
        </w:tc>
      </w:tr>
      <w:tr w:rsidR="3AA9DB4E" w14:paraId="15E875DE"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7CE54A0F" w14:textId="15917602"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9B2A8" w14:textId="0D1A25E3" w:rsidR="3AA9DB4E" w:rsidRPr="00DF0810" w:rsidRDefault="3AA9DB4E" w:rsidP="3AA9DB4E">
            <w:r w:rsidRPr="00DF0810">
              <w:rPr>
                <w:rFonts w:ascii="Calibri" w:eastAsia="Calibri" w:hAnsi="Calibri" w:cs="Calibri"/>
                <w:color w:val="000000" w:themeColor="text1"/>
              </w:rPr>
              <w:t xml:space="preserve">  N (%)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BD85A6" w14:textId="73237D45" w:rsidR="3AA9DB4E" w:rsidRPr="00DF0810" w:rsidRDefault="3AA9DB4E" w:rsidP="3AA9DB4E">
            <w:r w:rsidRPr="00DF0810">
              <w:rPr>
                <w:rFonts w:ascii="Calibri" w:eastAsia="Calibri" w:hAnsi="Calibri" w:cs="Calibri"/>
                <w:color w:val="000000" w:themeColor="text1"/>
              </w:rPr>
              <w:t xml:space="preserve">  N (%)  </w:t>
            </w:r>
          </w:p>
        </w:tc>
      </w:tr>
      <w:tr w:rsidR="3AA9DB4E" w14:paraId="7D9A348C" w14:textId="77777777" w:rsidTr="1890523D">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5BDC2CE4" w14:textId="2F9E450E"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0A9EC" w14:textId="5F15D357" w:rsidR="3AA9DB4E" w:rsidRPr="00DF0810" w:rsidRDefault="3AA9DB4E" w:rsidP="3AA9DB4E">
            <w:r w:rsidRPr="00DF0810">
              <w:rPr>
                <w:rFonts w:ascii="Calibri" w:eastAsia="Calibri" w:hAnsi="Calibri" w:cs="Calibri"/>
                <w:color w:val="000000" w:themeColor="text1"/>
              </w:rPr>
              <w:t xml:space="preserve">  N (%)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6AE1A" w14:textId="594C0118" w:rsidR="3AA9DB4E" w:rsidRPr="00DF0810" w:rsidRDefault="3AA9DB4E" w:rsidP="3AA9DB4E">
            <w:r w:rsidRPr="00DF0810">
              <w:rPr>
                <w:rFonts w:ascii="Calibri" w:eastAsia="Calibri" w:hAnsi="Calibri" w:cs="Calibri"/>
                <w:color w:val="000000" w:themeColor="text1"/>
              </w:rPr>
              <w:t xml:space="preserve">  N (</w:t>
            </w:r>
            <w:proofErr w:type="gramStart"/>
            <w:r w:rsidRPr="00DF0810">
              <w:rPr>
                <w:rFonts w:ascii="Calibri" w:eastAsia="Calibri" w:hAnsi="Calibri" w:cs="Calibri"/>
                <w:color w:val="000000" w:themeColor="text1"/>
              </w:rPr>
              <w:t xml:space="preserve">%)  </w:t>
            </w:r>
            <w:r w:rsidRPr="00DF0810">
              <w:rPr>
                <w:rFonts w:ascii="Calibri" w:eastAsia="Calibri" w:hAnsi="Calibri" w:cs="Calibri"/>
              </w:rPr>
              <w:t xml:space="preserve"> </w:t>
            </w:r>
            <w:proofErr w:type="gramEnd"/>
          </w:p>
        </w:tc>
      </w:tr>
    </w:tbl>
    <w:p w14:paraId="49B9873C" w14:textId="0769DC8C" w:rsidR="00EA2AB4" w:rsidRDefault="00EA2AB4" w:rsidP="59961667">
      <w:pPr>
        <w:rPr>
          <w:b/>
          <w:bCs/>
        </w:rPr>
      </w:pPr>
    </w:p>
    <w:p w14:paraId="64B997EA" w14:textId="77777777" w:rsidR="00EA2AB4" w:rsidRDefault="00EA2AB4" w:rsidP="59961667">
      <w:pPr>
        <w:rPr>
          <w:b/>
          <w:bCs/>
        </w:rPr>
      </w:pPr>
    </w:p>
    <w:p w14:paraId="31226522" w14:textId="5ACA41E2" w:rsidR="222894B4" w:rsidRDefault="222894B4" w:rsidP="72461836">
      <w:pPr>
        <w:rPr>
          <w:b/>
          <w:bCs/>
        </w:rPr>
      </w:pPr>
      <w:r w:rsidRPr="72461836">
        <w:rPr>
          <w:b/>
          <w:bCs/>
        </w:rPr>
        <w:t xml:space="preserve">Age distribution from Truven </w:t>
      </w:r>
    </w:p>
    <w:tbl>
      <w:tblPr>
        <w:tblW w:w="5055" w:type="dxa"/>
        <w:tblCellMar>
          <w:top w:w="15" w:type="dxa"/>
          <w:left w:w="15" w:type="dxa"/>
          <w:bottom w:w="15" w:type="dxa"/>
          <w:right w:w="15" w:type="dxa"/>
        </w:tblCellMar>
        <w:tblLook w:val="04A0" w:firstRow="1" w:lastRow="0" w:firstColumn="1" w:lastColumn="0" w:noHBand="0" w:noVBand="1"/>
      </w:tblPr>
      <w:tblGrid>
        <w:gridCol w:w="1800"/>
        <w:gridCol w:w="3255"/>
      </w:tblGrid>
      <w:tr w:rsidR="00EA2AB4" w:rsidRPr="00EA2AB4" w14:paraId="1E80BB80"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2DC943BE" w14:textId="77777777" w:rsidR="00EA2AB4" w:rsidRPr="00EA2AB4" w:rsidRDefault="00EA2AB4" w:rsidP="00EA2AB4">
            <w:pPr>
              <w:jc w:val="center"/>
              <w:textAlignment w:val="baseline"/>
              <w:rPr>
                <w:rFonts w:ascii="Aptos" w:eastAsia="Times New Roman" w:hAnsi="Aptos" w:cs="Times New Roman"/>
                <w:b/>
                <w:bCs/>
              </w:rPr>
            </w:pPr>
            <w:r w:rsidRPr="00EA2AB4">
              <w:rPr>
                <w:rFonts w:ascii="Aptos" w:eastAsia="Times New Roman" w:hAnsi="Aptos" w:cs="Times New Roman"/>
                <w:b/>
                <w:bCs/>
              </w:rPr>
              <w:t>Age at MASLD diagnosis</w:t>
            </w:r>
          </w:p>
        </w:tc>
        <w:tc>
          <w:tcPr>
            <w:tcW w:w="3255" w:type="dxa"/>
            <w:tcBorders>
              <w:top w:val="single" w:sz="6" w:space="0" w:color="ABABAB"/>
              <w:left w:val="single" w:sz="6" w:space="0" w:color="ABABAB"/>
              <w:bottom w:val="single" w:sz="6" w:space="0" w:color="ABABAB"/>
              <w:right w:val="single" w:sz="6" w:space="0" w:color="ABABAB"/>
            </w:tcBorders>
            <w:hideMark/>
          </w:tcPr>
          <w:p w14:paraId="1D389389" w14:textId="3CFB49A1" w:rsidR="00EA2AB4" w:rsidRPr="00EA2AB4" w:rsidRDefault="00EA2AB4" w:rsidP="00EA2AB4">
            <w:pPr>
              <w:jc w:val="center"/>
              <w:textAlignment w:val="baseline"/>
              <w:rPr>
                <w:rFonts w:ascii="Aptos" w:eastAsia="Times New Roman" w:hAnsi="Aptos" w:cs="Times New Roman"/>
                <w:b/>
                <w:bCs/>
              </w:rPr>
            </w:pPr>
            <w:proofErr w:type="gramStart"/>
            <w:r w:rsidRPr="00EA2AB4">
              <w:rPr>
                <w:rFonts w:ascii="Aptos" w:eastAsia="Times New Roman" w:hAnsi="Aptos" w:cs="Times New Roman"/>
                <w:b/>
                <w:bCs/>
              </w:rPr>
              <w:t>N(</w:t>
            </w:r>
            <w:proofErr w:type="gramEnd"/>
            <w:r w:rsidRPr="00EA2AB4">
              <w:rPr>
                <w:rFonts w:ascii="Aptos" w:eastAsia="Times New Roman" w:hAnsi="Aptos" w:cs="Times New Roman"/>
                <w:b/>
                <w:bCs/>
              </w:rPr>
              <w:t>%)</w:t>
            </w:r>
            <w:r w:rsidR="00183A38">
              <w:rPr>
                <w:rFonts w:ascii="Aptos" w:eastAsia="Times New Roman" w:hAnsi="Aptos" w:cs="Times New Roman"/>
                <w:b/>
                <w:bCs/>
              </w:rPr>
              <w:t>=</w:t>
            </w:r>
            <w:r w:rsidR="00183A38" w:rsidRPr="00183A38">
              <w:rPr>
                <w:rFonts w:ascii="Aptos" w:eastAsia="Times New Roman" w:hAnsi="Aptos" w:cs="Times New Roman"/>
                <w:b/>
                <w:bCs/>
              </w:rPr>
              <w:t>859970</w:t>
            </w:r>
          </w:p>
        </w:tc>
      </w:tr>
      <w:tr w:rsidR="00EA2AB4" w:rsidRPr="00EA2AB4" w14:paraId="72D43329"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4BA5D0FA"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18-30</w:t>
            </w:r>
          </w:p>
        </w:tc>
        <w:tc>
          <w:tcPr>
            <w:tcW w:w="3255" w:type="dxa"/>
            <w:tcBorders>
              <w:top w:val="single" w:sz="6" w:space="0" w:color="ABABAB"/>
              <w:left w:val="single" w:sz="6" w:space="0" w:color="ABABAB"/>
              <w:bottom w:val="single" w:sz="6" w:space="0" w:color="ABABAB"/>
              <w:right w:val="single" w:sz="6" w:space="0" w:color="ABABAB"/>
            </w:tcBorders>
            <w:hideMark/>
          </w:tcPr>
          <w:p w14:paraId="334ED87E" w14:textId="5750776A"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005006C2" w:rsidRPr="005006C2">
              <w:rPr>
                <w:rFonts w:ascii="Aptos" w:eastAsia="Times New Roman" w:hAnsi="Aptos" w:cs="Times New Roman"/>
              </w:rPr>
              <w:t>5.97</w:t>
            </w:r>
            <w:r w:rsidR="005006C2">
              <w:rPr>
                <w:rFonts w:ascii="Aptos" w:eastAsia="Times New Roman" w:hAnsi="Aptos" w:cs="Times New Roman"/>
              </w:rPr>
              <w:t>%)</w:t>
            </w:r>
          </w:p>
        </w:tc>
      </w:tr>
      <w:tr w:rsidR="00EA2AB4" w:rsidRPr="00EA2AB4" w14:paraId="2F420474"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51BBA07B"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31-40</w:t>
            </w:r>
          </w:p>
        </w:tc>
        <w:tc>
          <w:tcPr>
            <w:tcW w:w="3255" w:type="dxa"/>
            <w:tcBorders>
              <w:top w:val="single" w:sz="6" w:space="0" w:color="ABABAB"/>
              <w:left w:val="single" w:sz="6" w:space="0" w:color="ABABAB"/>
              <w:bottom w:val="single" w:sz="6" w:space="0" w:color="ABABAB"/>
              <w:right w:val="single" w:sz="6" w:space="0" w:color="ABABAB"/>
            </w:tcBorders>
            <w:hideMark/>
          </w:tcPr>
          <w:p w14:paraId="260880CD" w14:textId="5895DE9C"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125093</w:t>
            </w:r>
            <w:r w:rsidR="005006C2">
              <w:rPr>
                <w:rFonts w:ascii="Aptos" w:eastAsia="Times New Roman" w:hAnsi="Aptos" w:cs="Times New Roman"/>
              </w:rPr>
              <w:t xml:space="preserve"> (</w:t>
            </w:r>
            <w:r w:rsidR="005006C2" w:rsidRPr="005006C2">
              <w:rPr>
                <w:rFonts w:ascii="Aptos" w:eastAsia="Times New Roman" w:hAnsi="Aptos" w:cs="Times New Roman"/>
              </w:rPr>
              <w:t>14.5</w:t>
            </w:r>
            <w:r w:rsidR="005006C2">
              <w:rPr>
                <w:rFonts w:ascii="Aptos" w:eastAsia="Times New Roman" w:hAnsi="Aptos" w:cs="Times New Roman"/>
              </w:rPr>
              <w:t>5%)</w:t>
            </w:r>
          </w:p>
        </w:tc>
      </w:tr>
      <w:tr w:rsidR="00EA2AB4" w:rsidRPr="00EA2AB4" w14:paraId="569021A6"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12B190AA"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41-50</w:t>
            </w:r>
          </w:p>
        </w:tc>
        <w:tc>
          <w:tcPr>
            <w:tcW w:w="3255" w:type="dxa"/>
            <w:tcBorders>
              <w:top w:val="single" w:sz="6" w:space="0" w:color="ABABAB"/>
              <w:left w:val="single" w:sz="6" w:space="0" w:color="ABABAB"/>
              <w:bottom w:val="single" w:sz="6" w:space="0" w:color="ABABAB"/>
              <w:right w:val="single" w:sz="6" w:space="0" w:color="ABABAB"/>
            </w:tcBorders>
            <w:hideMark/>
          </w:tcPr>
          <w:p w14:paraId="410777EA" w14:textId="2BC650A2"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217122</w:t>
            </w:r>
            <w:r w:rsidR="00A218A7">
              <w:rPr>
                <w:rFonts w:ascii="Aptos" w:eastAsia="Times New Roman" w:hAnsi="Aptos" w:cs="Times New Roman"/>
              </w:rPr>
              <w:t xml:space="preserve"> (</w:t>
            </w:r>
            <w:r w:rsidR="00A218A7" w:rsidRPr="00A218A7">
              <w:rPr>
                <w:rFonts w:ascii="Aptos" w:eastAsia="Times New Roman" w:hAnsi="Aptos" w:cs="Times New Roman"/>
              </w:rPr>
              <w:t>25.2</w:t>
            </w:r>
            <w:r w:rsidR="00A218A7">
              <w:rPr>
                <w:rFonts w:ascii="Aptos" w:eastAsia="Times New Roman" w:hAnsi="Aptos" w:cs="Times New Roman"/>
              </w:rPr>
              <w:t>5%)</w:t>
            </w:r>
          </w:p>
        </w:tc>
      </w:tr>
      <w:tr w:rsidR="00EA2AB4" w:rsidRPr="00EA2AB4" w14:paraId="49B8F58F"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7267CEBE"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51-60</w:t>
            </w:r>
          </w:p>
        </w:tc>
        <w:tc>
          <w:tcPr>
            <w:tcW w:w="3255" w:type="dxa"/>
            <w:tcBorders>
              <w:top w:val="single" w:sz="6" w:space="0" w:color="ABABAB"/>
              <w:left w:val="single" w:sz="6" w:space="0" w:color="ABABAB"/>
              <w:bottom w:val="single" w:sz="6" w:space="0" w:color="ABABAB"/>
              <w:right w:val="single" w:sz="6" w:space="0" w:color="ABABAB"/>
            </w:tcBorders>
            <w:hideMark/>
          </w:tcPr>
          <w:p w14:paraId="13734F61" w14:textId="1D33C6B9"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288411</w:t>
            </w:r>
            <w:r w:rsidR="003E6CF9">
              <w:rPr>
                <w:rFonts w:ascii="Aptos" w:eastAsia="Times New Roman" w:hAnsi="Aptos" w:cs="Times New Roman"/>
              </w:rPr>
              <w:t xml:space="preserve"> (</w:t>
            </w:r>
            <w:r w:rsidR="003E6CF9" w:rsidRPr="003E6CF9">
              <w:rPr>
                <w:rFonts w:ascii="Aptos" w:eastAsia="Times New Roman" w:hAnsi="Aptos" w:cs="Times New Roman"/>
              </w:rPr>
              <w:t>33.5</w:t>
            </w:r>
            <w:r w:rsidR="003E6CF9">
              <w:rPr>
                <w:rFonts w:ascii="Aptos" w:eastAsia="Times New Roman" w:hAnsi="Aptos" w:cs="Times New Roman"/>
              </w:rPr>
              <w:t>4%)</w:t>
            </w:r>
          </w:p>
        </w:tc>
      </w:tr>
      <w:tr w:rsidR="00EA2AB4" w:rsidRPr="00EA2AB4" w14:paraId="6B2651FD"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57B14710"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61-70</w:t>
            </w:r>
          </w:p>
        </w:tc>
        <w:tc>
          <w:tcPr>
            <w:tcW w:w="3255" w:type="dxa"/>
            <w:tcBorders>
              <w:top w:val="single" w:sz="6" w:space="0" w:color="ABABAB"/>
              <w:left w:val="single" w:sz="6" w:space="0" w:color="ABABAB"/>
              <w:bottom w:val="single" w:sz="6" w:space="0" w:color="ABABAB"/>
              <w:right w:val="single" w:sz="6" w:space="0" w:color="ABABAB"/>
            </w:tcBorders>
            <w:hideMark/>
          </w:tcPr>
          <w:p w14:paraId="47002207" w14:textId="1152422D"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133141</w:t>
            </w:r>
            <w:r w:rsidR="003B7EC7">
              <w:rPr>
                <w:rFonts w:ascii="Aptos" w:eastAsia="Times New Roman" w:hAnsi="Aptos" w:cs="Times New Roman"/>
              </w:rPr>
              <w:t xml:space="preserve"> (</w:t>
            </w:r>
            <w:r w:rsidR="003B7EC7" w:rsidRPr="003B7EC7">
              <w:rPr>
                <w:rFonts w:ascii="Aptos" w:eastAsia="Times New Roman" w:hAnsi="Aptos" w:cs="Times New Roman"/>
              </w:rPr>
              <w:t>15.</w:t>
            </w:r>
            <w:r w:rsidR="003B7EC7">
              <w:rPr>
                <w:rFonts w:ascii="Aptos" w:eastAsia="Times New Roman" w:hAnsi="Aptos" w:cs="Times New Roman"/>
              </w:rPr>
              <w:t>48%)</w:t>
            </w:r>
          </w:p>
        </w:tc>
      </w:tr>
      <w:tr w:rsidR="00EA2AB4" w:rsidRPr="00EA2AB4" w14:paraId="000F8D0A"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382442E2"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lastRenderedPageBreak/>
              <w:t>71-80</w:t>
            </w:r>
          </w:p>
        </w:tc>
        <w:tc>
          <w:tcPr>
            <w:tcW w:w="3255" w:type="dxa"/>
            <w:tcBorders>
              <w:top w:val="single" w:sz="6" w:space="0" w:color="ABABAB"/>
              <w:left w:val="single" w:sz="6" w:space="0" w:color="ABABAB"/>
              <w:bottom w:val="single" w:sz="6" w:space="0" w:color="ABABAB"/>
              <w:right w:val="single" w:sz="6" w:space="0" w:color="ABABAB"/>
            </w:tcBorders>
            <w:hideMark/>
          </w:tcPr>
          <w:p w14:paraId="6226A833" w14:textId="15DD92F1"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33801</w:t>
            </w:r>
            <w:r w:rsidR="0062246E">
              <w:rPr>
                <w:rFonts w:ascii="Aptos" w:eastAsia="Times New Roman" w:hAnsi="Aptos" w:cs="Times New Roman"/>
              </w:rPr>
              <w:t xml:space="preserve"> (3.93%)</w:t>
            </w:r>
          </w:p>
        </w:tc>
      </w:tr>
      <w:tr w:rsidR="00EA2AB4" w:rsidRPr="00EA2AB4" w14:paraId="44763B45"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6FA26A4F"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81-90</w:t>
            </w:r>
          </w:p>
        </w:tc>
        <w:tc>
          <w:tcPr>
            <w:tcW w:w="3255" w:type="dxa"/>
            <w:tcBorders>
              <w:top w:val="single" w:sz="6" w:space="0" w:color="ABABAB"/>
              <w:left w:val="single" w:sz="6" w:space="0" w:color="ABABAB"/>
              <w:bottom w:val="single" w:sz="6" w:space="0" w:color="ABABAB"/>
              <w:right w:val="single" w:sz="6" w:space="0" w:color="ABABAB"/>
            </w:tcBorders>
            <w:hideMark/>
          </w:tcPr>
          <w:p w14:paraId="44D542F3" w14:textId="65070A62"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9753</w:t>
            </w:r>
            <w:r w:rsidR="00D32891">
              <w:rPr>
                <w:rFonts w:ascii="Aptos" w:eastAsia="Times New Roman" w:hAnsi="Aptos" w:cs="Times New Roman"/>
              </w:rPr>
              <w:t xml:space="preserve"> (1.13%)</w:t>
            </w:r>
          </w:p>
        </w:tc>
      </w:tr>
      <w:tr w:rsidR="00EA2AB4" w:rsidRPr="00EA2AB4" w14:paraId="2A69FA7C"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06CC9B7D"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91-100</w:t>
            </w:r>
          </w:p>
        </w:tc>
        <w:tc>
          <w:tcPr>
            <w:tcW w:w="3255" w:type="dxa"/>
            <w:tcBorders>
              <w:top w:val="single" w:sz="6" w:space="0" w:color="ABABAB"/>
              <w:left w:val="single" w:sz="6" w:space="0" w:color="ABABAB"/>
              <w:bottom w:val="single" w:sz="6" w:space="0" w:color="ABABAB"/>
              <w:right w:val="single" w:sz="6" w:space="0" w:color="ABABAB"/>
            </w:tcBorders>
            <w:hideMark/>
          </w:tcPr>
          <w:p w14:paraId="7275C095" w14:textId="46D266A0"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1258</w:t>
            </w:r>
            <w:r w:rsidR="00153355">
              <w:rPr>
                <w:rFonts w:ascii="Aptos" w:eastAsia="Times New Roman" w:hAnsi="Aptos" w:cs="Times New Roman"/>
              </w:rPr>
              <w:t xml:space="preserve"> (0.15%)</w:t>
            </w:r>
          </w:p>
        </w:tc>
      </w:tr>
      <w:tr w:rsidR="00EA2AB4" w:rsidRPr="00EA2AB4" w14:paraId="32E5C717"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hideMark/>
          </w:tcPr>
          <w:p w14:paraId="3EBB1F52" w14:textId="77777777" w:rsidR="00EA2AB4" w:rsidRPr="00EA2AB4" w:rsidRDefault="00EA2AB4" w:rsidP="00EA2AB4">
            <w:pPr>
              <w:textAlignment w:val="baseline"/>
              <w:rPr>
                <w:rFonts w:ascii="Aptos" w:eastAsia="Times New Roman" w:hAnsi="Aptos" w:cs="Times New Roman"/>
              </w:rPr>
            </w:pPr>
            <w:r w:rsidRPr="00EA2AB4">
              <w:rPr>
                <w:rFonts w:ascii="Aptos" w:eastAsia="Times New Roman" w:hAnsi="Aptos" w:cs="Times New Roman"/>
              </w:rPr>
              <w:t>101-110</w:t>
            </w:r>
          </w:p>
        </w:tc>
        <w:tc>
          <w:tcPr>
            <w:tcW w:w="3255" w:type="dxa"/>
            <w:tcBorders>
              <w:top w:val="single" w:sz="6" w:space="0" w:color="ABABAB"/>
              <w:left w:val="single" w:sz="6" w:space="0" w:color="ABABAB"/>
              <w:bottom w:val="single" w:sz="6" w:space="0" w:color="ABABAB"/>
              <w:right w:val="single" w:sz="6" w:space="0" w:color="ABABAB"/>
            </w:tcBorders>
            <w:hideMark/>
          </w:tcPr>
          <w:p w14:paraId="2BAD5014" w14:textId="088A0490" w:rsidR="00EA2AB4" w:rsidRPr="00EA2AB4" w:rsidRDefault="00183A38" w:rsidP="00EA2AB4">
            <w:pPr>
              <w:textAlignment w:val="baseline"/>
              <w:rPr>
                <w:rFonts w:ascii="Aptos" w:eastAsia="Times New Roman" w:hAnsi="Aptos" w:cs="Times New Roman"/>
              </w:rPr>
            </w:pPr>
            <w:r w:rsidRPr="00183A38">
              <w:rPr>
                <w:rFonts w:ascii="Aptos" w:eastAsia="Times New Roman" w:hAnsi="Aptos" w:cs="Times New Roman"/>
              </w:rPr>
              <w:t>14</w:t>
            </w:r>
            <w:r w:rsidR="00746E1D">
              <w:rPr>
                <w:rFonts w:ascii="Aptos" w:eastAsia="Times New Roman" w:hAnsi="Aptos" w:cs="Times New Roman"/>
              </w:rPr>
              <w:t xml:space="preserve"> (0.002%)</w:t>
            </w:r>
          </w:p>
        </w:tc>
      </w:tr>
      <w:tr w:rsidR="00EA2AB4" w:rsidRPr="00EA2AB4" w14:paraId="7EB2A511" w14:textId="77777777" w:rsidTr="72461836">
        <w:trPr>
          <w:trHeight w:val="330"/>
        </w:trPr>
        <w:tc>
          <w:tcPr>
            <w:tcW w:w="1800" w:type="dxa"/>
            <w:tcBorders>
              <w:top w:val="single" w:sz="6" w:space="0" w:color="ABABAB"/>
              <w:left w:val="single" w:sz="6" w:space="0" w:color="ABABAB"/>
              <w:bottom w:val="single" w:sz="6" w:space="0" w:color="ABABAB"/>
              <w:right w:val="single" w:sz="6" w:space="0" w:color="ABABAB"/>
            </w:tcBorders>
            <w:shd w:val="clear" w:color="auto" w:fill="FFFFFF" w:themeFill="background1"/>
            <w:hideMark/>
          </w:tcPr>
          <w:p w14:paraId="34137D32" w14:textId="77777777" w:rsidR="00EA2AB4" w:rsidRPr="00EA2AB4" w:rsidRDefault="00EA2AB4" w:rsidP="00EA2AB4">
            <w:pPr>
              <w:textAlignment w:val="baseline"/>
              <w:rPr>
                <w:rFonts w:ascii="Aptos" w:eastAsia="Times New Roman" w:hAnsi="Aptos" w:cs="Segoe UI"/>
                <w:color w:val="242424"/>
              </w:rPr>
            </w:pPr>
            <w:r w:rsidRPr="00EA2AB4">
              <w:rPr>
                <w:rFonts w:ascii="Aptos" w:eastAsia="Times New Roman" w:hAnsi="Aptos" w:cs="Segoe UI"/>
                <w:color w:val="242424"/>
              </w:rPr>
              <w:t>&gt;110 (if any)</w:t>
            </w:r>
          </w:p>
        </w:tc>
        <w:tc>
          <w:tcPr>
            <w:tcW w:w="3255" w:type="dxa"/>
            <w:tcBorders>
              <w:top w:val="single" w:sz="6" w:space="0" w:color="ABABAB"/>
              <w:left w:val="single" w:sz="6" w:space="0" w:color="ABABAB"/>
              <w:bottom w:val="single" w:sz="6" w:space="0" w:color="ABABAB"/>
              <w:right w:val="single" w:sz="6" w:space="0" w:color="ABABAB"/>
            </w:tcBorders>
            <w:shd w:val="clear" w:color="auto" w:fill="FFFFFF" w:themeFill="background1"/>
            <w:hideMark/>
          </w:tcPr>
          <w:p w14:paraId="6AB6B7B6" w14:textId="7474441D" w:rsidR="00EA2AB4" w:rsidRPr="00EA2AB4" w:rsidRDefault="00183A38" w:rsidP="00EA2AB4">
            <w:pPr>
              <w:rPr>
                <w:rFonts w:ascii="Segoe UI" w:eastAsia="Times New Roman" w:hAnsi="Segoe UI" w:cs="Segoe UI"/>
                <w:color w:val="242424"/>
                <w:sz w:val="23"/>
                <w:szCs w:val="23"/>
              </w:rPr>
            </w:pPr>
            <w:r>
              <w:rPr>
                <w:rFonts w:ascii="Segoe UI" w:eastAsia="Times New Roman" w:hAnsi="Segoe UI" w:cs="Segoe UI"/>
                <w:color w:val="242424"/>
                <w:sz w:val="23"/>
                <w:szCs w:val="23"/>
              </w:rPr>
              <w:t>-</w:t>
            </w:r>
          </w:p>
        </w:tc>
      </w:tr>
    </w:tbl>
    <w:p w14:paraId="5C6D8ECA" w14:textId="720BD60A" w:rsidR="00EA2AB4" w:rsidRDefault="00EA2AB4" w:rsidP="59961667">
      <w:pPr>
        <w:rPr>
          <w:b/>
          <w:bCs/>
        </w:rPr>
      </w:pPr>
    </w:p>
    <w:p w14:paraId="25EEF3FE" w14:textId="5ED1D6EF" w:rsidR="59961667" w:rsidRDefault="59961667" w:rsidP="1890523D">
      <w:pPr>
        <w:rPr>
          <w:b/>
          <w:bCs/>
        </w:rPr>
      </w:pPr>
    </w:p>
    <w:p w14:paraId="22FAB519" w14:textId="2743C6A7" w:rsidR="15CC1F5B" w:rsidRDefault="1890523D" w:rsidP="1890523D">
      <w:pPr>
        <w:rPr>
          <w:b/>
          <w:bCs/>
          <w:u w:val="single"/>
        </w:rPr>
      </w:pPr>
      <w:r w:rsidRPr="1890523D">
        <w:rPr>
          <w:b/>
          <w:bCs/>
        </w:rPr>
        <w:t>Annual incidence in</w:t>
      </w:r>
      <w:r w:rsidRPr="1890523D">
        <w:rPr>
          <w:b/>
          <w:bCs/>
          <w:u w:val="single"/>
        </w:rPr>
        <w:t xml:space="preserve"> MASLD patients: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14:paraId="2608BA55" w14:textId="77777777" w:rsidTr="1890523D">
        <w:trPr>
          <w:trHeight w:val="300"/>
        </w:trPr>
        <w:tc>
          <w:tcPr>
            <w:tcW w:w="3120" w:type="dxa"/>
          </w:tcPr>
          <w:p w14:paraId="7B06D425" w14:textId="5930A76E" w:rsidR="59961667" w:rsidRDefault="59961667" w:rsidP="1890523D">
            <w:pPr>
              <w:rPr>
                <w:u w:val="single"/>
              </w:rPr>
            </w:pPr>
          </w:p>
        </w:tc>
        <w:tc>
          <w:tcPr>
            <w:tcW w:w="3120" w:type="dxa"/>
          </w:tcPr>
          <w:p w14:paraId="3670194F" w14:textId="046699DE" w:rsidR="59961667" w:rsidRDefault="1890523D" w:rsidP="1890523D">
            <w:pPr>
              <w:rPr>
                <w:b/>
                <w:bCs/>
                <w:u w:val="single"/>
              </w:rPr>
            </w:pPr>
            <w:r w:rsidRPr="1890523D">
              <w:rPr>
                <w:b/>
                <w:bCs/>
                <w:u w:val="single"/>
              </w:rPr>
              <w:t>Annual Incidence %</w:t>
            </w:r>
          </w:p>
        </w:tc>
        <w:tc>
          <w:tcPr>
            <w:tcW w:w="3120" w:type="dxa"/>
          </w:tcPr>
          <w:p w14:paraId="211881BE" w14:textId="6A25876A" w:rsidR="59961667" w:rsidRDefault="1890523D" w:rsidP="1890523D">
            <w:pPr>
              <w:rPr>
                <w:b/>
                <w:bCs/>
                <w:u w:val="single"/>
              </w:rPr>
            </w:pPr>
            <w:r w:rsidRPr="1890523D">
              <w:rPr>
                <w:b/>
                <w:bCs/>
                <w:u w:val="single"/>
              </w:rPr>
              <w:t>Reference from literature</w:t>
            </w:r>
          </w:p>
        </w:tc>
      </w:tr>
      <w:tr w:rsidR="59961667" w14:paraId="7A7F86F0" w14:textId="77777777" w:rsidTr="1890523D">
        <w:trPr>
          <w:trHeight w:val="300"/>
        </w:trPr>
        <w:tc>
          <w:tcPr>
            <w:tcW w:w="3120" w:type="dxa"/>
          </w:tcPr>
          <w:p w14:paraId="60EBF6D6" w14:textId="015C50C2" w:rsidR="59961667" w:rsidRDefault="59961667" w:rsidP="59961667">
            <w:r>
              <w:t>No cirrhosis to cirrhosis</w:t>
            </w:r>
          </w:p>
        </w:tc>
        <w:tc>
          <w:tcPr>
            <w:tcW w:w="3120" w:type="dxa"/>
          </w:tcPr>
          <w:p w14:paraId="6BC3A8DE" w14:textId="7629276C" w:rsidR="00C45DAC" w:rsidRPr="00CE2E32" w:rsidRDefault="00C45DAC" w:rsidP="59961667">
            <w:r w:rsidRPr="00CE2E32">
              <w:t xml:space="preserve">10.85 </w:t>
            </w:r>
            <w:r w:rsidR="00D33177" w:rsidRPr="00CE2E32">
              <w:t xml:space="preserve">per </w:t>
            </w:r>
            <w:r w:rsidR="5384F06A">
              <w:t>1000</w:t>
            </w:r>
            <w:r w:rsidR="00D33177" w:rsidRPr="00CE2E32">
              <w:t xml:space="preserve"> person-years</w:t>
            </w:r>
            <w:r w:rsidR="34BFB3D0">
              <w:t xml:space="preserve"> =1.08%</w:t>
            </w:r>
          </w:p>
          <w:p w14:paraId="264160E2" w14:textId="76208203" w:rsidR="00D33177" w:rsidRPr="00DF0810" w:rsidRDefault="00D33177" w:rsidP="59961667"/>
        </w:tc>
        <w:tc>
          <w:tcPr>
            <w:tcW w:w="3120" w:type="dxa"/>
          </w:tcPr>
          <w:p w14:paraId="2B4011DC" w14:textId="3834E78B" w:rsidR="59961667" w:rsidRDefault="3344D307" w:rsidP="59961667">
            <w:pPr>
              <w:rPr>
                <w:rStyle w:val="Hyperlink"/>
              </w:rPr>
            </w:pPr>
            <w:commentRangeStart w:id="10"/>
            <w:r>
              <w:t>Le 2024</w:t>
            </w:r>
            <w:commentRangeEnd w:id="10"/>
            <w:r w:rsidR="00CE2E32">
              <w:rPr>
                <w:rStyle w:val="CommentReference"/>
              </w:rPr>
              <w:commentReference w:id="10"/>
            </w:r>
          </w:p>
        </w:tc>
      </w:tr>
      <w:tr w:rsidR="59961667" w14:paraId="0D60B8A3" w14:textId="77777777" w:rsidTr="1890523D">
        <w:trPr>
          <w:trHeight w:val="300"/>
        </w:trPr>
        <w:tc>
          <w:tcPr>
            <w:tcW w:w="3120" w:type="dxa"/>
          </w:tcPr>
          <w:p w14:paraId="6ABE64CF" w14:textId="7DF84C9A" w:rsidR="59961667" w:rsidRDefault="59961667" w:rsidP="59961667">
            <w:r>
              <w:t>No cirrhosis to HCC (any stage)</w:t>
            </w:r>
          </w:p>
        </w:tc>
        <w:tc>
          <w:tcPr>
            <w:tcW w:w="3120" w:type="dxa"/>
          </w:tcPr>
          <w:p w14:paraId="37FBB2EC" w14:textId="57A4E18E" w:rsidR="59961667" w:rsidRPr="00546723" w:rsidRDefault="00645343" w:rsidP="59961667">
            <w:pPr>
              <w:rPr>
                <w:color w:val="000000" w:themeColor="text1"/>
              </w:rPr>
            </w:pPr>
            <w:r w:rsidRPr="00546723">
              <w:rPr>
                <w:color w:val="000000" w:themeColor="text1"/>
              </w:rPr>
              <w:t>1.1 per 1000 person-years</w:t>
            </w:r>
            <w:r w:rsidR="277AFB34" w:rsidRPr="50448BAA">
              <w:rPr>
                <w:color w:val="000000" w:themeColor="text1"/>
              </w:rPr>
              <w:t xml:space="preserve"> =0.11%</w:t>
            </w:r>
          </w:p>
        </w:tc>
        <w:tc>
          <w:tcPr>
            <w:tcW w:w="3120" w:type="dxa"/>
          </w:tcPr>
          <w:p w14:paraId="0A1B19AF" w14:textId="55027C72" w:rsidR="59961667" w:rsidRDefault="00764F47" w:rsidP="59961667">
            <w:commentRangeStart w:id="11"/>
            <w:r w:rsidRPr="00764F47">
              <w:t>Behari</w:t>
            </w:r>
            <w:r>
              <w:t xml:space="preserve"> 2023</w:t>
            </w:r>
            <w:commentRangeEnd w:id="11"/>
            <w:r w:rsidR="002762FB">
              <w:rPr>
                <w:rStyle w:val="CommentReference"/>
                <w:rFonts w:eastAsiaTheme="minorHAnsi"/>
                <w:lang w:eastAsia="en-US"/>
              </w:rPr>
              <w:commentReference w:id="11"/>
            </w:r>
          </w:p>
        </w:tc>
      </w:tr>
      <w:tr w:rsidR="2D19C48D" w14:paraId="7930E75F" w14:textId="77777777" w:rsidTr="1890523D">
        <w:trPr>
          <w:trHeight w:val="300"/>
        </w:trPr>
        <w:tc>
          <w:tcPr>
            <w:tcW w:w="3120" w:type="dxa"/>
          </w:tcPr>
          <w:p w14:paraId="0906BDA2" w14:textId="49DFF0D6" w:rsidR="2D19C48D" w:rsidRDefault="2D19C48D" w:rsidP="2D19C48D">
            <w:r>
              <w:t>Compensated cirrhosis to HCC (we use this to account for undiagnosed cirrhosis cases)</w:t>
            </w:r>
          </w:p>
        </w:tc>
        <w:tc>
          <w:tcPr>
            <w:tcW w:w="3120" w:type="dxa"/>
          </w:tcPr>
          <w:p w14:paraId="14AF0985" w14:textId="4B8870CA" w:rsidR="00845759" w:rsidRPr="00CE2E32" w:rsidRDefault="00B47C3A" w:rsidP="2D19C48D">
            <w:r w:rsidRPr="00CE2E32">
              <w:t>2.6%</w:t>
            </w:r>
            <w:r w:rsidR="00E332FD" w:rsidRPr="00CE2E32">
              <w:t xml:space="preserve"> </w:t>
            </w:r>
          </w:p>
          <w:p w14:paraId="6707B7D9" w14:textId="69541655" w:rsidR="006A60D4" w:rsidRPr="00447F5F" w:rsidRDefault="006A60D4" w:rsidP="2D19C48D">
            <w:pPr>
              <w:rPr>
                <w:color w:val="0000FF"/>
                <w:u w:val="single"/>
              </w:rPr>
            </w:pPr>
          </w:p>
        </w:tc>
        <w:tc>
          <w:tcPr>
            <w:tcW w:w="3120" w:type="dxa"/>
          </w:tcPr>
          <w:p w14:paraId="6DEED6DC" w14:textId="0EEE55D3" w:rsidR="2D19C48D" w:rsidRPr="00CE2E32" w:rsidRDefault="3344D307" w:rsidP="2D19C48D">
            <w:commentRangeStart w:id="12"/>
            <w:proofErr w:type="spellStart"/>
            <w:r>
              <w:t>Ascha</w:t>
            </w:r>
            <w:proofErr w:type="spellEnd"/>
            <w:r>
              <w:t xml:space="preserve"> 2010</w:t>
            </w:r>
            <w:commentRangeEnd w:id="12"/>
            <w:r w:rsidR="00CE2E32">
              <w:rPr>
                <w:rStyle w:val="CommentReference"/>
              </w:rPr>
              <w:commentReference w:id="12"/>
            </w:r>
          </w:p>
        </w:tc>
      </w:tr>
    </w:tbl>
    <w:p w14:paraId="4823D549" w14:textId="0A09629D" w:rsidR="59961667" w:rsidRDefault="59961667" w:rsidP="59961667">
      <w:pPr>
        <w:spacing w:line="259" w:lineRule="auto"/>
        <w:rPr>
          <w:b/>
          <w:bCs/>
        </w:rPr>
      </w:pPr>
    </w:p>
    <w:p w14:paraId="5F4C4252" w14:textId="7E01DE12" w:rsidR="59961667" w:rsidRDefault="2D19C48D" w:rsidP="59961667">
      <w:pPr>
        <w:spacing w:line="259" w:lineRule="auto"/>
      </w:pPr>
      <w:r w:rsidRPr="2D19C48D">
        <w:rPr>
          <w:b/>
          <w:bCs/>
        </w:rPr>
        <w:t xml:space="preserve">HCC stage upon diagnosis: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14:paraId="69CF91A0" w14:textId="77777777" w:rsidTr="00AC70F4">
        <w:trPr>
          <w:trHeight w:val="300"/>
        </w:trPr>
        <w:tc>
          <w:tcPr>
            <w:tcW w:w="3120" w:type="dxa"/>
          </w:tcPr>
          <w:p w14:paraId="64B23B2E" w14:textId="2C47C330" w:rsidR="59961667" w:rsidRDefault="59961667" w:rsidP="59961667">
            <w:pPr>
              <w:rPr>
                <w:b/>
                <w:bCs/>
              </w:rPr>
            </w:pPr>
          </w:p>
        </w:tc>
        <w:tc>
          <w:tcPr>
            <w:tcW w:w="3120" w:type="dxa"/>
          </w:tcPr>
          <w:p w14:paraId="41D6BC25" w14:textId="620D641C" w:rsidR="59961667" w:rsidRDefault="59961667" w:rsidP="59961667">
            <w:pPr>
              <w:rPr>
                <w:b/>
                <w:bCs/>
              </w:rPr>
            </w:pPr>
            <w:r w:rsidRPr="59961667">
              <w:rPr>
                <w:b/>
                <w:bCs/>
              </w:rPr>
              <w:t>% Value</w:t>
            </w:r>
          </w:p>
        </w:tc>
        <w:tc>
          <w:tcPr>
            <w:tcW w:w="3120" w:type="dxa"/>
          </w:tcPr>
          <w:p w14:paraId="4B8BDF65" w14:textId="5D89A588" w:rsidR="59961667" w:rsidRDefault="59961667" w:rsidP="59961667">
            <w:pPr>
              <w:rPr>
                <w:b/>
                <w:bCs/>
              </w:rPr>
            </w:pPr>
            <w:r w:rsidRPr="59961667">
              <w:rPr>
                <w:b/>
                <w:bCs/>
              </w:rPr>
              <w:t>Reference from literature</w:t>
            </w:r>
          </w:p>
        </w:tc>
      </w:tr>
      <w:tr w:rsidR="3CB5EE51" w14:paraId="38FAD768" w14:textId="77777777" w:rsidTr="00AC70F4">
        <w:trPr>
          <w:trHeight w:val="300"/>
        </w:trPr>
        <w:tc>
          <w:tcPr>
            <w:tcW w:w="9360" w:type="dxa"/>
            <w:gridSpan w:val="3"/>
          </w:tcPr>
          <w:p w14:paraId="6066399B" w14:textId="1858AD92" w:rsidR="3CB5EE51" w:rsidRDefault="3CB5EE51" w:rsidP="3CB5EE51">
            <w:pPr>
              <w:rPr>
                <w:b/>
                <w:bCs/>
              </w:rPr>
            </w:pPr>
            <w:r w:rsidRPr="3CB5EE51">
              <w:rPr>
                <w:b/>
                <w:bCs/>
              </w:rPr>
              <w:t>Without HCC screening</w:t>
            </w:r>
          </w:p>
        </w:tc>
      </w:tr>
      <w:tr w:rsidR="00CE2E32" w14:paraId="235872EB" w14:textId="77777777" w:rsidTr="00AC70F4">
        <w:trPr>
          <w:trHeight w:val="300"/>
        </w:trPr>
        <w:tc>
          <w:tcPr>
            <w:tcW w:w="3120" w:type="dxa"/>
          </w:tcPr>
          <w:p w14:paraId="367856C7" w14:textId="50F3237B" w:rsidR="00CE2E32" w:rsidRDefault="00CE2E32" w:rsidP="00CE2E32">
            <w:r>
              <w:t>% Early stage</w:t>
            </w:r>
          </w:p>
        </w:tc>
        <w:tc>
          <w:tcPr>
            <w:tcW w:w="3120" w:type="dxa"/>
          </w:tcPr>
          <w:p w14:paraId="69066958" w14:textId="65AA92F6" w:rsidR="00CE2E32" w:rsidRPr="00A86B19" w:rsidRDefault="00CE2E32" w:rsidP="00CE2E32">
            <w:pPr>
              <w:rPr>
                <w:color w:val="FF0000"/>
              </w:rPr>
            </w:pPr>
            <w:r>
              <w:t xml:space="preserve">45.7% </w:t>
            </w:r>
          </w:p>
        </w:tc>
        <w:tc>
          <w:tcPr>
            <w:tcW w:w="3120" w:type="dxa"/>
            <w:vMerge w:val="restart"/>
          </w:tcPr>
          <w:p w14:paraId="1433A697" w14:textId="37DB178D" w:rsidR="00CE2E32" w:rsidRPr="00A86B19" w:rsidRDefault="00CE2E32" w:rsidP="00CE2E32">
            <w:pPr>
              <w:rPr>
                <w:color w:val="FF0000"/>
              </w:rPr>
            </w:pPr>
            <w:commentRangeStart w:id="13"/>
            <w:commentRangeStart w:id="14"/>
            <w:r>
              <w:t>Daher 2024</w:t>
            </w:r>
            <w:commentRangeEnd w:id="13"/>
            <w:r>
              <w:rPr>
                <w:rStyle w:val="CommentReference"/>
              </w:rPr>
              <w:commentReference w:id="13"/>
            </w:r>
            <w:commentRangeEnd w:id="14"/>
            <w:r>
              <w:rPr>
                <w:rStyle w:val="CommentReference"/>
              </w:rPr>
              <w:commentReference w:id="14"/>
            </w:r>
          </w:p>
        </w:tc>
      </w:tr>
      <w:tr w:rsidR="00CE2E32" w14:paraId="045ABCBC" w14:textId="77777777" w:rsidTr="00AC70F4">
        <w:trPr>
          <w:trHeight w:val="300"/>
        </w:trPr>
        <w:tc>
          <w:tcPr>
            <w:tcW w:w="3120" w:type="dxa"/>
          </w:tcPr>
          <w:p w14:paraId="128FEA0F" w14:textId="27BD3994" w:rsidR="00CE2E32" w:rsidRDefault="00CE2E32" w:rsidP="00CE2E32">
            <w:r>
              <w:t>% Intermediate stage</w:t>
            </w:r>
          </w:p>
        </w:tc>
        <w:tc>
          <w:tcPr>
            <w:tcW w:w="3120" w:type="dxa"/>
          </w:tcPr>
          <w:p w14:paraId="74B67A1B" w14:textId="6CEF361B" w:rsidR="00CE2E32" w:rsidRPr="00A86B19" w:rsidRDefault="00CE2E32" w:rsidP="00CE2E32">
            <w:r>
              <w:t>23.0%</w:t>
            </w:r>
          </w:p>
        </w:tc>
        <w:tc>
          <w:tcPr>
            <w:tcW w:w="3120" w:type="dxa"/>
            <w:vMerge/>
          </w:tcPr>
          <w:p w14:paraId="16559948" w14:textId="034F8DF8" w:rsidR="00CE2E32" w:rsidRDefault="00CE2E32" w:rsidP="00CE2E32">
            <w:pPr>
              <w:rPr>
                <w:b/>
                <w:bCs/>
              </w:rPr>
            </w:pPr>
          </w:p>
        </w:tc>
      </w:tr>
      <w:tr w:rsidR="00CE2E32" w14:paraId="0831F1F2" w14:textId="77777777" w:rsidTr="00AC70F4">
        <w:trPr>
          <w:trHeight w:val="300"/>
        </w:trPr>
        <w:tc>
          <w:tcPr>
            <w:tcW w:w="3120" w:type="dxa"/>
          </w:tcPr>
          <w:p w14:paraId="062CD201" w14:textId="5A442109" w:rsidR="00CE2E32" w:rsidRDefault="00CE2E32" w:rsidP="00CE2E32">
            <w:r>
              <w:t>% Late stage</w:t>
            </w:r>
          </w:p>
        </w:tc>
        <w:tc>
          <w:tcPr>
            <w:tcW w:w="3120" w:type="dxa"/>
          </w:tcPr>
          <w:p w14:paraId="75F230EA" w14:textId="47C64976" w:rsidR="00CE2E32" w:rsidRPr="00A86B19" w:rsidRDefault="00CE2E32" w:rsidP="00CE2E32">
            <w:r>
              <w:t>31.3%</w:t>
            </w:r>
          </w:p>
        </w:tc>
        <w:tc>
          <w:tcPr>
            <w:tcW w:w="3120" w:type="dxa"/>
            <w:vMerge/>
          </w:tcPr>
          <w:p w14:paraId="6B8A0281" w14:textId="383DF556" w:rsidR="00CE2E32" w:rsidRDefault="00CE2E32" w:rsidP="00CE2E32">
            <w:pPr>
              <w:rPr>
                <w:b/>
                <w:bCs/>
              </w:rPr>
            </w:pPr>
          </w:p>
        </w:tc>
      </w:tr>
      <w:tr w:rsidR="00CE2E32" w14:paraId="7109E4A4" w14:textId="77777777" w:rsidTr="00AC70F4">
        <w:trPr>
          <w:trHeight w:val="300"/>
        </w:trPr>
        <w:tc>
          <w:tcPr>
            <w:tcW w:w="9360" w:type="dxa"/>
            <w:gridSpan w:val="3"/>
          </w:tcPr>
          <w:p w14:paraId="14D2A19D" w14:textId="564B51E7" w:rsidR="00CE2E32" w:rsidRDefault="00CE2E32" w:rsidP="00CE2E32">
            <w:pPr>
              <w:rPr>
                <w:b/>
                <w:bCs/>
              </w:rPr>
            </w:pPr>
            <w:r w:rsidRPr="3CB5EE51">
              <w:rPr>
                <w:b/>
                <w:bCs/>
              </w:rPr>
              <w:t>With HCC screening</w:t>
            </w:r>
          </w:p>
        </w:tc>
      </w:tr>
      <w:tr w:rsidR="00CE2E32" w14:paraId="109B4EF9" w14:textId="77777777" w:rsidTr="00AC70F4">
        <w:trPr>
          <w:trHeight w:val="300"/>
        </w:trPr>
        <w:tc>
          <w:tcPr>
            <w:tcW w:w="3120" w:type="dxa"/>
          </w:tcPr>
          <w:p w14:paraId="68DC0A51" w14:textId="50F3237B" w:rsidR="00CE2E32" w:rsidRDefault="00CE2E32" w:rsidP="00CE2E32">
            <w:r>
              <w:t>% Early stage</w:t>
            </w:r>
          </w:p>
        </w:tc>
        <w:tc>
          <w:tcPr>
            <w:tcW w:w="3120" w:type="dxa"/>
          </w:tcPr>
          <w:p w14:paraId="3CB5D30D" w14:textId="4C2D8C72" w:rsidR="00CE2E32" w:rsidRDefault="00CE2E32" w:rsidP="00CE2E32">
            <w:r>
              <w:t>70.7%</w:t>
            </w:r>
          </w:p>
        </w:tc>
        <w:tc>
          <w:tcPr>
            <w:tcW w:w="3120" w:type="dxa"/>
            <w:vMerge w:val="restart"/>
          </w:tcPr>
          <w:p w14:paraId="6EAC8EB7" w14:textId="2BCE342D" w:rsidR="00CE2E32" w:rsidRDefault="00CE2E32" w:rsidP="00CE2E32">
            <w:commentRangeStart w:id="15"/>
            <w:r>
              <w:t>Daher 2024</w:t>
            </w:r>
            <w:commentRangeEnd w:id="15"/>
            <w:r>
              <w:rPr>
                <w:rStyle w:val="CommentReference"/>
              </w:rPr>
              <w:commentReference w:id="15"/>
            </w:r>
          </w:p>
        </w:tc>
      </w:tr>
      <w:tr w:rsidR="00CE2E32" w14:paraId="5E0597D9" w14:textId="77777777" w:rsidTr="00AC70F4">
        <w:trPr>
          <w:trHeight w:val="300"/>
        </w:trPr>
        <w:tc>
          <w:tcPr>
            <w:tcW w:w="3120" w:type="dxa"/>
          </w:tcPr>
          <w:p w14:paraId="755CA208" w14:textId="27BD3994" w:rsidR="00CE2E32" w:rsidRDefault="00CE2E32" w:rsidP="00CE2E32">
            <w:r>
              <w:t>% Intermediate stage</w:t>
            </w:r>
          </w:p>
        </w:tc>
        <w:tc>
          <w:tcPr>
            <w:tcW w:w="3120" w:type="dxa"/>
          </w:tcPr>
          <w:p w14:paraId="192FD756" w14:textId="70E97167" w:rsidR="00CE2E32" w:rsidRPr="00CF560B" w:rsidRDefault="00CE2E32" w:rsidP="00CE2E32">
            <w:pPr>
              <w:rPr>
                <w:rFonts w:ascii="Times New Roman" w:hAnsi="Times New Roman" w:cs="Times New Roman"/>
              </w:rPr>
            </w:pPr>
            <w:r>
              <w:t>15.6%</w:t>
            </w:r>
          </w:p>
        </w:tc>
        <w:tc>
          <w:tcPr>
            <w:tcW w:w="3120" w:type="dxa"/>
            <w:vMerge/>
          </w:tcPr>
          <w:p w14:paraId="397593C5" w14:textId="660F9099" w:rsidR="00CE2E32" w:rsidRDefault="00CE2E32" w:rsidP="00CE2E32">
            <w:pPr>
              <w:rPr>
                <w:b/>
                <w:bCs/>
              </w:rPr>
            </w:pPr>
          </w:p>
        </w:tc>
      </w:tr>
      <w:tr w:rsidR="00CE2E32" w14:paraId="41163C28" w14:textId="77777777" w:rsidTr="00AC70F4">
        <w:trPr>
          <w:trHeight w:val="300"/>
        </w:trPr>
        <w:tc>
          <w:tcPr>
            <w:tcW w:w="3120" w:type="dxa"/>
          </w:tcPr>
          <w:p w14:paraId="62384B55" w14:textId="5A442109" w:rsidR="00CE2E32" w:rsidRDefault="00CE2E32" w:rsidP="00CE2E32">
            <w:r>
              <w:t>% Late stage</w:t>
            </w:r>
          </w:p>
        </w:tc>
        <w:tc>
          <w:tcPr>
            <w:tcW w:w="3120" w:type="dxa"/>
          </w:tcPr>
          <w:p w14:paraId="2F4C6912" w14:textId="4A0E1DD1" w:rsidR="00CE2E32" w:rsidRDefault="00CE2E32" w:rsidP="00CE2E32">
            <w:r>
              <w:t>13.7%</w:t>
            </w:r>
          </w:p>
        </w:tc>
        <w:tc>
          <w:tcPr>
            <w:tcW w:w="3120" w:type="dxa"/>
            <w:vMerge/>
          </w:tcPr>
          <w:p w14:paraId="33E60B4E" w14:textId="3F6068C2" w:rsidR="00CE2E32" w:rsidRDefault="00CE2E32" w:rsidP="00CE2E32">
            <w:pPr>
              <w:rPr>
                <w:b/>
                <w:bCs/>
              </w:rPr>
            </w:pPr>
          </w:p>
        </w:tc>
      </w:tr>
    </w:tbl>
    <w:p w14:paraId="556B1069" w14:textId="4803C3BF" w:rsidR="59961667" w:rsidRDefault="3CB5EE51">
      <w:r>
        <w:t xml:space="preserve">(*We assume that the age and sex distribution will be uniform across the above HCC stages upon diagnosis) </w:t>
      </w:r>
    </w:p>
    <w:p w14:paraId="184DBAD1" w14:textId="39E6F706" w:rsidR="59961667" w:rsidRDefault="59961667" w:rsidP="59961667">
      <w:pPr>
        <w:rPr>
          <w:b/>
          <w:bCs/>
        </w:rPr>
      </w:pPr>
    </w:p>
    <w:p w14:paraId="58C318A7" w14:textId="051A3906" w:rsidR="00FC63E7" w:rsidRDefault="1890523D" w:rsidP="59961667">
      <w:commentRangeStart w:id="16"/>
      <w:r w:rsidRPr="1890523D">
        <w:rPr>
          <w:b/>
          <w:bCs/>
          <w:highlight w:val="yellow"/>
        </w:rPr>
        <w:t>Breakdown of HCC treatment received by HCC stage</w:t>
      </w:r>
      <w:r>
        <w:t xml:space="preserve"> </w:t>
      </w:r>
      <w:commentRangeEnd w:id="16"/>
      <w:r w:rsidR="00044B59">
        <w:rPr>
          <w:rStyle w:val="CommentReference"/>
        </w:rPr>
        <w:commentReference w:id="16"/>
      </w:r>
      <w:r>
        <w:t xml:space="preserve"> </w:t>
      </w:r>
    </w:p>
    <w:p w14:paraId="063D2B2C" w14:textId="611E1BCC" w:rsidR="00E46242" w:rsidRDefault="12AF2F44" w:rsidP="50448BAA">
      <w:pPr>
        <w:spacing w:line="259" w:lineRule="auto"/>
      </w:pPr>
      <w:r>
        <w:t>These values are taken from SEER-Medicare, 2010-2015 data (by HCC diagnosis date). I limited the data to these 5 years to account for the introduction of sorafenib after 2007 and also HCC staging after 2015 looks odd due to coding changes. In here, radiotherapy group is updated with additional codes taken from the SEER Medicare resource page (</w:t>
      </w:r>
      <w:hyperlink r:id="rId10">
        <w:r w:rsidRPr="12AF2F44">
          <w:rPr>
            <w:rStyle w:val="Hyperlink"/>
          </w:rPr>
          <w:t>link</w:t>
        </w:r>
      </w:hyperlink>
      <w:r>
        <w:t xml:space="preserve">). (I used HCC diagnosis date instead of treatment administration date because patients who didn’t receive treatment don’t have treatment date). </w:t>
      </w:r>
    </w:p>
    <w:p w14:paraId="2031124A" w14:textId="1D5DDAB4" w:rsidR="6DC8D1A1" w:rsidRDefault="6DC8D1A1" w:rsidP="1890523D">
      <w:pPr>
        <w:spacing w:line="259" w:lineRule="auto"/>
      </w:pPr>
    </w:p>
    <w:p w14:paraId="7380AC0C" w14:textId="60AFED8D" w:rsidR="6DC8D1A1" w:rsidRDefault="1890523D" w:rsidP="1890523D">
      <w:pPr>
        <w:pStyle w:val="ListParagraph"/>
        <w:numPr>
          <w:ilvl w:val="0"/>
          <w:numId w:val="1"/>
        </w:numPr>
        <w:spacing w:line="259" w:lineRule="auto"/>
      </w:pPr>
      <w:r>
        <w:t>Out of patients without cirrhosis (we will use this one first)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129"/>
        <w:gridCol w:w="1450"/>
        <w:gridCol w:w="1208"/>
        <w:gridCol w:w="1457"/>
        <w:gridCol w:w="1208"/>
      </w:tblGrid>
      <w:tr w:rsidR="50448BAA" w14:paraId="1DAEC45E" w14:textId="77777777" w:rsidTr="4482F7D4">
        <w:trPr>
          <w:trHeight w:val="300"/>
        </w:trPr>
        <w:tc>
          <w:tcPr>
            <w:tcW w:w="3579" w:type="dxa"/>
            <w:gridSpan w:val="2"/>
            <w:tcMar>
              <w:top w:w="15" w:type="dxa"/>
              <w:left w:w="15" w:type="dxa"/>
              <w:right w:w="15" w:type="dxa"/>
            </w:tcMar>
            <w:vAlign w:val="bottom"/>
          </w:tcPr>
          <w:p w14:paraId="545683BE" w14:textId="54EAAF8A" w:rsidR="50448BAA" w:rsidRDefault="50448BAA" w:rsidP="50448BAA">
            <w:r w:rsidRPr="50448BAA">
              <w:rPr>
                <w:rFonts w:ascii="Calibri" w:eastAsia="Calibri" w:hAnsi="Calibri" w:cs="Calibri"/>
                <w:color w:val="000000" w:themeColor="text1"/>
                <w:sz w:val="22"/>
                <w:szCs w:val="22"/>
              </w:rPr>
              <w:lastRenderedPageBreak/>
              <w:t>HCC Stage</w:t>
            </w:r>
          </w:p>
        </w:tc>
        <w:tc>
          <w:tcPr>
            <w:tcW w:w="1208" w:type="dxa"/>
            <w:tcMar>
              <w:top w:w="15" w:type="dxa"/>
              <w:left w:w="15" w:type="dxa"/>
              <w:right w:w="15" w:type="dxa"/>
            </w:tcMar>
            <w:vAlign w:val="bottom"/>
          </w:tcPr>
          <w:p w14:paraId="1FE33764" w14:textId="130B73C2" w:rsidR="2C34D708" w:rsidRDefault="2C34D708" w:rsidP="50448BAA">
            <w:r w:rsidRPr="50448BAA">
              <w:rPr>
                <w:rFonts w:ascii="Calibri" w:eastAsia="Calibri" w:hAnsi="Calibri" w:cs="Calibri"/>
                <w:color w:val="000000" w:themeColor="text1"/>
                <w:sz w:val="22"/>
                <w:szCs w:val="22"/>
              </w:rPr>
              <w:t>E</w:t>
            </w:r>
            <w:r w:rsidR="50448BAA" w:rsidRPr="50448BAA">
              <w:rPr>
                <w:rFonts w:ascii="Calibri" w:eastAsia="Calibri" w:hAnsi="Calibri" w:cs="Calibri"/>
                <w:color w:val="000000" w:themeColor="text1"/>
                <w:sz w:val="22"/>
                <w:szCs w:val="22"/>
              </w:rPr>
              <w:t>arly</w:t>
            </w:r>
          </w:p>
        </w:tc>
        <w:tc>
          <w:tcPr>
            <w:tcW w:w="1457" w:type="dxa"/>
            <w:tcMar>
              <w:top w:w="15" w:type="dxa"/>
              <w:left w:w="15" w:type="dxa"/>
              <w:right w:w="15" w:type="dxa"/>
            </w:tcMar>
            <w:vAlign w:val="bottom"/>
          </w:tcPr>
          <w:p w14:paraId="05783A5E" w14:textId="36A5E58C" w:rsidR="2D804282" w:rsidRDefault="2D804282" w:rsidP="50448BAA">
            <w:pPr>
              <w:spacing w:line="259" w:lineRule="auto"/>
            </w:pPr>
            <w:r w:rsidRPr="50448BAA">
              <w:rPr>
                <w:rFonts w:ascii="Calibri" w:eastAsia="Calibri" w:hAnsi="Calibri" w:cs="Calibri"/>
                <w:color w:val="000000" w:themeColor="text1"/>
                <w:sz w:val="22"/>
                <w:szCs w:val="22"/>
              </w:rPr>
              <w:t>Intermediate</w:t>
            </w:r>
          </w:p>
        </w:tc>
        <w:tc>
          <w:tcPr>
            <w:tcW w:w="1208" w:type="dxa"/>
            <w:tcMar>
              <w:top w:w="15" w:type="dxa"/>
              <w:left w:w="15" w:type="dxa"/>
              <w:right w:w="15" w:type="dxa"/>
            </w:tcMar>
            <w:vAlign w:val="bottom"/>
          </w:tcPr>
          <w:p w14:paraId="5212DFE5" w14:textId="4FBC351F" w:rsidR="2D804282" w:rsidRDefault="2D804282" w:rsidP="50448BAA">
            <w:pPr>
              <w:spacing w:line="259" w:lineRule="auto"/>
            </w:pPr>
            <w:r w:rsidRPr="50448BAA">
              <w:rPr>
                <w:rFonts w:ascii="Calibri" w:eastAsia="Calibri" w:hAnsi="Calibri" w:cs="Calibri"/>
                <w:color w:val="000000" w:themeColor="text1"/>
                <w:sz w:val="22"/>
                <w:szCs w:val="22"/>
              </w:rPr>
              <w:t>Late</w:t>
            </w:r>
          </w:p>
        </w:tc>
      </w:tr>
      <w:tr w:rsidR="50448BAA" w14:paraId="50033D4A" w14:textId="77777777" w:rsidTr="4482F7D4">
        <w:trPr>
          <w:trHeight w:val="300"/>
        </w:trPr>
        <w:tc>
          <w:tcPr>
            <w:tcW w:w="2129" w:type="dxa"/>
            <w:tcMar>
              <w:top w:w="15" w:type="dxa"/>
              <w:left w:w="15" w:type="dxa"/>
              <w:right w:w="15" w:type="dxa"/>
            </w:tcMar>
            <w:vAlign w:val="bottom"/>
          </w:tcPr>
          <w:p w14:paraId="2F903C58" w14:textId="6946EB08" w:rsidR="50448BAA" w:rsidRDefault="50448BAA" w:rsidP="50448BAA">
            <w:r w:rsidRPr="50448BAA">
              <w:rPr>
                <w:rFonts w:ascii="Calibri" w:eastAsia="Calibri" w:hAnsi="Calibri" w:cs="Calibri"/>
                <w:color w:val="000000" w:themeColor="text1"/>
                <w:sz w:val="22"/>
                <w:szCs w:val="22"/>
              </w:rPr>
              <w:t>N</w:t>
            </w:r>
          </w:p>
        </w:tc>
        <w:tc>
          <w:tcPr>
            <w:tcW w:w="1450" w:type="dxa"/>
            <w:tcMar>
              <w:top w:w="15" w:type="dxa"/>
              <w:left w:w="15" w:type="dxa"/>
              <w:right w:w="15" w:type="dxa"/>
            </w:tcMar>
            <w:vAlign w:val="bottom"/>
          </w:tcPr>
          <w:p w14:paraId="33084DB2" w14:textId="65A1408B" w:rsidR="50448BAA" w:rsidRDefault="50448BAA"/>
        </w:tc>
        <w:tc>
          <w:tcPr>
            <w:tcW w:w="1208" w:type="dxa"/>
            <w:tcMar>
              <w:top w:w="15" w:type="dxa"/>
              <w:left w:w="15" w:type="dxa"/>
              <w:right w:w="15" w:type="dxa"/>
            </w:tcMar>
            <w:vAlign w:val="bottom"/>
          </w:tcPr>
          <w:p w14:paraId="320B49A3" w14:textId="05785E0B" w:rsidR="50448BAA" w:rsidRDefault="50448BAA" w:rsidP="50448BAA">
            <w:r w:rsidRPr="50448BAA">
              <w:rPr>
                <w:rFonts w:ascii="Calibri" w:eastAsia="Calibri" w:hAnsi="Calibri" w:cs="Calibri"/>
                <w:color w:val="000000" w:themeColor="text1"/>
                <w:sz w:val="22"/>
                <w:szCs w:val="22"/>
              </w:rPr>
              <w:t>450</w:t>
            </w:r>
          </w:p>
        </w:tc>
        <w:tc>
          <w:tcPr>
            <w:tcW w:w="1457" w:type="dxa"/>
            <w:tcMar>
              <w:top w:w="15" w:type="dxa"/>
              <w:left w:w="15" w:type="dxa"/>
              <w:right w:w="15" w:type="dxa"/>
            </w:tcMar>
            <w:vAlign w:val="bottom"/>
          </w:tcPr>
          <w:p w14:paraId="1441232F" w14:textId="0ACCBCA9" w:rsidR="50448BAA" w:rsidRDefault="50448BAA" w:rsidP="50448BAA">
            <w:r w:rsidRPr="50448BAA">
              <w:rPr>
                <w:rFonts w:ascii="Calibri" w:eastAsia="Calibri" w:hAnsi="Calibri" w:cs="Calibri"/>
                <w:color w:val="000000" w:themeColor="text1"/>
                <w:sz w:val="22"/>
                <w:szCs w:val="22"/>
              </w:rPr>
              <w:t>376</w:t>
            </w:r>
          </w:p>
        </w:tc>
        <w:tc>
          <w:tcPr>
            <w:tcW w:w="1208" w:type="dxa"/>
            <w:tcMar>
              <w:top w:w="15" w:type="dxa"/>
              <w:left w:w="15" w:type="dxa"/>
              <w:right w:w="15" w:type="dxa"/>
            </w:tcMar>
            <w:vAlign w:val="bottom"/>
          </w:tcPr>
          <w:p w14:paraId="3FCD2250" w14:textId="7B829917" w:rsidR="50448BAA" w:rsidRDefault="50448BAA" w:rsidP="50448BAA">
            <w:r w:rsidRPr="50448BAA">
              <w:rPr>
                <w:rFonts w:ascii="Calibri" w:eastAsia="Calibri" w:hAnsi="Calibri" w:cs="Calibri"/>
                <w:color w:val="000000" w:themeColor="text1"/>
                <w:sz w:val="22"/>
                <w:szCs w:val="22"/>
              </w:rPr>
              <w:t>372</w:t>
            </w:r>
          </w:p>
        </w:tc>
      </w:tr>
      <w:tr w:rsidR="50448BAA" w14:paraId="436D9D1D" w14:textId="77777777" w:rsidTr="4482F7D4">
        <w:trPr>
          <w:trHeight w:val="300"/>
        </w:trPr>
        <w:tc>
          <w:tcPr>
            <w:tcW w:w="2129" w:type="dxa"/>
            <w:tcMar>
              <w:top w:w="15" w:type="dxa"/>
              <w:left w:w="15" w:type="dxa"/>
              <w:right w:w="15" w:type="dxa"/>
            </w:tcMar>
            <w:vAlign w:val="bottom"/>
          </w:tcPr>
          <w:p w14:paraId="62D36289" w14:textId="7F53D17C" w:rsidR="50448BAA" w:rsidRDefault="50448BAA" w:rsidP="50448BAA">
            <w:r w:rsidRPr="50448BAA">
              <w:rPr>
                <w:rFonts w:ascii="Calibri" w:eastAsia="Calibri" w:hAnsi="Calibri" w:cs="Calibri"/>
                <w:color w:val="000000" w:themeColor="text1"/>
                <w:sz w:val="22"/>
                <w:szCs w:val="22"/>
              </w:rPr>
              <w:t>First Treatment Type</w:t>
            </w:r>
          </w:p>
        </w:tc>
        <w:tc>
          <w:tcPr>
            <w:tcW w:w="1450" w:type="dxa"/>
            <w:tcMar>
              <w:top w:w="15" w:type="dxa"/>
              <w:left w:w="15" w:type="dxa"/>
              <w:right w:w="15" w:type="dxa"/>
            </w:tcMar>
            <w:vAlign w:val="bottom"/>
          </w:tcPr>
          <w:p w14:paraId="40BBED81" w14:textId="79DC60AD" w:rsidR="0A4CECF0" w:rsidRDefault="0A4CECF0" w:rsidP="50448BAA">
            <w:r w:rsidRPr="50448BAA">
              <w:rPr>
                <w:rFonts w:ascii="Calibri" w:eastAsia="Calibri" w:hAnsi="Calibri" w:cs="Calibri"/>
                <w:color w:val="000000" w:themeColor="text1"/>
                <w:sz w:val="22"/>
                <w:szCs w:val="22"/>
              </w:rPr>
              <w:t>A</w:t>
            </w:r>
            <w:r w:rsidR="50448BAA" w:rsidRPr="50448BAA">
              <w:rPr>
                <w:rFonts w:ascii="Calibri" w:eastAsia="Calibri" w:hAnsi="Calibri" w:cs="Calibri"/>
                <w:color w:val="000000" w:themeColor="text1"/>
                <w:sz w:val="22"/>
                <w:szCs w:val="22"/>
              </w:rPr>
              <w:t>blation</w:t>
            </w:r>
          </w:p>
        </w:tc>
        <w:tc>
          <w:tcPr>
            <w:tcW w:w="1208" w:type="dxa"/>
            <w:tcMar>
              <w:top w:w="15" w:type="dxa"/>
              <w:left w:w="15" w:type="dxa"/>
              <w:right w:w="15" w:type="dxa"/>
            </w:tcMar>
            <w:vAlign w:val="bottom"/>
          </w:tcPr>
          <w:p w14:paraId="7D5495E5" w14:textId="1C778F8D" w:rsidR="50448BAA" w:rsidRDefault="50448BAA" w:rsidP="50448BAA">
            <w:r w:rsidRPr="50448BAA">
              <w:rPr>
                <w:rFonts w:ascii="Calibri" w:eastAsia="Calibri" w:hAnsi="Calibri" w:cs="Calibri"/>
                <w:color w:val="000000" w:themeColor="text1"/>
                <w:sz w:val="22"/>
                <w:szCs w:val="22"/>
              </w:rPr>
              <w:t>18 (4.0)</w:t>
            </w:r>
          </w:p>
        </w:tc>
        <w:tc>
          <w:tcPr>
            <w:tcW w:w="1457" w:type="dxa"/>
            <w:tcMar>
              <w:top w:w="15" w:type="dxa"/>
              <w:left w:w="15" w:type="dxa"/>
              <w:right w:w="15" w:type="dxa"/>
            </w:tcMar>
            <w:vAlign w:val="bottom"/>
          </w:tcPr>
          <w:p w14:paraId="6EEA06EF" w14:textId="5BF2398A" w:rsidR="50448BAA" w:rsidRDefault="50448BAA" w:rsidP="50448BAA">
            <w:r w:rsidRPr="50448BAA">
              <w:rPr>
                <w:rFonts w:ascii="Calibri" w:eastAsia="Calibri" w:hAnsi="Calibri" w:cs="Calibri"/>
                <w:color w:val="000000" w:themeColor="text1"/>
                <w:sz w:val="22"/>
                <w:szCs w:val="22"/>
              </w:rPr>
              <w:t>12 (3.2)</w:t>
            </w:r>
          </w:p>
        </w:tc>
        <w:tc>
          <w:tcPr>
            <w:tcW w:w="1208" w:type="dxa"/>
            <w:tcMar>
              <w:top w:w="15" w:type="dxa"/>
              <w:left w:w="15" w:type="dxa"/>
              <w:right w:w="15" w:type="dxa"/>
            </w:tcMar>
            <w:vAlign w:val="bottom"/>
          </w:tcPr>
          <w:p w14:paraId="58A96247" w14:textId="47E145F6" w:rsidR="50448BAA" w:rsidRDefault="50448BAA" w:rsidP="50448BAA">
            <w:r w:rsidRPr="50448BAA">
              <w:rPr>
                <w:rFonts w:ascii="Calibri" w:eastAsia="Calibri" w:hAnsi="Calibri" w:cs="Calibri"/>
                <w:color w:val="000000" w:themeColor="text1"/>
                <w:sz w:val="22"/>
                <w:szCs w:val="22"/>
              </w:rPr>
              <w:t>1 (0.3)</w:t>
            </w:r>
          </w:p>
        </w:tc>
      </w:tr>
      <w:tr w:rsidR="50448BAA" w14:paraId="4C4975BE" w14:textId="77777777" w:rsidTr="4482F7D4">
        <w:trPr>
          <w:trHeight w:val="300"/>
        </w:trPr>
        <w:tc>
          <w:tcPr>
            <w:tcW w:w="2129" w:type="dxa"/>
            <w:tcMar>
              <w:top w:w="15" w:type="dxa"/>
              <w:left w:w="15" w:type="dxa"/>
              <w:right w:w="15" w:type="dxa"/>
            </w:tcMar>
            <w:vAlign w:val="bottom"/>
          </w:tcPr>
          <w:p w14:paraId="378A7037" w14:textId="305CD5B6" w:rsidR="50448BAA" w:rsidRDefault="50448BAA"/>
        </w:tc>
        <w:tc>
          <w:tcPr>
            <w:tcW w:w="1450" w:type="dxa"/>
            <w:tcMar>
              <w:top w:w="15" w:type="dxa"/>
              <w:left w:w="15" w:type="dxa"/>
              <w:right w:w="15" w:type="dxa"/>
            </w:tcMar>
            <w:vAlign w:val="bottom"/>
          </w:tcPr>
          <w:p w14:paraId="23141E11" w14:textId="337E34A1" w:rsidR="138A64C1" w:rsidRDefault="138A64C1" w:rsidP="50448BAA">
            <w:r w:rsidRPr="50448BAA">
              <w:rPr>
                <w:rFonts w:ascii="Calibri" w:eastAsia="Calibri" w:hAnsi="Calibri" w:cs="Calibri"/>
                <w:color w:val="000000" w:themeColor="text1"/>
                <w:sz w:val="22"/>
                <w:szCs w:val="22"/>
              </w:rPr>
              <w:t>R</w:t>
            </w:r>
            <w:r w:rsidR="50448BAA" w:rsidRPr="50448BAA">
              <w:rPr>
                <w:rFonts w:ascii="Calibri" w:eastAsia="Calibri" w:hAnsi="Calibri" w:cs="Calibri"/>
                <w:color w:val="000000" w:themeColor="text1"/>
                <w:sz w:val="22"/>
                <w:szCs w:val="22"/>
              </w:rPr>
              <w:t>adiotherapy</w:t>
            </w:r>
          </w:p>
        </w:tc>
        <w:tc>
          <w:tcPr>
            <w:tcW w:w="1208" w:type="dxa"/>
            <w:tcMar>
              <w:top w:w="15" w:type="dxa"/>
              <w:left w:w="15" w:type="dxa"/>
              <w:right w:w="15" w:type="dxa"/>
            </w:tcMar>
            <w:vAlign w:val="bottom"/>
          </w:tcPr>
          <w:p w14:paraId="4E26382F" w14:textId="1EB4F018" w:rsidR="50448BAA" w:rsidRDefault="50448BAA" w:rsidP="50448BAA">
            <w:r w:rsidRPr="50448BAA">
              <w:rPr>
                <w:rFonts w:ascii="Calibri" w:eastAsia="Calibri" w:hAnsi="Calibri" w:cs="Calibri"/>
                <w:color w:val="000000" w:themeColor="text1"/>
                <w:sz w:val="22"/>
                <w:szCs w:val="22"/>
              </w:rPr>
              <w:t>2 (0.4)</w:t>
            </w:r>
          </w:p>
        </w:tc>
        <w:tc>
          <w:tcPr>
            <w:tcW w:w="1457" w:type="dxa"/>
            <w:tcMar>
              <w:top w:w="15" w:type="dxa"/>
              <w:left w:w="15" w:type="dxa"/>
              <w:right w:w="15" w:type="dxa"/>
            </w:tcMar>
            <w:vAlign w:val="bottom"/>
          </w:tcPr>
          <w:p w14:paraId="439706B3" w14:textId="205812A4" w:rsidR="50448BAA" w:rsidRDefault="50448BAA" w:rsidP="50448BAA">
            <w:r w:rsidRPr="50448BAA">
              <w:rPr>
                <w:rFonts w:ascii="Calibri" w:eastAsia="Calibri" w:hAnsi="Calibri" w:cs="Calibri"/>
                <w:color w:val="000000" w:themeColor="text1"/>
                <w:sz w:val="22"/>
                <w:szCs w:val="22"/>
              </w:rPr>
              <w:t>0 (0.0)</w:t>
            </w:r>
          </w:p>
        </w:tc>
        <w:tc>
          <w:tcPr>
            <w:tcW w:w="1208" w:type="dxa"/>
            <w:tcMar>
              <w:top w:w="15" w:type="dxa"/>
              <w:left w:w="15" w:type="dxa"/>
              <w:right w:w="15" w:type="dxa"/>
            </w:tcMar>
            <w:vAlign w:val="bottom"/>
          </w:tcPr>
          <w:p w14:paraId="5218CEB3" w14:textId="3DE31D9A" w:rsidR="50448BAA" w:rsidRDefault="50448BAA" w:rsidP="50448BAA">
            <w:r w:rsidRPr="50448BAA">
              <w:rPr>
                <w:rFonts w:ascii="Calibri" w:eastAsia="Calibri" w:hAnsi="Calibri" w:cs="Calibri"/>
                <w:color w:val="000000" w:themeColor="text1"/>
                <w:sz w:val="22"/>
                <w:szCs w:val="22"/>
              </w:rPr>
              <w:t>5 (1.3)</w:t>
            </w:r>
          </w:p>
        </w:tc>
      </w:tr>
      <w:tr w:rsidR="50448BAA" w14:paraId="53EDD7B9" w14:textId="77777777" w:rsidTr="4482F7D4">
        <w:trPr>
          <w:trHeight w:val="300"/>
        </w:trPr>
        <w:tc>
          <w:tcPr>
            <w:tcW w:w="2129" w:type="dxa"/>
            <w:tcMar>
              <w:top w:w="15" w:type="dxa"/>
              <w:left w:w="15" w:type="dxa"/>
              <w:right w:w="15" w:type="dxa"/>
            </w:tcMar>
            <w:vAlign w:val="bottom"/>
          </w:tcPr>
          <w:p w14:paraId="089ED1DF" w14:textId="7C0EDF1C" w:rsidR="50448BAA" w:rsidRDefault="50448BAA"/>
        </w:tc>
        <w:tc>
          <w:tcPr>
            <w:tcW w:w="1450" w:type="dxa"/>
            <w:tcMar>
              <w:top w:w="15" w:type="dxa"/>
              <w:left w:w="15" w:type="dxa"/>
              <w:right w:w="15" w:type="dxa"/>
            </w:tcMar>
            <w:vAlign w:val="bottom"/>
          </w:tcPr>
          <w:p w14:paraId="2A9C0BFF" w14:textId="0B1C673B" w:rsidR="2144CB5B" w:rsidRDefault="2144CB5B" w:rsidP="50448BAA">
            <w:r w:rsidRPr="50448BAA">
              <w:rPr>
                <w:rFonts w:ascii="Calibri" w:eastAsia="Calibri" w:hAnsi="Calibri" w:cs="Calibri"/>
                <w:color w:val="000000" w:themeColor="text1"/>
                <w:sz w:val="22"/>
                <w:szCs w:val="22"/>
              </w:rPr>
              <w:t>R</w:t>
            </w:r>
            <w:r w:rsidR="50448BAA" w:rsidRPr="50448BAA">
              <w:rPr>
                <w:rFonts w:ascii="Calibri" w:eastAsia="Calibri" w:hAnsi="Calibri" w:cs="Calibri"/>
                <w:color w:val="000000" w:themeColor="text1"/>
                <w:sz w:val="22"/>
                <w:szCs w:val="22"/>
              </w:rPr>
              <w:t>esection</w:t>
            </w:r>
          </w:p>
        </w:tc>
        <w:tc>
          <w:tcPr>
            <w:tcW w:w="1208" w:type="dxa"/>
            <w:tcMar>
              <w:top w:w="15" w:type="dxa"/>
              <w:left w:w="15" w:type="dxa"/>
              <w:right w:w="15" w:type="dxa"/>
            </w:tcMar>
            <w:vAlign w:val="bottom"/>
          </w:tcPr>
          <w:p w14:paraId="680B2EBF" w14:textId="0F4BB3F9" w:rsidR="50448BAA" w:rsidRDefault="50448BAA" w:rsidP="50448BAA">
            <w:r w:rsidRPr="50448BAA">
              <w:rPr>
                <w:rFonts w:ascii="Calibri" w:eastAsia="Calibri" w:hAnsi="Calibri" w:cs="Calibri"/>
                <w:color w:val="000000" w:themeColor="text1"/>
                <w:sz w:val="22"/>
                <w:szCs w:val="22"/>
              </w:rPr>
              <w:t>72 (16.0)</w:t>
            </w:r>
          </w:p>
        </w:tc>
        <w:tc>
          <w:tcPr>
            <w:tcW w:w="1457" w:type="dxa"/>
            <w:tcMar>
              <w:top w:w="15" w:type="dxa"/>
              <w:left w:w="15" w:type="dxa"/>
              <w:right w:w="15" w:type="dxa"/>
            </w:tcMar>
            <w:vAlign w:val="bottom"/>
          </w:tcPr>
          <w:p w14:paraId="2A2566B5" w14:textId="4C25DE33" w:rsidR="50448BAA" w:rsidRDefault="50448BAA" w:rsidP="50448BAA">
            <w:r w:rsidRPr="50448BAA">
              <w:rPr>
                <w:rFonts w:ascii="Calibri" w:eastAsia="Calibri" w:hAnsi="Calibri" w:cs="Calibri"/>
                <w:color w:val="000000" w:themeColor="text1"/>
                <w:sz w:val="22"/>
                <w:szCs w:val="22"/>
              </w:rPr>
              <w:t>36 (9.6)</w:t>
            </w:r>
          </w:p>
        </w:tc>
        <w:tc>
          <w:tcPr>
            <w:tcW w:w="1208" w:type="dxa"/>
            <w:shd w:val="clear" w:color="auto" w:fill="FFFF00"/>
            <w:tcMar>
              <w:top w:w="15" w:type="dxa"/>
              <w:left w:w="15" w:type="dxa"/>
              <w:right w:w="15" w:type="dxa"/>
            </w:tcMar>
            <w:vAlign w:val="bottom"/>
          </w:tcPr>
          <w:p w14:paraId="61A4B71A" w14:textId="36BD71AC" w:rsidR="50448BAA" w:rsidRDefault="4482F7D4" w:rsidP="4482F7D4">
            <w:pPr>
              <w:rPr>
                <w:rFonts w:ascii="Calibri" w:eastAsia="Calibri" w:hAnsi="Calibri" w:cs="Calibri"/>
                <w:color w:val="FF0000"/>
                <w:sz w:val="22"/>
                <w:szCs w:val="22"/>
              </w:rPr>
            </w:pPr>
            <w:commentRangeStart w:id="17"/>
            <w:r w:rsidRPr="4482F7D4">
              <w:rPr>
                <w:rFonts w:ascii="Calibri" w:eastAsia="Calibri" w:hAnsi="Calibri" w:cs="Calibri"/>
                <w:color w:val="FF0000"/>
                <w:sz w:val="22"/>
                <w:szCs w:val="22"/>
              </w:rPr>
              <w:t xml:space="preserve">5 (1.3) </w:t>
            </w:r>
            <w:commentRangeEnd w:id="17"/>
            <w:r w:rsidR="50448BAA">
              <w:rPr>
                <w:rStyle w:val="CommentReference"/>
              </w:rPr>
              <w:commentReference w:id="17"/>
            </w:r>
          </w:p>
        </w:tc>
      </w:tr>
      <w:tr w:rsidR="50448BAA" w14:paraId="402783BF" w14:textId="77777777" w:rsidTr="4482F7D4">
        <w:trPr>
          <w:trHeight w:val="300"/>
        </w:trPr>
        <w:tc>
          <w:tcPr>
            <w:tcW w:w="2129" w:type="dxa"/>
            <w:tcMar>
              <w:top w:w="15" w:type="dxa"/>
              <w:left w:w="15" w:type="dxa"/>
              <w:right w:w="15" w:type="dxa"/>
            </w:tcMar>
            <w:vAlign w:val="bottom"/>
          </w:tcPr>
          <w:p w14:paraId="42BB11B1" w14:textId="2BAC0021" w:rsidR="50448BAA" w:rsidRDefault="50448BAA"/>
        </w:tc>
        <w:tc>
          <w:tcPr>
            <w:tcW w:w="1450" w:type="dxa"/>
            <w:tcMar>
              <w:top w:w="15" w:type="dxa"/>
              <w:left w:w="15" w:type="dxa"/>
              <w:right w:w="15" w:type="dxa"/>
            </w:tcMar>
            <w:vAlign w:val="bottom"/>
          </w:tcPr>
          <w:p w14:paraId="4162F4CF" w14:textId="0010141C" w:rsidR="49755E00" w:rsidRDefault="49755E00" w:rsidP="50448BAA">
            <w:r w:rsidRPr="50448BAA">
              <w:rPr>
                <w:rFonts w:ascii="Calibri" w:eastAsia="Calibri" w:hAnsi="Calibri" w:cs="Calibri"/>
                <w:color w:val="000000" w:themeColor="text1"/>
                <w:sz w:val="22"/>
                <w:szCs w:val="22"/>
              </w:rPr>
              <w:t>S</w:t>
            </w:r>
            <w:r w:rsidR="50448BAA" w:rsidRPr="50448BAA">
              <w:rPr>
                <w:rFonts w:ascii="Calibri" w:eastAsia="Calibri" w:hAnsi="Calibri" w:cs="Calibri"/>
                <w:color w:val="000000" w:themeColor="text1"/>
                <w:sz w:val="22"/>
                <w:szCs w:val="22"/>
              </w:rPr>
              <w:t>ystemic</w:t>
            </w:r>
          </w:p>
        </w:tc>
        <w:tc>
          <w:tcPr>
            <w:tcW w:w="1208" w:type="dxa"/>
            <w:tcMar>
              <w:top w:w="15" w:type="dxa"/>
              <w:left w:w="15" w:type="dxa"/>
              <w:right w:w="15" w:type="dxa"/>
            </w:tcMar>
            <w:vAlign w:val="bottom"/>
          </w:tcPr>
          <w:p w14:paraId="3425AD7F" w14:textId="63EF7E67" w:rsidR="50448BAA" w:rsidRDefault="50448BAA" w:rsidP="50448BAA">
            <w:r w:rsidRPr="50448BAA">
              <w:rPr>
                <w:rFonts w:ascii="Calibri" w:eastAsia="Calibri" w:hAnsi="Calibri" w:cs="Calibri"/>
                <w:color w:val="000000" w:themeColor="text1"/>
                <w:sz w:val="22"/>
                <w:szCs w:val="22"/>
              </w:rPr>
              <w:t>50 (11.1)</w:t>
            </w:r>
          </w:p>
        </w:tc>
        <w:tc>
          <w:tcPr>
            <w:tcW w:w="1457" w:type="dxa"/>
            <w:tcMar>
              <w:top w:w="15" w:type="dxa"/>
              <w:left w:w="15" w:type="dxa"/>
              <w:right w:w="15" w:type="dxa"/>
            </w:tcMar>
            <w:vAlign w:val="bottom"/>
          </w:tcPr>
          <w:p w14:paraId="4643DF2C" w14:textId="1C72299C" w:rsidR="50448BAA" w:rsidRDefault="50448BAA" w:rsidP="50448BAA">
            <w:r w:rsidRPr="50448BAA">
              <w:rPr>
                <w:rFonts w:ascii="Calibri" w:eastAsia="Calibri" w:hAnsi="Calibri" w:cs="Calibri"/>
                <w:color w:val="000000" w:themeColor="text1"/>
                <w:sz w:val="22"/>
                <w:szCs w:val="22"/>
              </w:rPr>
              <w:t>68 (18.1)</w:t>
            </w:r>
          </w:p>
        </w:tc>
        <w:tc>
          <w:tcPr>
            <w:tcW w:w="1208" w:type="dxa"/>
            <w:tcMar>
              <w:top w:w="15" w:type="dxa"/>
              <w:left w:w="15" w:type="dxa"/>
              <w:right w:w="15" w:type="dxa"/>
            </w:tcMar>
            <w:vAlign w:val="bottom"/>
          </w:tcPr>
          <w:p w14:paraId="62282CDD" w14:textId="29C920A3" w:rsidR="50448BAA" w:rsidRDefault="50448BAA" w:rsidP="50448BAA">
            <w:r w:rsidRPr="50448BAA">
              <w:rPr>
                <w:rFonts w:ascii="Calibri" w:eastAsia="Calibri" w:hAnsi="Calibri" w:cs="Calibri"/>
                <w:color w:val="000000" w:themeColor="text1"/>
                <w:sz w:val="22"/>
                <w:szCs w:val="22"/>
              </w:rPr>
              <w:t>94 (25.3)</w:t>
            </w:r>
          </w:p>
        </w:tc>
      </w:tr>
      <w:tr w:rsidR="50448BAA" w14:paraId="5522678E" w14:textId="77777777" w:rsidTr="4482F7D4">
        <w:trPr>
          <w:trHeight w:val="300"/>
        </w:trPr>
        <w:tc>
          <w:tcPr>
            <w:tcW w:w="2129" w:type="dxa"/>
            <w:tcMar>
              <w:top w:w="15" w:type="dxa"/>
              <w:left w:w="15" w:type="dxa"/>
              <w:right w:w="15" w:type="dxa"/>
            </w:tcMar>
            <w:vAlign w:val="bottom"/>
          </w:tcPr>
          <w:p w14:paraId="08B3FB2F" w14:textId="678A99F0" w:rsidR="50448BAA" w:rsidRDefault="50448BAA"/>
        </w:tc>
        <w:tc>
          <w:tcPr>
            <w:tcW w:w="1450" w:type="dxa"/>
            <w:tcMar>
              <w:top w:w="15" w:type="dxa"/>
              <w:left w:w="15" w:type="dxa"/>
              <w:right w:w="15" w:type="dxa"/>
            </w:tcMar>
            <w:vAlign w:val="bottom"/>
          </w:tcPr>
          <w:p w14:paraId="0B410413" w14:textId="55E85065" w:rsidR="50448BAA" w:rsidRDefault="50448BAA" w:rsidP="50448BAA">
            <w:r w:rsidRPr="50448BAA">
              <w:rPr>
                <w:rFonts w:ascii="Calibri" w:eastAsia="Calibri" w:hAnsi="Calibri" w:cs="Calibri"/>
                <w:color w:val="000000" w:themeColor="text1"/>
                <w:sz w:val="22"/>
                <w:szCs w:val="22"/>
              </w:rPr>
              <w:t>TACE</w:t>
            </w:r>
          </w:p>
        </w:tc>
        <w:tc>
          <w:tcPr>
            <w:tcW w:w="1208" w:type="dxa"/>
            <w:tcMar>
              <w:top w:w="15" w:type="dxa"/>
              <w:left w:w="15" w:type="dxa"/>
              <w:right w:w="15" w:type="dxa"/>
            </w:tcMar>
            <w:vAlign w:val="bottom"/>
          </w:tcPr>
          <w:p w14:paraId="316FDEBA" w14:textId="71E9D0BB" w:rsidR="50448BAA" w:rsidRDefault="50448BAA" w:rsidP="50448BAA">
            <w:r w:rsidRPr="50448BAA">
              <w:rPr>
                <w:rFonts w:ascii="Calibri" w:eastAsia="Calibri" w:hAnsi="Calibri" w:cs="Calibri"/>
                <w:color w:val="000000" w:themeColor="text1"/>
                <w:sz w:val="22"/>
                <w:szCs w:val="22"/>
              </w:rPr>
              <w:t>65 (14.4)</w:t>
            </w:r>
          </w:p>
        </w:tc>
        <w:tc>
          <w:tcPr>
            <w:tcW w:w="1457" w:type="dxa"/>
            <w:tcMar>
              <w:top w:w="15" w:type="dxa"/>
              <w:left w:w="15" w:type="dxa"/>
              <w:right w:w="15" w:type="dxa"/>
            </w:tcMar>
            <w:vAlign w:val="bottom"/>
          </w:tcPr>
          <w:p w14:paraId="17D079A3" w14:textId="58A3AC60" w:rsidR="50448BAA" w:rsidRDefault="50448BAA" w:rsidP="50448BAA">
            <w:r w:rsidRPr="50448BAA">
              <w:rPr>
                <w:rFonts w:ascii="Calibri" w:eastAsia="Calibri" w:hAnsi="Calibri" w:cs="Calibri"/>
                <w:color w:val="000000" w:themeColor="text1"/>
                <w:sz w:val="22"/>
                <w:szCs w:val="22"/>
              </w:rPr>
              <w:t>59 (15.7)</w:t>
            </w:r>
          </w:p>
        </w:tc>
        <w:tc>
          <w:tcPr>
            <w:tcW w:w="1208" w:type="dxa"/>
            <w:tcMar>
              <w:top w:w="15" w:type="dxa"/>
              <w:left w:w="15" w:type="dxa"/>
              <w:right w:w="15" w:type="dxa"/>
            </w:tcMar>
            <w:vAlign w:val="bottom"/>
          </w:tcPr>
          <w:p w14:paraId="49C73A15" w14:textId="2AAF48E1" w:rsidR="50448BAA" w:rsidRDefault="50448BAA" w:rsidP="50448BAA">
            <w:r w:rsidRPr="50448BAA">
              <w:rPr>
                <w:rFonts w:ascii="Calibri" w:eastAsia="Calibri" w:hAnsi="Calibri" w:cs="Calibri"/>
                <w:color w:val="000000" w:themeColor="text1"/>
                <w:sz w:val="22"/>
                <w:szCs w:val="22"/>
              </w:rPr>
              <w:t>40 (10.8)</w:t>
            </w:r>
          </w:p>
        </w:tc>
      </w:tr>
      <w:tr w:rsidR="50448BAA" w14:paraId="125ADF0F" w14:textId="77777777" w:rsidTr="4482F7D4">
        <w:trPr>
          <w:trHeight w:val="300"/>
        </w:trPr>
        <w:tc>
          <w:tcPr>
            <w:tcW w:w="2129" w:type="dxa"/>
            <w:tcMar>
              <w:top w:w="15" w:type="dxa"/>
              <w:left w:w="15" w:type="dxa"/>
              <w:right w:w="15" w:type="dxa"/>
            </w:tcMar>
            <w:vAlign w:val="bottom"/>
          </w:tcPr>
          <w:p w14:paraId="64C61835" w14:textId="3CE55759" w:rsidR="50448BAA" w:rsidRDefault="50448BAA"/>
        </w:tc>
        <w:tc>
          <w:tcPr>
            <w:tcW w:w="1450" w:type="dxa"/>
            <w:tcMar>
              <w:top w:w="15" w:type="dxa"/>
              <w:left w:w="15" w:type="dxa"/>
              <w:right w:w="15" w:type="dxa"/>
            </w:tcMar>
            <w:vAlign w:val="bottom"/>
          </w:tcPr>
          <w:p w14:paraId="49739678" w14:textId="1DBDF6C4" w:rsidR="11407451" w:rsidRDefault="11407451" w:rsidP="50448BAA">
            <w:r w:rsidRPr="50448BAA">
              <w:rPr>
                <w:rFonts w:ascii="Calibri" w:eastAsia="Calibri" w:hAnsi="Calibri" w:cs="Calibri"/>
                <w:color w:val="000000" w:themeColor="text1"/>
                <w:sz w:val="22"/>
                <w:szCs w:val="22"/>
              </w:rPr>
              <w:t>T</w:t>
            </w:r>
            <w:r w:rsidR="50448BAA" w:rsidRPr="50448BAA">
              <w:rPr>
                <w:rFonts w:ascii="Calibri" w:eastAsia="Calibri" w:hAnsi="Calibri" w:cs="Calibri"/>
                <w:color w:val="000000" w:themeColor="text1"/>
                <w:sz w:val="22"/>
                <w:szCs w:val="22"/>
              </w:rPr>
              <w:t>ransplant</w:t>
            </w:r>
          </w:p>
        </w:tc>
        <w:tc>
          <w:tcPr>
            <w:tcW w:w="1208" w:type="dxa"/>
            <w:tcMar>
              <w:top w:w="15" w:type="dxa"/>
              <w:left w:w="15" w:type="dxa"/>
              <w:right w:w="15" w:type="dxa"/>
            </w:tcMar>
            <w:vAlign w:val="bottom"/>
          </w:tcPr>
          <w:p w14:paraId="625248DB" w14:textId="7D23EF73" w:rsidR="50448BAA" w:rsidRDefault="50448BAA" w:rsidP="50448BAA">
            <w:r w:rsidRPr="50448BAA">
              <w:rPr>
                <w:rFonts w:ascii="Calibri" w:eastAsia="Calibri" w:hAnsi="Calibri" w:cs="Calibri"/>
                <w:color w:val="000000" w:themeColor="text1"/>
                <w:sz w:val="22"/>
                <w:szCs w:val="22"/>
              </w:rPr>
              <w:t>5 (1.1)</w:t>
            </w:r>
          </w:p>
        </w:tc>
        <w:tc>
          <w:tcPr>
            <w:tcW w:w="1457" w:type="dxa"/>
            <w:tcMar>
              <w:top w:w="15" w:type="dxa"/>
              <w:left w:w="15" w:type="dxa"/>
              <w:right w:w="15" w:type="dxa"/>
            </w:tcMar>
            <w:vAlign w:val="bottom"/>
          </w:tcPr>
          <w:p w14:paraId="2FBCB3AD" w14:textId="78D57F1D" w:rsidR="50448BAA" w:rsidRDefault="50448BAA" w:rsidP="50448BAA">
            <w:r w:rsidRPr="50448BAA">
              <w:rPr>
                <w:rFonts w:ascii="Calibri" w:eastAsia="Calibri" w:hAnsi="Calibri" w:cs="Calibri"/>
                <w:color w:val="000000" w:themeColor="text1"/>
                <w:sz w:val="22"/>
                <w:szCs w:val="22"/>
              </w:rPr>
              <w:t>5 (1.3)</w:t>
            </w:r>
          </w:p>
        </w:tc>
        <w:tc>
          <w:tcPr>
            <w:tcW w:w="1208" w:type="dxa"/>
            <w:tcMar>
              <w:top w:w="15" w:type="dxa"/>
              <w:left w:w="15" w:type="dxa"/>
              <w:right w:w="15" w:type="dxa"/>
            </w:tcMar>
            <w:vAlign w:val="bottom"/>
          </w:tcPr>
          <w:p w14:paraId="478477DC" w14:textId="7CA949AF" w:rsidR="50448BAA" w:rsidRDefault="50448BAA" w:rsidP="50448BAA">
            <w:r w:rsidRPr="50448BAA">
              <w:rPr>
                <w:rFonts w:ascii="Calibri" w:eastAsia="Calibri" w:hAnsi="Calibri" w:cs="Calibri"/>
                <w:color w:val="000000" w:themeColor="text1"/>
                <w:sz w:val="22"/>
                <w:szCs w:val="22"/>
              </w:rPr>
              <w:t>0 (0.0)</w:t>
            </w:r>
          </w:p>
        </w:tc>
      </w:tr>
      <w:tr w:rsidR="50448BAA" w14:paraId="363425E3" w14:textId="77777777" w:rsidTr="4482F7D4">
        <w:trPr>
          <w:trHeight w:val="300"/>
        </w:trPr>
        <w:tc>
          <w:tcPr>
            <w:tcW w:w="2129" w:type="dxa"/>
            <w:tcMar>
              <w:top w:w="15" w:type="dxa"/>
              <w:left w:w="15" w:type="dxa"/>
              <w:right w:w="15" w:type="dxa"/>
            </w:tcMar>
            <w:vAlign w:val="bottom"/>
          </w:tcPr>
          <w:p w14:paraId="4E35E6B8" w14:textId="01135D87" w:rsidR="50448BAA" w:rsidRDefault="50448BAA"/>
        </w:tc>
        <w:tc>
          <w:tcPr>
            <w:tcW w:w="1450" w:type="dxa"/>
            <w:tcMar>
              <w:top w:w="15" w:type="dxa"/>
              <w:left w:w="15" w:type="dxa"/>
              <w:right w:w="15" w:type="dxa"/>
            </w:tcMar>
            <w:vAlign w:val="bottom"/>
          </w:tcPr>
          <w:p w14:paraId="5B9C63C2" w14:textId="5DB6A8E1" w:rsidR="58DB46D3" w:rsidRDefault="58DB46D3" w:rsidP="50448BAA">
            <w:pPr>
              <w:spacing w:line="259" w:lineRule="auto"/>
            </w:pPr>
            <w:r w:rsidRPr="50448BAA">
              <w:rPr>
                <w:rFonts w:ascii="Calibri" w:eastAsia="Calibri" w:hAnsi="Calibri" w:cs="Calibri"/>
                <w:color w:val="000000" w:themeColor="text1"/>
                <w:sz w:val="22"/>
                <w:szCs w:val="22"/>
              </w:rPr>
              <w:t>No treatment</w:t>
            </w:r>
          </w:p>
        </w:tc>
        <w:tc>
          <w:tcPr>
            <w:tcW w:w="1208" w:type="dxa"/>
            <w:tcMar>
              <w:top w:w="15" w:type="dxa"/>
              <w:left w:w="15" w:type="dxa"/>
              <w:right w:w="15" w:type="dxa"/>
            </w:tcMar>
            <w:vAlign w:val="bottom"/>
          </w:tcPr>
          <w:p w14:paraId="71902DE7" w14:textId="4454CDE1" w:rsidR="50448BAA" w:rsidRDefault="50448BAA" w:rsidP="50448BAA">
            <w:r w:rsidRPr="50448BAA">
              <w:rPr>
                <w:rFonts w:ascii="Calibri" w:eastAsia="Calibri" w:hAnsi="Calibri" w:cs="Calibri"/>
                <w:color w:val="000000" w:themeColor="text1"/>
                <w:sz w:val="22"/>
                <w:szCs w:val="22"/>
              </w:rPr>
              <w:t>238 (52.9)</w:t>
            </w:r>
          </w:p>
        </w:tc>
        <w:tc>
          <w:tcPr>
            <w:tcW w:w="1457" w:type="dxa"/>
            <w:tcMar>
              <w:top w:w="15" w:type="dxa"/>
              <w:left w:w="15" w:type="dxa"/>
              <w:right w:w="15" w:type="dxa"/>
            </w:tcMar>
            <w:vAlign w:val="bottom"/>
          </w:tcPr>
          <w:p w14:paraId="7A7B5AA1" w14:textId="65EBDBBF" w:rsidR="50448BAA" w:rsidRDefault="50448BAA" w:rsidP="50448BAA">
            <w:r w:rsidRPr="50448BAA">
              <w:rPr>
                <w:rFonts w:ascii="Calibri" w:eastAsia="Calibri" w:hAnsi="Calibri" w:cs="Calibri"/>
                <w:color w:val="000000" w:themeColor="text1"/>
                <w:sz w:val="22"/>
                <w:szCs w:val="22"/>
              </w:rPr>
              <w:t>196 (52.1)</w:t>
            </w:r>
          </w:p>
        </w:tc>
        <w:tc>
          <w:tcPr>
            <w:tcW w:w="1208" w:type="dxa"/>
            <w:tcMar>
              <w:top w:w="15" w:type="dxa"/>
              <w:left w:w="15" w:type="dxa"/>
              <w:right w:w="15" w:type="dxa"/>
            </w:tcMar>
            <w:vAlign w:val="bottom"/>
          </w:tcPr>
          <w:p w14:paraId="2E82C0B1" w14:textId="54B6FE4C" w:rsidR="50448BAA" w:rsidRDefault="50448BAA" w:rsidP="50448BAA">
            <w:r w:rsidRPr="50448BAA">
              <w:rPr>
                <w:rFonts w:ascii="Calibri" w:eastAsia="Calibri" w:hAnsi="Calibri" w:cs="Calibri"/>
                <w:color w:val="000000" w:themeColor="text1"/>
                <w:sz w:val="22"/>
                <w:szCs w:val="22"/>
              </w:rPr>
              <w:t>227 (61.0)</w:t>
            </w:r>
          </w:p>
        </w:tc>
      </w:tr>
    </w:tbl>
    <w:p w14:paraId="23599AF2" w14:textId="05922F50" w:rsidR="764950D6" w:rsidRDefault="1890523D" w:rsidP="1890523D">
      <w:pPr>
        <w:pStyle w:val="ListParagraph"/>
        <w:numPr>
          <w:ilvl w:val="0"/>
          <w:numId w:val="1"/>
        </w:numPr>
        <w:spacing w:line="259" w:lineRule="auto"/>
      </w:pPr>
      <w:r>
        <w:t>Compensated cirrhosis (use if we want to adjust for % of undiagnosed patients)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129"/>
        <w:gridCol w:w="1450"/>
        <w:gridCol w:w="1208"/>
        <w:gridCol w:w="1457"/>
        <w:gridCol w:w="1208"/>
      </w:tblGrid>
      <w:tr w:rsidR="50448BAA" w14:paraId="5166D876" w14:textId="77777777" w:rsidTr="50448BAA">
        <w:trPr>
          <w:trHeight w:val="300"/>
        </w:trPr>
        <w:tc>
          <w:tcPr>
            <w:tcW w:w="3579" w:type="dxa"/>
            <w:gridSpan w:val="2"/>
            <w:tcMar>
              <w:top w:w="15" w:type="dxa"/>
              <w:left w:w="15" w:type="dxa"/>
              <w:right w:w="15" w:type="dxa"/>
            </w:tcMar>
            <w:vAlign w:val="bottom"/>
          </w:tcPr>
          <w:p w14:paraId="299EE074" w14:textId="54EAAF8A" w:rsidR="50448BAA" w:rsidRDefault="50448BAA" w:rsidP="50448BAA">
            <w:r w:rsidRPr="50448BAA">
              <w:rPr>
                <w:rFonts w:ascii="Calibri" w:eastAsia="Calibri" w:hAnsi="Calibri" w:cs="Calibri"/>
                <w:color w:val="000000" w:themeColor="text1"/>
                <w:sz w:val="22"/>
                <w:szCs w:val="22"/>
              </w:rPr>
              <w:t>HCC Stage</w:t>
            </w:r>
          </w:p>
        </w:tc>
        <w:tc>
          <w:tcPr>
            <w:tcW w:w="1208" w:type="dxa"/>
            <w:tcMar>
              <w:top w:w="15" w:type="dxa"/>
              <w:left w:w="15" w:type="dxa"/>
              <w:right w:w="15" w:type="dxa"/>
            </w:tcMar>
            <w:vAlign w:val="bottom"/>
          </w:tcPr>
          <w:p w14:paraId="6BCF608D" w14:textId="130B73C2" w:rsidR="50448BAA" w:rsidRDefault="50448BAA" w:rsidP="50448BAA">
            <w:r w:rsidRPr="50448BAA">
              <w:rPr>
                <w:rFonts w:ascii="Calibri" w:eastAsia="Calibri" w:hAnsi="Calibri" w:cs="Calibri"/>
                <w:color w:val="000000" w:themeColor="text1"/>
                <w:sz w:val="22"/>
                <w:szCs w:val="22"/>
              </w:rPr>
              <w:t>Early</w:t>
            </w:r>
          </w:p>
        </w:tc>
        <w:tc>
          <w:tcPr>
            <w:tcW w:w="1457" w:type="dxa"/>
            <w:tcMar>
              <w:top w:w="15" w:type="dxa"/>
              <w:left w:w="15" w:type="dxa"/>
              <w:right w:w="15" w:type="dxa"/>
            </w:tcMar>
            <w:vAlign w:val="bottom"/>
          </w:tcPr>
          <w:p w14:paraId="494CD2E3" w14:textId="36A5E58C" w:rsidR="50448BAA" w:rsidRDefault="50448BAA" w:rsidP="50448BAA">
            <w:pPr>
              <w:spacing w:line="259" w:lineRule="auto"/>
            </w:pPr>
            <w:r w:rsidRPr="50448BAA">
              <w:rPr>
                <w:rFonts w:ascii="Calibri" w:eastAsia="Calibri" w:hAnsi="Calibri" w:cs="Calibri"/>
                <w:color w:val="000000" w:themeColor="text1"/>
                <w:sz w:val="22"/>
                <w:szCs w:val="22"/>
              </w:rPr>
              <w:t>Intermediate</w:t>
            </w:r>
          </w:p>
        </w:tc>
        <w:tc>
          <w:tcPr>
            <w:tcW w:w="1208" w:type="dxa"/>
            <w:tcMar>
              <w:top w:w="15" w:type="dxa"/>
              <w:left w:w="15" w:type="dxa"/>
              <w:right w:w="15" w:type="dxa"/>
            </w:tcMar>
            <w:vAlign w:val="bottom"/>
          </w:tcPr>
          <w:p w14:paraId="1120AC7F" w14:textId="4FBC351F" w:rsidR="50448BAA" w:rsidRDefault="50448BAA" w:rsidP="50448BAA">
            <w:pPr>
              <w:spacing w:line="259" w:lineRule="auto"/>
            </w:pPr>
            <w:r w:rsidRPr="50448BAA">
              <w:rPr>
                <w:rFonts w:ascii="Calibri" w:eastAsia="Calibri" w:hAnsi="Calibri" w:cs="Calibri"/>
                <w:color w:val="000000" w:themeColor="text1"/>
                <w:sz w:val="22"/>
                <w:szCs w:val="22"/>
              </w:rPr>
              <w:t>Late</w:t>
            </w:r>
          </w:p>
        </w:tc>
      </w:tr>
      <w:tr w:rsidR="50448BAA" w14:paraId="6051F959" w14:textId="77777777" w:rsidTr="50448BAA">
        <w:trPr>
          <w:trHeight w:val="300"/>
        </w:trPr>
        <w:tc>
          <w:tcPr>
            <w:tcW w:w="2129" w:type="dxa"/>
            <w:tcMar>
              <w:top w:w="15" w:type="dxa"/>
              <w:left w:w="15" w:type="dxa"/>
              <w:right w:w="15" w:type="dxa"/>
            </w:tcMar>
            <w:vAlign w:val="bottom"/>
          </w:tcPr>
          <w:p w14:paraId="66903A91" w14:textId="6946EB08" w:rsidR="50448BAA" w:rsidRDefault="50448BAA" w:rsidP="50448BAA">
            <w:r w:rsidRPr="50448BAA">
              <w:rPr>
                <w:rFonts w:ascii="Calibri" w:eastAsia="Calibri" w:hAnsi="Calibri" w:cs="Calibri"/>
                <w:color w:val="000000" w:themeColor="text1"/>
                <w:sz w:val="22"/>
                <w:szCs w:val="22"/>
              </w:rPr>
              <w:t>N</w:t>
            </w:r>
          </w:p>
        </w:tc>
        <w:tc>
          <w:tcPr>
            <w:tcW w:w="1450" w:type="dxa"/>
            <w:tcMar>
              <w:top w:w="15" w:type="dxa"/>
              <w:left w:w="15" w:type="dxa"/>
              <w:right w:w="15" w:type="dxa"/>
            </w:tcMar>
            <w:vAlign w:val="bottom"/>
          </w:tcPr>
          <w:p w14:paraId="256283D5" w14:textId="65A1408B" w:rsidR="50448BAA" w:rsidRDefault="50448BAA"/>
        </w:tc>
        <w:tc>
          <w:tcPr>
            <w:tcW w:w="1208" w:type="dxa"/>
            <w:tcMar>
              <w:top w:w="15" w:type="dxa"/>
              <w:left w:w="15" w:type="dxa"/>
              <w:right w:w="15" w:type="dxa"/>
            </w:tcMar>
            <w:vAlign w:val="bottom"/>
          </w:tcPr>
          <w:p w14:paraId="47A23CCA" w14:textId="52382DA5" w:rsidR="50448BAA" w:rsidRDefault="50448BAA" w:rsidP="50448BAA">
            <w:r w:rsidRPr="50448BAA">
              <w:rPr>
                <w:rFonts w:ascii="Calibri" w:eastAsia="Calibri" w:hAnsi="Calibri" w:cs="Calibri"/>
                <w:color w:val="000000" w:themeColor="text1"/>
                <w:sz w:val="22"/>
                <w:szCs w:val="22"/>
              </w:rPr>
              <w:t>668</w:t>
            </w:r>
          </w:p>
        </w:tc>
        <w:tc>
          <w:tcPr>
            <w:tcW w:w="1457" w:type="dxa"/>
            <w:tcMar>
              <w:top w:w="15" w:type="dxa"/>
              <w:left w:w="15" w:type="dxa"/>
              <w:right w:w="15" w:type="dxa"/>
            </w:tcMar>
            <w:vAlign w:val="bottom"/>
          </w:tcPr>
          <w:p w14:paraId="382F4FDE" w14:textId="326DEEA7" w:rsidR="50448BAA" w:rsidRDefault="50448BAA" w:rsidP="50448BAA">
            <w:r w:rsidRPr="50448BAA">
              <w:rPr>
                <w:rFonts w:ascii="Calibri" w:eastAsia="Calibri" w:hAnsi="Calibri" w:cs="Calibri"/>
                <w:color w:val="000000" w:themeColor="text1"/>
                <w:sz w:val="22"/>
                <w:szCs w:val="22"/>
              </w:rPr>
              <w:t>549</w:t>
            </w:r>
          </w:p>
        </w:tc>
        <w:tc>
          <w:tcPr>
            <w:tcW w:w="1208" w:type="dxa"/>
            <w:tcMar>
              <w:top w:w="15" w:type="dxa"/>
              <w:left w:w="15" w:type="dxa"/>
              <w:right w:w="15" w:type="dxa"/>
            </w:tcMar>
            <w:vAlign w:val="bottom"/>
          </w:tcPr>
          <w:p w14:paraId="1E7F7A48" w14:textId="24550DAC" w:rsidR="50448BAA" w:rsidRDefault="50448BAA" w:rsidP="50448BAA">
            <w:r w:rsidRPr="50448BAA">
              <w:rPr>
                <w:rFonts w:ascii="Calibri" w:eastAsia="Calibri" w:hAnsi="Calibri" w:cs="Calibri"/>
                <w:color w:val="000000" w:themeColor="text1"/>
                <w:sz w:val="22"/>
                <w:szCs w:val="22"/>
              </w:rPr>
              <w:t>269</w:t>
            </w:r>
          </w:p>
        </w:tc>
      </w:tr>
      <w:tr w:rsidR="50448BAA" w14:paraId="2F28ABF1" w14:textId="77777777" w:rsidTr="50448BAA">
        <w:trPr>
          <w:trHeight w:val="300"/>
        </w:trPr>
        <w:tc>
          <w:tcPr>
            <w:tcW w:w="2129" w:type="dxa"/>
            <w:tcMar>
              <w:top w:w="15" w:type="dxa"/>
              <w:left w:w="15" w:type="dxa"/>
              <w:right w:w="15" w:type="dxa"/>
            </w:tcMar>
            <w:vAlign w:val="bottom"/>
          </w:tcPr>
          <w:p w14:paraId="7600AA1F" w14:textId="7F53D17C" w:rsidR="50448BAA" w:rsidRDefault="50448BAA" w:rsidP="50448BAA">
            <w:r w:rsidRPr="50448BAA">
              <w:rPr>
                <w:rFonts w:ascii="Calibri" w:eastAsia="Calibri" w:hAnsi="Calibri" w:cs="Calibri"/>
                <w:color w:val="000000" w:themeColor="text1"/>
                <w:sz w:val="22"/>
                <w:szCs w:val="22"/>
              </w:rPr>
              <w:t>First Treatment Type</w:t>
            </w:r>
          </w:p>
        </w:tc>
        <w:tc>
          <w:tcPr>
            <w:tcW w:w="1450" w:type="dxa"/>
            <w:tcMar>
              <w:top w:w="15" w:type="dxa"/>
              <w:left w:w="15" w:type="dxa"/>
              <w:right w:w="15" w:type="dxa"/>
            </w:tcMar>
            <w:vAlign w:val="bottom"/>
          </w:tcPr>
          <w:p w14:paraId="4A77C2DD" w14:textId="79DC60AD" w:rsidR="50448BAA" w:rsidRDefault="50448BAA" w:rsidP="50448BAA">
            <w:r w:rsidRPr="50448BAA">
              <w:rPr>
                <w:rFonts w:ascii="Calibri" w:eastAsia="Calibri" w:hAnsi="Calibri" w:cs="Calibri"/>
                <w:color w:val="000000" w:themeColor="text1"/>
                <w:sz w:val="22"/>
                <w:szCs w:val="22"/>
              </w:rPr>
              <w:t>Ablation</w:t>
            </w:r>
          </w:p>
        </w:tc>
        <w:tc>
          <w:tcPr>
            <w:tcW w:w="1208" w:type="dxa"/>
            <w:tcMar>
              <w:top w:w="15" w:type="dxa"/>
              <w:left w:w="15" w:type="dxa"/>
              <w:right w:w="15" w:type="dxa"/>
            </w:tcMar>
            <w:vAlign w:val="bottom"/>
          </w:tcPr>
          <w:p w14:paraId="5874D06E" w14:textId="05202BCC" w:rsidR="50448BAA" w:rsidRDefault="50448BAA" w:rsidP="50448BAA">
            <w:r w:rsidRPr="50448BAA">
              <w:rPr>
                <w:rFonts w:ascii="Calibri" w:eastAsia="Calibri" w:hAnsi="Calibri" w:cs="Calibri"/>
                <w:color w:val="000000" w:themeColor="text1"/>
                <w:sz w:val="22"/>
                <w:szCs w:val="22"/>
              </w:rPr>
              <w:t>79 (11.8)</w:t>
            </w:r>
          </w:p>
        </w:tc>
        <w:tc>
          <w:tcPr>
            <w:tcW w:w="1457" w:type="dxa"/>
            <w:tcMar>
              <w:top w:w="15" w:type="dxa"/>
              <w:left w:w="15" w:type="dxa"/>
              <w:right w:w="15" w:type="dxa"/>
            </w:tcMar>
            <w:vAlign w:val="bottom"/>
          </w:tcPr>
          <w:p w14:paraId="749F38EE" w14:textId="4DBAC9AE" w:rsidR="50448BAA" w:rsidRDefault="50448BAA" w:rsidP="50448BAA">
            <w:r w:rsidRPr="50448BAA">
              <w:rPr>
                <w:rFonts w:ascii="Calibri" w:eastAsia="Calibri" w:hAnsi="Calibri" w:cs="Calibri"/>
                <w:color w:val="000000" w:themeColor="text1"/>
                <w:sz w:val="22"/>
                <w:szCs w:val="22"/>
              </w:rPr>
              <w:t>43 (7.8)</w:t>
            </w:r>
          </w:p>
        </w:tc>
        <w:tc>
          <w:tcPr>
            <w:tcW w:w="1208" w:type="dxa"/>
            <w:tcMar>
              <w:top w:w="15" w:type="dxa"/>
              <w:left w:w="15" w:type="dxa"/>
              <w:right w:w="15" w:type="dxa"/>
            </w:tcMar>
            <w:vAlign w:val="bottom"/>
          </w:tcPr>
          <w:p w14:paraId="504B5AE8" w14:textId="6DFCD951" w:rsidR="50448BAA" w:rsidRDefault="50448BAA" w:rsidP="50448BAA">
            <w:r w:rsidRPr="50448BAA">
              <w:rPr>
                <w:rFonts w:ascii="Calibri" w:eastAsia="Calibri" w:hAnsi="Calibri" w:cs="Calibri"/>
                <w:color w:val="000000" w:themeColor="text1"/>
                <w:sz w:val="22"/>
                <w:szCs w:val="22"/>
              </w:rPr>
              <w:t>4 (1.5)</w:t>
            </w:r>
          </w:p>
        </w:tc>
      </w:tr>
      <w:tr w:rsidR="50448BAA" w14:paraId="45074588" w14:textId="77777777" w:rsidTr="50448BAA">
        <w:trPr>
          <w:trHeight w:val="300"/>
        </w:trPr>
        <w:tc>
          <w:tcPr>
            <w:tcW w:w="2129" w:type="dxa"/>
            <w:tcMar>
              <w:top w:w="15" w:type="dxa"/>
              <w:left w:w="15" w:type="dxa"/>
              <w:right w:w="15" w:type="dxa"/>
            </w:tcMar>
            <w:vAlign w:val="bottom"/>
          </w:tcPr>
          <w:p w14:paraId="0C73D9B0" w14:textId="305CD5B6" w:rsidR="50448BAA" w:rsidRDefault="50448BAA"/>
        </w:tc>
        <w:tc>
          <w:tcPr>
            <w:tcW w:w="1450" w:type="dxa"/>
            <w:tcMar>
              <w:top w:w="15" w:type="dxa"/>
              <w:left w:w="15" w:type="dxa"/>
              <w:right w:w="15" w:type="dxa"/>
            </w:tcMar>
            <w:vAlign w:val="bottom"/>
          </w:tcPr>
          <w:p w14:paraId="3B8CD362" w14:textId="337E34A1" w:rsidR="50448BAA" w:rsidRDefault="50448BAA" w:rsidP="50448BAA">
            <w:r w:rsidRPr="50448BAA">
              <w:rPr>
                <w:rFonts w:ascii="Calibri" w:eastAsia="Calibri" w:hAnsi="Calibri" w:cs="Calibri"/>
                <w:color w:val="000000" w:themeColor="text1"/>
                <w:sz w:val="22"/>
                <w:szCs w:val="22"/>
              </w:rPr>
              <w:t>Radiotherapy</w:t>
            </w:r>
          </w:p>
        </w:tc>
        <w:tc>
          <w:tcPr>
            <w:tcW w:w="1208" w:type="dxa"/>
            <w:tcMar>
              <w:top w:w="15" w:type="dxa"/>
              <w:left w:w="15" w:type="dxa"/>
              <w:right w:w="15" w:type="dxa"/>
            </w:tcMar>
            <w:vAlign w:val="bottom"/>
          </w:tcPr>
          <w:p w14:paraId="7C0C5A8C" w14:textId="17F41EBF" w:rsidR="50448BAA" w:rsidRDefault="50448BAA" w:rsidP="50448BAA">
            <w:r w:rsidRPr="50448BAA">
              <w:rPr>
                <w:rFonts w:ascii="Calibri" w:eastAsia="Calibri" w:hAnsi="Calibri" w:cs="Calibri"/>
                <w:color w:val="000000" w:themeColor="text1"/>
                <w:sz w:val="22"/>
                <w:szCs w:val="22"/>
              </w:rPr>
              <w:t>1 (0.1)</w:t>
            </w:r>
          </w:p>
        </w:tc>
        <w:tc>
          <w:tcPr>
            <w:tcW w:w="1457" w:type="dxa"/>
            <w:tcMar>
              <w:top w:w="15" w:type="dxa"/>
              <w:left w:w="15" w:type="dxa"/>
              <w:right w:w="15" w:type="dxa"/>
            </w:tcMar>
            <w:vAlign w:val="bottom"/>
          </w:tcPr>
          <w:p w14:paraId="4B62F849" w14:textId="559F3BD5" w:rsidR="50448BAA" w:rsidRDefault="50448BAA" w:rsidP="50448BAA">
            <w:r w:rsidRPr="50448BAA">
              <w:rPr>
                <w:rFonts w:ascii="Calibri" w:eastAsia="Calibri" w:hAnsi="Calibri" w:cs="Calibri"/>
                <w:color w:val="000000" w:themeColor="text1"/>
                <w:sz w:val="22"/>
                <w:szCs w:val="22"/>
              </w:rPr>
              <w:t>0 (0.0)</w:t>
            </w:r>
          </w:p>
        </w:tc>
        <w:tc>
          <w:tcPr>
            <w:tcW w:w="1208" w:type="dxa"/>
            <w:tcMar>
              <w:top w:w="15" w:type="dxa"/>
              <w:left w:w="15" w:type="dxa"/>
              <w:right w:w="15" w:type="dxa"/>
            </w:tcMar>
            <w:vAlign w:val="bottom"/>
          </w:tcPr>
          <w:p w14:paraId="495671CC" w14:textId="3170E63A" w:rsidR="50448BAA" w:rsidRDefault="50448BAA" w:rsidP="50448BAA">
            <w:r w:rsidRPr="50448BAA">
              <w:rPr>
                <w:rFonts w:ascii="Calibri" w:eastAsia="Calibri" w:hAnsi="Calibri" w:cs="Calibri"/>
                <w:color w:val="000000" w:themeColor="text1"/>
                <w:sz w:val="22"/>
                <w:szCs w:val="22"/>
              </w:rPr>
              <w:t>1 (0.4)</w:t>
            </w:r>
          </w:p>
        </w:tc>
      </w:tr>
      <w:tr w:rsidR="50448BAA" w14:paraId="581BD383" w14:textId="77777777" w:rsidTr="50448BAA">
        <w:trPr>
          <w:trHeight w:val="300"/>
        </w:trPr>
        <w:tc>
          <w:tcPr>
            <w:tcW w:w="2129" w:type="dxa"/>
            <w:tcMar>
              <w:top w:w="15" w:type="dxa"/>
              <w:left w:w="15" w:type="dxa"/>
              <w:right w:w="15" w:type="dxa"/>
            </w:tcMar>
            <w:vAlign w:val="bottom"/>
          </w:tcPr>
          <w:p w14:paraId="1433FC5E" w14:textId="7C0EDF1C" w:rsidR="50448BAA" w:rsidRDefault="50448BAA"/>
        </w:tc>
        <w:tc>
          <w:tcPr>
            <w:tcW w:w="1450" w:type="dxa"/>
            <w:tcMar>
              <w:top w:w="15" w:type="dxa"/>
              <w:left w:w="15" w:type="dxa"/>
              <w:right w:w="15" w:type="dxa"/>
            </w:tcMar>
            <w:vAlign w:val="bottom"/>
          </w:tcPr>
          <w:p w14:paraId="5D82FD1D" w14:textId="0B1C673B" w:rsidR="50448BAA" w:rsidRDefault="50448BAA" w:rsidP="50448BAA">
            <w:r w:rsidRPr="50448BAA">
              <w:rPr>
                <w:rFonts w:ascii="Calibri" w:eastAsia="Calibri" w:hAnsi="Calibri" w:cs="Calibri"/>
                <w:color w:val="000000" w:themeColor="text1"/>
                <w:sz w:val="22"/>
                <w:szCs w:val="22"/>
              </w:rPr>
              <w:t>Resection</w:t>
            </w:r>
          </w:p>
        </w:tc>
        <w:tc>
          <w:tcPr>
            <w:tcW w:w="1208" w:type="dxa"/>
            <w:tcMar>
              <w:top w:w="15" w:type="dxa"/>
              <w:left w:w="15" w:type="dxa"/>
              <w:right w:w="15" w:type="dxa"/>
            </w:tcMar>
            <w:vAlign w:val="bottom"/>
          </w:tcPr>
          <w:p w14:paraId="2F46455F" w14:textId="421578E7" w:rsidR="50448BAA" w:rsidRDefault="50448BAA" w:rsidP="50448BAA">
            <w:r w:rsidRPr="50448BAA">
              <w:rPr>
                <w:rFonts w:ascii="Calibri" w:eastAsia="Calibri" w:hAnsi="Calibri" w:cs="Calibri"/>
                <w:color w:val="000000" w:themeColor="text1"/>
                <w:sz w:val="22"/>
                <w:szCs w:val="22"/>
              </w:rPr>
              <w:t>88 (13.2)</w:t>
            </w:r>
          </w:p>
        </w:tc>
        <w:tc>
          <w:tcPr>
            <w:tcW w:w="1457" w:type="dxa"/>
            <w:tcMar>
              <w:top w:w="15" w:type="dxa"/>
              <w:left w:w="15" w:type="dxa"/>
              <w:right w:w="15" w:type="dxa"/>
            </w:tcMar>
            <w:vAlign w:val="bottom"/>
          </w:tcPr>
          <w:p w14:paraId="5A92E679" w14:textId="4DD93DAA" w:rsidR="50448BAA" w:rsidRDefault="50448BAA" w:rsidP="50448BAA">
            <w:r w:rsidRPr="50448BAA">
              <w:rPr>
                <w:rFonts w:ascii="Calibri" w:eastAsia="Calibri" w:hAnsi="Calibri" w:cs="Calibri"/>
                <w:color w:val="000000" w:themeColor="text1"/>
                <w:sz w:val="22"/>
                <w:szCs w:val="22"/>
              </w:rPr>
              <w:t>40 (7.3)</w:t>
            </w:r>
          </w:p>
        </w:tc>
        <w:tc>
          <w:tcPr>
            <w:tcW w:w="1208" w:type="dxa"/>
            <w:shd w:val="clear" w:color="auto" w:fill="FFFF00"/>
            <w:tcMar>
              <w:top w:w="15" w:type="dxa"/>
              <w:left w:w="15" w:type="dxa"/>
              <w:right w:w="15" w:type="dxa"/>
            </w:tcMar>
            <w:vAlign w:val="bottom"/>
          </w:tcPr>
          <w:p w14:paraId="30F44675" w14:textId="15C27F10" w:rsidR="50448BAA" w:rsidRDefault="50448BAA" w:rsidP="50448BAA">
            <w:r w:rsidRPr="50448BAA">
              <w:rPr>
                <w:rFonts w:ascii="Calibri" w:eastAsia="Calibri" w:hAnsi="Calibri" w:cs="Calibri"/>
                <w:color w:val="000000" w:themeColor="text1"/>
                <w:sz w:val="22"/>
                <w:szCs w:val="22"/>
              </w:rPr>
              <w:t>7 (2.6)</w:t>
            </w:r>
          </w:p>
        </w:tc>
      </w:tr>
      <w:tr w:rsidR="50448BAA" w14:paraId="1CE3B765" w14:textId="77777777" w:rsidTr="50448BAA">
        <w:trPr>
          <w:trHeight w:val="300"/>
        </w:trPr>
        <w:tc>
          <w:tcPr>
            <w:tcW w:w="2129" w:type="dxa"/>
            <w:tcMar>
              <w:top w:w="15" w:type="dxa"/>
              <w:left w:w="15" w:type="dxa"/>
              <w:right w:w="15" w:type="dxa"/>
            </w:tcMar>
            <w:vAlign w:val="bottom"/>
          </w:tcPr>
          <w:p w14:paraId="570DDCD8" w14:textId="2BAC0021" w:rsidR="50448BAA" w:rsidRDefault="50448BAA"/>
        </w:tc>
        <w:tc>
          <w:tcPr>
            <w:tcW w:w="1450" w:type="dxa"/>
            <w:tcMar>
              <w:top w:w="15" w:type="dxa"/>
              <w:left w:w="15" w:type="dxa"/>
              <w:right w:w="15" w:type="dxa"/>
            </w:tcMar>
            <w:vAlign w:val="bottom"/>
          </w:tcPr>
          <w:p w14:paraId="3634BA0F" w14:textId="0010141C" w:rsidR="50448BAA" w:rsidRDefault="50448BAA" w:rsidP="50448BAA">
            <w:r w:rsidRPr="50448BAA">
              <w:rPr>
                <w:rFonts w:ascii="Calibri" w:eastAsia="Calibri" w:hAnsi="Calibri" w:cs="Calibri"/>
                <w:color w:val="000000" w:themeColor="text1"/>
                <w:sz w:val="22"/>
                <w:szCs w:val="22"/>
              </w:rPr>
              <w:t>Systemic</w:t>
            </w:r>
          </w:p>
        </w:tc>
        <w:tc>
          <w:tcPr>
            <w:tcW w:w="1208" w:type="dxa"/>
            <w:tcMar>
              <w:top w:w="15" w:type="dxa"/>
              <w:left w:w="15" w:type="dxa"/>
              <w:right w:w="15" w:type="dxa"/>
            </w:tcMar>
            <w:vAlign w:val="bottom"/>
          </w:tcPr>
          <w:p w14:paraId="1D9FD463" w14:textId="26174B3C" w:rsidR="50448BAA" w:rsidRDefault="50448BAA" w:rsidP="50448BAA">
            <w:r w:rsidRPr="50448BAA">
              <w:rPr>
                <w:rFonts w:ascii="Calibri" w:eastAsia="Calibri" w:hAnsi="Calibri" w:cs="Calibri"/>
                <w:color w:val="000000" w:themeColor="text1"/>
                <w:sz w:val="22"/>
                <w:szCs w:val="22"/>
              </w:rPr>
              <w:t>41 (6.1)</w:t>
            </w:r>
          </w:p>
        </w:tc>
        <w:tc>
          <w:tcPr>
            <w:tcW w:w="1457" w:type="dxa"/>
            <w:tcMar>
              <w:top w:w="15" w:type="dxa"/>
              <w:left w:w="15" w:type="dxa"/>
              <w:right w:w="15" w:type="dxa"/>
            </w:tcMar>
            <w:vAlign w:val="bottom"/>
          </w:tcPr>
          <w:p w14:paraId="6CDBB2B3" w14:textId="70EE0F6D" w:rsidR="50448BAA" w:rsidRDefault="50448BAA" w:rsidP="50448BAA">
            <w:r w:rsidRPr="50448BAA">
              <w:rPr>
                <w:rFonts w:ascii="Calibri" w:eastAsia="Calibri" w:hAnsi="Calibri" w:cs="Calibri"/>
                <w:color w:val="000000" w:themeColor="text1"/>
                <w:sz w:val="22"/>
                <w:szCs w:val="22"/>
              </w:rPr>
              <w:t>77 (14.0)</w:t>
            </w:r>
          </w:p>
        </w:tc>
        <w:tc>
          <w:tcPr>
            <w:tcW w:w="1208" w:type="dxa"/>
            <w:tcMar>
              <w:top w:w="15" w:type="dxa"/>
              <w:left w:w="15" w:type="dxa"/>
              <w:right w:w="15" w:type="dxa"/>
            </w:tcMar>
            <w:vAlign w:val="bottom"/>
          </w:tcPr>
          <w:p w14:paraId="7D07EF4E" w14:textId="3E47EEDC" w:rsidR="50448BAA" w:rsidRDefault="50448BAA" w:rsidP="50448BAA">
            <w:r w:rsidRPr="50448BAA">
              <w:rPr>
                <w:rFonts w:ascii="Calibri" w:eastAsia="Calibri" w:hAnsi="Calibri" w:cs="Calibri"/>
                <w:color w:val="000000" w:themeColor="text1"/>
                <w:sz w:val="22"/>
                <w:szCs w:val="22"/>
              </w:rPr>
              <w:t>76 (28.3)</w:t>
            </w:r>
          </w:p>
        </w:tc>
      </w:tr>
      <w:tr w:rsidR="50448BAA" w14:paraId="55615D2B" w14:textId="77777777" w:rsidTr="50448BAA">
        <w:trPr>
          <w:trHeight w:val="300"/>
        </w:trPr>
        <w:tc>
          <w:tcPr>
            <w:tcW w:w="2129" w:type="dxa"/>
            <w:tcMar>
              <w:top w:w="15" w:type="dxa"/>
              <w:left w:w="15" w:type="dxa"/>
              <w:right w:w="15" w:type="dxa"/>
            </w:tcMar>
            <w:vAlign w:val="bottom"/>
          </w:tcPr>
          <w:p w14:paraId="6074A0C6" w14:textId="678A99F0" w:rsidR="50448BAA" w:rsidRDefault="50448BAA"/>
        </w:tc>
        <w:tc>
          <w:tcPr>
            <w:tcW w:w="1450" w:type="dxa"/>
            <w:tcMar>
              <w:top w:w="15" w:type="dxa"/>
              <w:left w:w="15" w:type="dxa"/>
              <w:right w:w="15" w:type="dxa"/>
            </w:tcMar>
            <w:vAlign w:val="bottom"/>
          </w:tcPr>
          <w:p w14:paraId="12D653EE" w14:textId="55E85065" w:rsidR="50448BAA" w:rsidRDefault="50448BAA" w:rsidP="50448BAA">
            <w:r w:rsidRPr="50448BAA">
              <w:rPr>
                <w:rFonts w:ascii="Calibri" w:eastAsia="Calibri" w:hAnsi="Calibri" w:cs="Calibri"/>
                <w:color w:val="000000" w:themeColor="text1"/>
                <w:sz w:val="22"/>
                <w:szCs w:val="22"/>
              </w:rPr>
              <w:t>TACE</w:t>
            </w:r>
          </w:p>
        </w:tc>
        <w:tc>
          <w:tcPr>
            <w:tcW w:w="1208" w:type="dxa"/>
            <w:tcMar>
              <w:top w:w="15" w:type="dxa"/>
              <w:left w:w="15" w:type="dxa"/>
              <w:right w:w="15" w:type="dxa"/>
            </w:tcMar>
            <w:vAlign w:val="bottom"/>
          </w:tcPr>
          <w:p w14:paraId="6DB47238" w14:textId="493A28F4" w:rsidR="50448BAA" w:rsidRDefault="50448BAA" w:rsidP="50448BAA">
            <w:r w:rsidRPr="50448BAA">
              <w:rPr>
                <w:rFonts w:ascii="Calibri" w:eastAsia="Calibri" w:hAnsi="Calibri" w:cs="Calibri"/>
                <w:color w:val="000000" w:themeColor="text1"/>
                <w:sz w:val="22"/>
                <w:szCs w:val="22"/>
              </w:rPr>
              <w:t>217 (32.5)</w:t>
            </w:r>
          </w:p>
        </w:tc>
        <w:tc>
          <w:tcPr>
            <w:tcW w:w="1457" w:type="dxa"/>
            <w:tcMar>
              <w:top w:w="15" w:type="dxa"/>
              <w:left w:w="15" w:type="dxa"/>
              <w:right w:w="15" w:type="dxa"/>
            </w:tcMar>
            <w:vAlign w:val="bottom"/>
          </w:tcPr>
          <w:p w14:paraId="4F09076B" w14:textId="64FE4F96" w:rsidR="50448BAA" w:rsidRDefault="50448BAA" w:rsidP="50448BAA">
            <w:r w:rsidRPr="50448BAA">
              <w:rPr>
                <w:rFonts w:ascii="Calibri" w:eastAsia="Calibri" w:hAnsi="Calibri" w:cs="Calibri"/>
                <w:color w:val="000000" w:themeColor="text1"/>
                <w:sz w:val="22"/>
                <w:szCs w:val="22"/>
              </w:rPr>
              <w:t>201 (36.6)</w:t>
            </w:r>
          </w:p>
        </w:tc>
        <w:tc>
          <w:tcPr>
            <w:tcW w:w="1208" w:type="dxa"/>
            <w:tcMar>
              <w:top w:w="15" w:type="dxa"/>
              <w:left w:w="15" w:type="dxa"/>
              <w:right w:w="15" w:type="dxa"/>
            </w:tcMar>
            <w:vAlign w:val="bottom"/>
          </w:tcPr>
          <w:p w14:paraId="43623565" w14:textId="0FD0A7B6" w:rsidR="50448BAA" w:rsidRDefault="50448BAA" w:rsidP="50448BAA">
            <w:r w:rsidRPr="50448BAA">
              <w:rPr>
                <w:rFonts w:ascii="Calibri" w:eastAsia="Calibri" w:hAnsi="Calibri" w:cs="Calibri"/>
                <w:color w:val="000000" w:themeColor="text1"/>
                <w:sz w:val="22"/>
                <w:szCs w:val="22"/>
              </w:rPr>
              <w:t>34 (12.6)</w:t>
            </w:r>
          </w:p>
        </w:tc>
      </w:tr>
      <w:tr w:rsidR="50448BAA" w14:paraId="79CA8C54" w14:textId="77777777" w:rsidTr="50448BAA">
        <w:trPr>
          <w:trHeight w:val="300"/>
        </w:trPr>
        <w:tc>
          <w:tcPr>
            <w:tcW w:w="2129" w:type="dxa"/>
            <w:tcMar>
              <w:top w:w="15" w:type="dxa"/>
              <w:left w:w="15" w:type="dxa"/>
              <w:right w:w="15" w:type="dxa"/>
            </w:tcMar>
            <w:vAlign w:val="bottom"/>
          </w:tcPr>
          <w:p w14:paraId="369C7E68" w14:textId="3CE55759" w:rsidR="50448BAA" w:rsidRDefault="50448BAA"/>
        </w:tc>
        <w:tc>
          <w:tcPr>
            <w:tcW w:w="1450" w:type="dxa"/>
            <w:tcMar>
              <w:top w:w="15" w:type="dxa"/>
              <w:left w:w="15" w:type="dxa"/>
              <w:right w:w="15" w:type="dxa"/>
            </w:tcMar>
            <w:vAlign w:val="bottom"/>
          </w:tcPr>
          <w:p w14:paraId="5234E8E0" w14:textId="1DBDF6C4" w:rsidR="50448BAA" w:rsidRDefault="50448BAA" w:rsidP="50448BAA">
            <w:r w:rsidRPr="50448BAA">
              <w:rPr>
                <w:rFonts w:ascii="Calibri" w:eastAsia="Calibri" w:hAnsi="Calibri" w:cs="Calibri"/>
                <w:color w:val="000000" w:themeColor="text1"/>
                <w:sz w:val="22"/>
                <w:szCs w:val="22"/>
              </w:rPr>
              <w:t>Transplant</w:t>
            </w:r>
          </w:p>
        </w:tc>
        <w:tc>
          <w:tcPr>
            <w:tcW w:w="1208" w:type="dxa"/>
            <w:tcMar>
              <w:top w:w="15" w:type="dxa"/>
              <w:left w:w="15" w:type="dxa"/>
              <w:right w:w="15" w:type="dxa"/>
            </w:tcMar>
            <w:vAlign w:val="bottom"/>
          </w:tcPr>
          <w:p w14:paraId="1AF7ABA0" w14:textId="26906A0E" w:rsidR="50448BAA" w:rsidRDefault="50448BAA" w:rsidP="50448BAA">
            <w:r w:rsidRPr="50448BAA">
              <w:rPr>
                <w:rFonts w:ascii="Calibri" w:eastAsia="Calibri" w:hAnsi="Calibri" w:cs="Calibri"/>
                <w:color w:val="000000" w:themeColor="text1"/>
                <w:sz w:val="22"/>
                <w:szCs w:val="22"/>
              </w:rPr>
              <w:t>59 (8.8)</w:t>
            </w:r>
          </w:p>
        </w:tc>
        <w:tc>
          <w:tcPr>
            <w:tcW w:w="1457" w:type="dxa"/>
            <w:tcMar>
              <w:top w:w="15" w:type="dxa"/>
              <w:left w:w="15" w:type="dxa"/>
              <w:right w:w="15" w:type="dxa"/>
            </w:tcMar>
            <w:vAlign w:val="bottom"/>
          </w:tcPr>
          <w:p w14:paraId="0F8E1BC0" w14:textId="6C70036B" w:rsidR="50448BAA" w:rsidRDefault="50448BAA" w:rsidP="50448BAA">
            <w:r w:rsidRPr="50448BAA">
              <w:rPr>
                <w:rFonts w:ascii="Calibri" w:eastAsia="Calibri" w:hAnsi="Calibri" w:cs="Calibri"/>
                <w:color w:val="000000" w:themeColor="text1"/>
                <w:sz w:val="22"/>
                <w:szCs w:val="22"/>
              </w:rPr>
              <w:t>25 (4.6)</w:t>
            </w:r>
          </w:p>
        </w:tc>
        <w:tc>
          <w:tcPr>
            <w:tcW w:w="1208" w:type="dxa"/>
            <w:shd w:val="clear" w:color="auto" w:fill="FFFF00"/>
            <w:tcMar>
              <w:top w:w="15" w:type="dxa"/>
              <w:left w:w="15" w:type="dxa"/>
              <w:right w:w="15" w:type="dxa"/>
            </w:tcMar>
            <w:vAlign w:val="bottom"/>
          </w:tcPr>
          <w:p w14:paraId="4C2E64B7" w14:textId="4C2A86D4" w:rsidR="50448BAA" w:rsidRDefault="50448BAA" w:rsidP="50448BAA">
            <w:r w:rsidRPr="50448BAA">
              <w:rPr>
                <w:rFonts w:ascii="Calibri" w:eastAsia="Calibri" w:hAnsi="Calibri" w:cs="Calibri"/>
                <w:color w:val="000000" w:themeColor="text1"/>
                <w:sz w:val="22"/>
                <w:szCs w:val="22"/>
              </w:rPr>
              <w:t>1 (0.4)</w:t>
            </w:r>
          </w:p>
        </w:tc>
      </w:tr>
      <w:tr w:rsidR="50448BAA" w14:paraId="13254FE7" w14:textId="77777777" w:rsidTr="50448BAA">
        <w:trPr>
          <w:trHeight w:val="300"/>
        </w:trPr>
        <w:tc>
          <w:tcPr>
            <w:tcW w:w="2129" w:type="dxa"/>
            <w:tcMar>
              <w:top w:w="15" w:type="dxa"/>
              <w:left w:w="15" w:type="dxa"/>
              <w:right w:w="15" w:type="dxa"/>
            </w:tcMar>
            <w:vAlign w:val="bottom"/>
          </w:tcPr>
          <w:p w14:paraId="1A2C0E2A" w14:textId="01135D87" w:rsidR="50448BAA" w:rsidRDefault="50448BAA"/>
        </w:tc>
        <w:tc>
          <w:tcPr>
            <w:tcW w:w="1450" w:type="dxa"/>
            <w:tcMar>
              <w:top w:w="15" w:type="dxa"/>
              <w:left w:w="15" w:type="dxa"/>
              <w:right w:w="15" w:type="dxa"/>
            </w:tcMar>
            <w:vAlign w:val="bottom"/>
          </w:tcPr>
          <w:p w14:paraId="473973B3" w14:textId="5DB6A8E1" w:rsidR="50448BAA" w:rsidRDefault="50448BAA" w:rsidP="50448BAA">
            <w:pPr>
              <w:spacing w:line="259" w:lineRule="auto"/>
            </w:pPr>
            <w:r w:rsidRPr="50448BAA">
              <w:rPr>
                <w:rFonts w:ascii="Calibri" w:eastAsia="Calibri" w:hAnsi="Calibri" w:cs="Calibri"/>
                <w:color w:val="000000" w:themeColor="text1"/>
                <w:sz w:val="22"/>
                <w:szCs w:val="22"/>
              </w:rPr>
              <w:t>No treatment</w:t>
            </w:r>
          </w:p>
        </w:tc>
        <w:tc>
          <w:tcPr>
            <w:tcW w:w="1208" w:type="dxa"/>
            <w:tcMar>
              <w:top w:w="15" w:type="dxa"/>
              <w:left w:w="15" w:type="dxa"/>
              <w:right w:w="15" w:type="dxa"/>
            </w:tcMar>
            <w:vAlign w:val="bottom"/>
          </w:tcPr>
          <w:p w14:paraId="6AA9BC28" w14:textId="62E2FC98" w:rsidR="50448BAA" w:rsidRDefault="50448BAA" w:rsidP="50448BAA">
            <w:r w:rsidRPr="50448BAA">
              <w:rPr>
                <w:rFonts w:ascii="Calibri" w:eastAsia="Calibri" w:hAnsi="Calibri" w:cs="Calibri"/>
                <w:color w:val="000000" w:themeColor="text1"/>
                <w:sz w:val="22"/>
                <w:szCs w:val="22"/>
              </w:rPr>
              <w:t>183 (27.4)</w:t>
            </w:r>
          </w:p>
        </w:tc>
        <w:tc>
          <w:tcPr>
            <w:tcW w:w="1457" w:type="dxa"/>
            <w:tcMar>
              <w:top w:w="15" w:type="dxa"/>
              <w:left w:w="15" w:type="dxa"/>
              <w:right w:w="15" w:type="dxa"/>
            </w:tcMar>
            <w:vAlign w:val="bottom"/>
          </w:tcPr>
          <w:p w14:paraId="1231898B" w14:textId="506A0B80" w:rsidR="50448BAA" w:rsidRDefault="50448BAA" w:rsidP="50448BAA">
            <w:r w:rsidRPr="50448BAA">
              <w:rPr>
                <w:rFonts w:ascii="Calibri" w:eastAsia="Calibri" w:hAnsi="Calibri" w:cs="Calibri"/>
                <w:color w:val="000000" w:themeColor="text1"/>
                <w:sz w:val="22"/>
                <w:szCs w:val="22"/>
              </w:rPr>
              <w:t>163 (29.7)</w:t>
            </w:r>
          </w:p>
        </w:tc>
        <w:tc>
          <w:tcPr>
            <w:tcW w:w="1208" w:type="dxa"/>
            <w:tcMar>
              <w:top w:w="15" w:type="dxa"/>
              <w:left w:w="15" w:type="dxa"/>
              <w:right w:w="15" w:type="dxa"/>
            </w:tcMar>
            <w:vAlign w:val="bottom"/>
          </w:tcPr>
          <w:p w14:paraId="4D0F4DE3" w14:textId="4A413497" w:rsidR="50448BAA" w:rsidRDefault="50448BAA" w:rsidP="50448BAA">
            <w:r w:rsidRPr="50448BAA">
              <w:rPr>
                <w:rFonts w:ascii="Calibri" w:eastAsia="Calibri" w:hAnsi="Calibri" w:cs="Calibri"/>
                <w:color w:val="000000" w:themeColor="text1"/>
                <w:sz w:val="22"/>
                <w:szCs w:val="22"/>
              </w:rPr>
              <w:t>146 (54.3)</w:t>
            </w:r>
          </w:p>
        </w:tc>
      </w:tr>
    </w:tbl>
    <w:p w14:paraId="69ED2848" w14:textId="725AF413" w:rsidR="50448BAA" w:rsidRDefault="50448BAA" w:rsidP="50448BAA">
      <w:pPr>
        <w:spacing w:line="259" w:lineRule="auto"/>
      </w:pPr>
    </w:p>
    <w:p w14:paraId="24FBBAE5" w14:textId="77777777" w:rsidR="00FC63E7" w:rsidRDefault="00FC63E7" w:rsidP="59961667">
      <w:pPr>
        <w:rPr>
          <w:b/>
          <w:bCs/>
        </w:rPr>
      </w:pPr>
    </w:p>
    <w:p w14:paraId="7C374A63" w14:textId="0613FCF5" w:rsidR="15CC1F5B" w:rsidRDefault="3CB5EE51" w:rsidP="59961667">
      <w:pPr>
        <w:rPr>
          <w:b/>
        </w:rPr>
      </w:pPr>
      <w:r w:rsidRPr="509B0EFC">
        <w:rPr>
          <w:b/>
        </w:rPr>
        <w:t>Annual rate of death in MASLD patients:</w:t>
      </w:r>
      <w:r w:rsidR="00645343">
        <w:rPr>
          <w:b/>
          <w:bCs/>
        </w:rPr>
        <w:t xml:space="preserve"> </w:t>
      </w:r>
    </w:p>
    <w:tbl>
      <w:tblPr>
        <w:tblStyle w:val="TableGrid"/>
        <w:tblW w:w="9360" w:type="dxa"/>
        <w:tblInd w:w="0" w:type="dxa"/>
        <w:tblLayout w:type="fixed"/>
        <w:tblLook w:val="06A0" w:firstRow="1" w:lastRow="0" w:firstColumn="1" w:lastColumn="0" w:noHBand="1" w:noVBand="1"/>
      </w:tblPr>
      <w:tblGrid>
        <w:gridCol w:w="2340"/>
        <w:gridCol w:w="2340"/>
        <w:gridCol w:w="2340"/>
        <w:gridCol w:w="2340"/>
      </w:tblGrid>
      <w:tr w:rsidR="59961667" w14:paraId="4F236453" w14:textId="77777777" w:rsidTr="1890523D">
        <w:trPr>
          <w:trHeight w:val="300"/>
        </w:trPr>
        <w:tc>
          <w:tcPr>
            <w:tcW w:w="2340" w:type="dxa"/>
          </w:tcPr>
          <w:p w14:paraId="0D7D3B5B" w14:textId="34A6D31E" w:rsidR="59961667" w:rsidRDefault="59961667" w:rsidP="59961667">
            <w:pPr>
              <w:rPr>
                <w:b/>
                <w:bCs/>
              </w:rPr>
            </w:pPr>
          </w:p>
        </w:tc>
        <w:tc>
          <w:tcPr>
            <w:tcW w:w="2340" w:type="dxa"/>
          </w:tcPr>
          <w:p w14:paraId="3A9B1268" w14:textId="19529E88" w:rsidR="59961667" w:rsidRDefault="7AD62870" w:rsidP="59961667">
            <w:pPr>
              <w:rPr>
                <w:b/>
                <w:bCs/>
              </w:rPr>
            </w:pPr>
            <w:r w:rsidRPr="509B0EFC">
              <w:rPr>
                <w:b/>
                <w:bCs/>
              </w:rPr>
              <w:t>Original data</w:t>
            </w:r>
          </w:p>
        </w:tc>
        <w:tc>
          <w:tcPr>
            <w:tcW w:w="2340" w:type="dxa"/>
          </w:tcPr>
          <w:p w14:paraId="0DE2A65A" w14:textId="63513920" w:rsidR="24D0A102" w:rsidRPr="50448BAA" w:rsidRDefault="24D0A102" w:rsidP="509B0EFC">
            <w:pPr>
              <w:rPr>
                <w:b/>
                <w:bCs/>
              </w:rPr>
            </w:pPr>
            <w:r w:rsidRPr="50448BAA">
              <w:rPr>
                <w:b/>
                <w:bCs/>
              </w:rPr>
              <w:t xml:space="preserve">Calculated </w:t>
            </w:r>
            <w:r w:rsidR="09EFB4FC" w:rsidRPr="50448BAA">
              <w:rPr>
                <w:b/>
                <w:bCs/>
              </w:rPr>
              <w:t>Annual death rate</w:t>
            </w:r>
          </w:p>
        </w:tc>
        <w:tc>
          <w:tcPr>
            <w:tcW w:w="2340" w:type="dxa"/>
          </w:tcPr>
          <w:p w14:paraId="75E2853C" w14:textId="78D1CBCC" w:rsidR="59961667" w:rsidRDefault="59961667" w:rsidP="59961667">
            <w:pPr>
              <w:rPr>
                <w:b/>
                <w:bCs/>
              </w:rPr>
            </w:pPr>
            <w:r w:rsidRPr="59961667">
              <w:rPr>
                <w:b/>
                <w:bCs/>
              </w:rPr>
              <w:t>Reference from literature</w:t>
            </w:r>
          </w:p>
        </w:tc>
      </w:tr>
      <w:tr w:rsidR="59961667" w14:paraId="46E96B83" w14:textId="77777777" w:rsidTr="1890523D">
        <w:trPr>
          <w:trHeight w:val="300"/>
        </w:trPr>
        <w:tc>
          <w:tcPr>
            <w:tcW w:w="2340" w:type="dxa"/>
          </w:tcPr>
          <w:p w14:paraId="46F7BFE4" w14:textId="421912F2" w:rsidR="59961667" w:rsidRDefault="59961667" w:rsidP="59961667">
            <w:r>
              <w:t>No cirrhosis</w:t>
            </w:r>
            <w:r w:rsidR="007136B4">
              <w:t xml:space="preserve"> (MASLD)</w:t>
            </w:r>
          </w:p>
        </w:tc>
        <w:tc>
          <w:tcPr>
            <w:tcW w:w="2340" w:type="dxa"/>
          </w:tcPr>
          <w:p w14:paraId="16FB284C" w14:textId="4E80EB60" w:rsidR="59961667" w:rsidRPr="00E663A0" w:rsidRDefault="00E663A0" w:rsidP="00E663A0">
            <w:r w:rsidRPr="00E663A0">
              <w:t>0.1%</w:t>
            </w:r>
            <w:r>
              <w:t xml:space="preserve"> 1y all-cause mortality</w:t>
            </w:r>
          </w:p>
        </w:tc>
        <w:tc>
          <w:tcPr>
            <w:tcW w:w="2340" w:type="dxa"/>
          </w:tcPr>
          <w:p w14:paraId="5ABBC080" w14:textId="487F72BE" w:rsidR="4F77DF2E" w:rsidRDefault="4F77DF2E" w:rsidP="509B0EFC">
            <w:r>
              <w:t>0.1%</w:t>
            </w:r>
          </w:p>
        </w:tc>
        <w:tc>
          <w:tcPr>
            <w:tcW w:w="2340" w:type="dxa"/>
          </w:tcPr>
          <w:p w14:paraId="0CAE21BA" w14:textId="2C3CB186" w:rsidR="59961667" w:rsidRPr="00F51D0F" w:rsidRDefault="00E663A0" w:rsidP="59961667">
            <w:pPr>
              <w:rPr>
                <w:highlight w:val="yellow"/>
              </w:rPr>
            </w:pPr>
            <w:commentRangeStart w:id="18"/>
            <w:r w:rsidRPr="00F376CA">
              <w:t>Cheng 2023</w:t>
            </w:r>
            <w:commentRangeEnd w:id="18"/>
            <w:r w:rsidR="00F376CA" w:rsidRPr="00F376CA">
              <w:rPr>
                <w:rStyle w:val="CommentReference"/>
                <w:rFonts w:eastAsiaTheme="minorHAnsi"/>
                <w:lang w:eastAsia="en-US"/>
              </w:rPr>
              <w:commentReference w:id="18"/>
            </w:r>
          </w:p>
        </w:tc>
      </w:tr>
      <w:tr w:rsidR="2D19C48D" w14:paraId="274154E3" w14:textId="77777777" w:rsidTr="1890523D">
        <w:trPr>
          <w:trHeight w:val="300"/>
        </w:trPr>
        <w:tc>
          <w:tcPr>
            <w:tcW w:w="2340" w:type="dxa"/>
          </w:tcPr>
          <w:p w14:paraId="12322CB8" w14:textId="18DA91DB" w:rsidR="2D19C48D" w:rsidRDefault="2D19C48D" w:rsidP="2D19C48D">
            <w:r>
              <w:t>Compensated cirrhosis (we use this to account for undiagnosed cirrhosis cases)</w:t>
            </w:r>
          </w:p>
        </w:tc>
        <w:tc>
          <w:tcPr>
            <w:tcW w:w="2340" w:type="dxa"/>
          </w:tcPr>
          <w:p w14:paraId="5AA7D0A8" w14:textId="07C6F0B6" w:rsidR="2D19C48D" w:rsidRPr="000F4930" w:rsidRDefault="00B85BDE" w:rsidP="2D19C48D">
            <w:r>
              <w:t>9.6</w:t>
            </w:r>
            <w:r w:rsidR="00ED37D4">
              <w:t xml:space="preserve">% 1y </w:t>
            </w:r>
            <w:r>
              <w:t>all-cause</w:t>
            </w:r>
            <w:r w:rsidR="00ED37D4">
              <w:t xml:space="preserve"> mortality</w:t>
            </w:r>
          </w:p>
        </w:tc>
        <w:tc>
          <w:tcPr>
            <w:tcW w:w="2340" w:type="dxa"/>
          </w:tcPr>
          <w:p w14:paraId="33E6B972" w14:textId="338F34CC" w:rsidR="621F2DB3" w:rsidRDefault="621F2DB3" w:rsidP="509B0EFC">
            <w:r>
              <w:t>9.6%</w:t>
            </w:r>
          </w:p>
        </w:tc>
        <w:tc>
          <w:tcPr>
            <w:tcW w:w="2340" w:type="dxa"/>
          </w:tcPr>
          <w:p w14:paraId="18DB1D92" w14:textId="77777777" w:rsidR="2D19C48D" w:rsidRDefault="000F4930" w:rsidP="2D19C48D">
            <w:commentRangeStart w:id="19"/>
            <w:r w:rsidRPr="00883002">
              <w:t>Wang 2023</w:t>
            </w:r>
            <w:commentRangeEnd w:id="19"/>
            <w:r w:rsidR="00883002">
              <w:rPr>
                <w:rStyle w:val="CommentReference"/>
                <w:rFonts w:eastAsiaTheme="minorHAnsi"/>
                <w:lang w:eastAsia="en-US"/>
              </w:rPr>
              <w:commentReference w:id="19"/>
            </w:r>
          </w:p>
          <w:p w14:paraId="675BF3E9" w14:textId="1BEEEC48" w:rsidR="00B85BDE" w:rsidRPr="00883002" w:rsidRDefault="00B85BDE" w:rsidP="2D19C48D">
            <w:r>
              <w:t>(</w:t>
            </w:r>
            <w:proofErr w:type="gramStart"/>
            <w:r>
              <w:t>derived</w:t>
            </w:r>
            <w:proofErr w:type="gramEnd"/>
            <w:r>
              <w:t xml:space="preserve"> by adding % mortality due to all causes in figure 4 – compensated)</w:t>
            </w:r>
          </w:p>
        </w:tc>
      </w:tr>
      <w:tr w:rsidR="59961667" w14:paraId="0415F01C" w14:textId="77777777" w:rsidTr="1890523D">
        <w:trPr>
          <w:trHeight w:val="300"/>
        </w:trPr>
        <w:tc>
          <w:tcPr>
            <w:tcW w:w="2340" w:type="dxa"/>
          </w:tcPr>
          <w:p w14:paraId="048F433E" w14:textId="31CDBD6E" w:rsidR="59961667" w:rsidRDefault="59961667" w:rsidP="59961667">
            <w:pPr>
              <w:rPr>
                <w:b/>
                <w:bCs/>
              </w:rPr>
            </w:pPr>
            <w:proofErr w:type="gramStart"/>
            <w:r>
              <w:t>Early stage</w:t>
            </w:r>
            <w:proofErr w:type="gramEnd"/>
            <w:r>
              <w:t xml:space="preserve"> HCC</w:t>
            </w:r>
          </w:p>
        </w:tc>
        <w:tc>
          <w:tcPr>
            <w:tcW w:w="2340" w:type="dxa"/>
          </w:tcPr>
          <w:p w14:paraId="2768D25F" w14:textId="29055C5D" w:rsidR="59961667" w:rsidRDefault="59961667" w:rsidP="59961667">
            <w:pPr>
              <w:rPr>
                <w:b/>
                <w:bCs/>
              </w:rPr>
            </w:pPr>
          </w:p>
        </w:tc>
        <w:tc>
          <w:tcPr>
            <w:tcW w:w="2340" w:type="dxa"/>
          </w:tcPr>
          <w:p w14:paraId="18FE86F5" w14:textId="1AB6DB10" w:rsidR="509B0EFC" w:rsidRDefault="509B0EFC" w:rsidP="509B0EFC">
            <w:pPr>
              <w:rPr>
                <w:b/>
                <w:bCs/>
              </w:rPr>
            </w:pPr>
          </w:p>
        </w:tc>
        <w:tc>
          <w:tcPr>
            <w:tcW w:w="2340" w:type="dxa"/>
          </w:tcPr>
          <w:p w14:paraId="7B98AFB1" w14:textId="29055C5D" w:rsidR="59961667" w:rsidRDefault="59961667" w:rsidP="59961667">
            <w:pPr>
              <w:rPr>
                <w:b/>
                <w:bCs/>
              </w:rPr>
            </w:pPr>
          </w:p>
        </w:tc>
      </w:tr>
      <w:tr w:rsidR="59961667" w14:paraId="26F929C8" w14:textId="77777777" w:rsidTr="1890523D">
        <w:trPr>
          <w:trHeight w:val="300"/>
        </w:trPr>
        <w:tc>
          <w:tcPr>
            <w:tcW w:w="2340" w:type="dxa"/>
          </w:tcPr>
          <w:p w14:paraId="06ED1FB5" w14:textId="07701E6F" w:rsidR="59961667" w:rsidRDefault="59961667" w:rsidP="59961667">
            <w:pPr>
              <w:ind w:left="720"/>
              <w:rPr>
                <w:color w:val="000000" w:themeColor="text1"/>
              </w:rPr>
            </w:pPr>
            <w:r w:rsidRPr="59961667">
              <w:rPr>
                <w:color w:val="000000" w:themeColor="text1"/>
              </w:rPr>
              <w:t>After Transplant</w:t>
            </w:r>
          </w:p>
        </w:tc>
        <w:tc>
          <w:tcPr>
            <w:tcW w:w="2340" w:type="dxa"/>
          </w:tcPr>
          <w:p w14:paraId="245C41B3" w14:textId="5A25747B" w:rsidR="59961667" w:rsidRPr="00DA606C" w:rsidRDefault="008408E0" w:rsidP="59961667">
            <w:r>
              <w:t xml:space="preserve">60%-70% </w:t>
            </w:r>
            <w:r w:rsidRPr="008408E0">
              <w:t xml:space="preserve">5-year </w:t>
            </w:r>
            <w:r w:rsidR="00583245">
              <w:t>OS</w:t>
            </w:r>
            <w:r w:rsidRPr="008408E0">
              <w:t xml:space="preserve"> rate</w:t>
            </w:r>
            <w:r w:rsidR="182B865A">
              <w:t>= ~35% 5-year death rate</w:t>
            </w:r>
          </w:p>
        </w:tc>
        <w:tc>
          <w:tcPr>
            <w:tcW w:w="2340" w:type="dxa"/>
          </w:tcPr>
          <w:p w14:paraId="37184288" w14:textId="1FD23FB1" w:rsidR="182B865A" w:rsidRDefault="182B865A" w:rsidP="509B0EFC">
            <w:r>
              <w:t xml:space="preserve">8.25% </w:t>
            </w:r>
            <w:r w:rsidRPr="50448BAA">
              <w:rPr>
                <w:rFonts w:ascii="Calibri" w:eastAsia="Calibri" w:hAnsi="Calibri" w:cs="Calibri"/>
                <w:sz w:val="22"/>
                <w:szCs w:val="22"/>
              </w:rPr>
              <w:t xml:space="preserve"> </w:t>
            </w:r>
          </w:p>
        </w:tc>
        <w:tc>
          <w:tcPr>
            <w:tcW w:w="2340" w:type="dxa"/>
          </w:tcPr>
          <w:p w14:paraId="71F691A6" w14:textId="249A187F" w:rsidR="59961667" w:rsidRPr="001B1AD6" w:rsidRDefault="001B1AD6" w:rsidP="59961667">
            <w:commentRangeStart w:id="20"/>
            <w:r w:rsidRPr="001B1AD6">
              <w:t>American cancer society</w:t>
            </w:r>
            <w:commentRangeEnd w:id="20"/>
            <w:r>
              <w:rPr>
                <w:rStyle w:val="CommentReference"/>
                <w:rFonts w:eastAsiaTheme="minorHAnsi"/>
                <w:lang w:eastAsia="en-US"/>
              </w:rPr>
              <w:commentReference w:id="20"/>
            </w:r>
            <w:r>
              <w:t xml:space="preserve"> data</w:t>
            </w:r>
          </w:p>
        </w:tc>
      </w:tr>
      <w:tr w:rsidR="59961667" w14:paraId="6DF0CE9E" w14:textId="77777777" w:rsidTr="1890523D">
        <w:trPr>
          <w:trHeight w:val="300"/>
        </w:trPr>
        <w:tc>
          <w:tcPr>
            <w:tcW w:w="2340" w:type="dxa"/>
          </w:tcPr>
          <w:p w14:paraId="64EFEE62" w14:textId="0B2136D8" w:rsidR="59961667" w:rsidRDefault="59961667" w:rsidP="59961667">
            <w:pPr>
              <w:ind w:left="720"/>
            </w:pPr>
            <w:r w:rsidRPr="59961667">
              <w:rPr>
                <w:color w:val="000000" w:themeColor="text1"/>
              </w:rPr>
              <w:t xml:space="preserve">After </w:t>
            </w:r>
            <w:r>
              <w:t>resection</w:t>
            </w:r>
          </w:p>
        </w:tc>
        <w:tc>
          <w:tcPr>
            <w:tcW w:w="2340" w:type="dxa"/>
          </w:tcPr>
          <w:p w14:paraId="4C6B36B3" w14:textId="3A74BB26" w:rsidR="59961667" w:rsidRPr="005B64C4" w:rsidRDefault="00E2529E" w:rsidP="59961667">
            <w:r w:rsidRPr="00E2529E">
              <w:t>88.9%</w:t>
            </w:r>
            <w:r>
              <w:t xml:space="preserve"> </w:t>
            </w:r>
            <w:r w:rsidRPr="00E2529E">
              <w:t>1-year</w:t>
            </w:r>
            <w:r>
              <w:t xml:space="preserve"> </w:t>
            </w:r>
            <w:r w:rsidR="00583245">
              <w:t>OS</w:t>
            </w:r>
            <w:r w:rsidRPr="00E2529E">
              <w:t xml:space="preserve"> rate</w:t>
            </w:r>
          </w:p>
        </w:tc>
        <w:tc>
          <w:tcPr>
            <w:tcW w:w="2340" w:type="dxa"/>
          </w:tcPr>
          <w:p w14:paraId="542F26B5" w14:textId="26CCC038" w:rsidR="79F40E49" w:rsidRDefault="79F40E49" w:rsidP="509B0EFC">
            <w:r>
              <w:t>11.1%</w:t>
            </w:r>
          </w:p>
        </w:tc>
        <w:tc>
          <w:tcPr>
            <w:tcW w:w="2340" w:type="dxa"/>
          </w:tcPr>
          <w:p w14:paraId="0F7CBD50" w14:textId="2269907D" w:rsidR="59961667" w:rsidRPr="00535861" w:rsidRDefault="00535861" w:rsidP="59961667">
            <w:commentRangeStart w:id="21"/>
            <w:r w:rsidRPr="00535861">
              <w:t>Thornton 2022</w:t>
            </w:r>
            <w:commentRangeEnd w:id="21"/>
            <w:r>
              <w:rPr>
                <w:rStyle w:val="CommentReference"/>
                <w:rFonts w:eastAsiaTheme="minorHAnsi"/>
                <w:lang w:eastAsia="en-US"/>
              </w:rPr>
              <w:commentReference w:id="21"/>
            </w:r>
          </w:p>
        </w:tc>
      </w:tr>
      <w:tr w:rsidR="59961667" w14:paraId="7DDBDC6D" w14:textId="77777777" w:rsidTr="1890523D">
        <w:trPr>
          <w:trHeight w:val="300"/>
        </w:trPr>
        <w:tc>
          <w:tcPr>
            <w:tcW w:w="2340" w:type="dxa"/>
          </w:tcPr>
          <w:p w14:paraId="1868F2B7" w14:textId="77BCB4B3" w:rsidR="59961667" w:rsidRDefault="59961667" w:rsidP="59961667">
            <w:pPr>
              <w:ind w:left="720"/>
            </w:pPr>
            <w:r w:rsidRPr="59961667">
              <w:rPr>
                <w:color w:val="000000" w:themeColor="text1"/>
              </w:rPr>
              <w:t xml:space="preserve">After </w:t>
            </w:r>
            <w:r>
              <w:t>TACE</w:t>
            </w:r>
          </w:p>
        </w:tc>
        <w:tc>
          <w:tcPr>
            <w:tcW w:w="2340" w:type="dxa"/>
          </w:tcPr>
          <w:p w14:paraId="26AB0E64" w14:textId="03EAEEA9" w:rsidR="59961667" w:rsidRPr="006A18A5" w:rsidRDefault="00BA3400" w:rsidP="59961667">
            <w:r w:rsidRPr="00BA3400">
              <w:t>93.3%</w:t>
            </w:r>
            <w:r>
              <w:t xml:space="preserve"> </w:t>
            </w:r>
            <w:r w:rsidRPr="00E2529E">
              <w:t>1-year</w:t>
            </w:r>
            <w:r>
              <w:t xml:space="preserve"> </w:t>
            </w:r>
            <w:r w:rsidR="00583245">
              <w:t>OS</w:t>
            </w:r>
            <w:r w:rsidR="00583245" w:rsidRPr="00E2529E">
              <w:t xml:space="preserve"> </w:t>
            </w:r>
            <w:r w:rsidRPr="00E2529E">
              <w:t>rate</w:t>
            </w:r>
          </w:p>
        </w:tc>
        <w:tc>
          <w:tcPr>
            <w:tcW w:w="2340" w:type="dxa"/>
          </w:tcPr>
          <w:p w14:paraId="3093018E" w14:textId="56C2AB36" w:rsidR="256807AB" w:rsidRDefault="256807AB" w:rsidP="509B0EFC">
            <w:r>
              <w:t>6.7%</w:t>
            </w:r>
          </w:p>
        </w:tc>
        <w:tc>
          <w:tcPr>
            <w:tcW w:w="2340" w:type="dxa"/>
          </w:tcPr>
          <w:p w14:paraId="57AA9FD3" w14:textId="253996BB" w:rsidR="59961667" w:rsidRPr="00D704F5" w:rsidRDefault="00D704F5" w:rsidP="59961667">
            <w:commentRangeStart w:id="22"/>
            <w:r w:rsidRPr="00D704F5">
              <w:t>Kim 2017</w:t>
            </w:r>
            <w:commentRangeEnd w:id="22"/>
            <w:r w:rsidR="000E1924">
              <w:rPr>
                <w:rStyle w:val="CommentReference"/>
                <w:rFonts w:eastAsiaTheme="minorHAnsi"/>
                <w:lang w:eastAsia="en-US"/>
              </w:rPr>
              <w:commentReference w:id="22"/>
            </w:r>
          </w:p>
        </w:tc>
      </w:tr>
      <w:tr w:rsidR="59961667" w14:paraId="37376D9B" w14:textId="77777777" w:rsidTr="1890523D">
        <w:trPr>
          <w:trHeight w:val="300"/>
        </w:trPr>
        <w:tc>
          <w:tcPr>
            <w:tcW w:w="2340" w:type="dxa"/>
          </w:tcPr>
          <w:p w14:paraId="308E0583" w14:textId="22C2091A" w:rsidR="59961667" w:rsidRDefault="59961667" w:rsidP="59961667">
            <w:pPr>
              <w:ind w:left="720"/>
            </w:pPr>
            <w:r w:rsidRPr="59961667">
              <w:rPr>
                <w:color w:val="000000" w:themeColor="text1"/>
              </w:rPr>
              <w:t>After a</w:t>
            </w:r>
            <w:r>
              <w:t>blation</w:t>
            </w:r>
          </w:p>
        </w:tc>
        <w:tc>
          <w:tcPr>
            <w:tcW w:w="2340" w:type="dxa"/>
          </w:tcPr>
          <w:p w14:paraId="4BD2AA5A" w14:textId="15AD80FF" w:rsidR="59961667" w:rsidRPr="00064D43" w:rsidRDefault="00D713CB" w:rsidP="59961667">
            <w:r w:rsidRPr="00D713CB">
              <w:t>43.2%</w:t>
            </w:r>
            <w:r>
              <w:t xml:space="preserve"> 5</w:t>
            </w:r>
            <w:r w:rsidRPr="00E2529E">
              <w:t>-year</w:t>
            </w:r>
            <w:r>
              <w:t xml:space="preserve"> </w:t>
            </w:r>
            <w:r w:rsidR="00583245">
              <w:t>OS</w:t>
            </w:r>
            <w:r w:rsidRPr="00E2529E">
              <w:t xml:space="preserve"> rate</w:t>
            </w:r>
            <w:r w:rsidR="07856D9A">
              <w:t>= 56.8% 5-year death rate</w:t>
            </w:r>
          </w:p>
        </w:tc>
        <w:tc>
          <w:tcPr>
            <w:tcW w:w="2340" w:type="dxa"/>
          </w:tcPr>
          <w:p w14:paraId="6D9A265C" w14:textId="00C050E3" w:rsidR="07856D9A" w:rsidRDefault="07856D9A" w:rsidP="509B0EFC">
            <w:r>
              <w:t>15.5%</w:t>
            </w:r>
          </w:p>
        </w:tc>
        <w:tc>
          <w:tcPr>
            <w:tcW w:w="2340" w:type="dxa"/>
          </w:tcPr>
          <w:p w14:paraId="3CD0318F" w14:textId="0E4DA2B2" w:rsidR="59961667" w:rsidRPr="00AA7A20" w:rsidRDefault="00AA7A20" w:rsidP="59961667">
            <w:commentRangeStart w:id="23"/>
            <w:r w:rsidRPr="00AA7A20">
              <w:t>Zhang 2021</w:t>
            </w:r>
            <w:commentRangeEnd w:id="23"/>
            <w:r>
              <w:rPr>
                <w:rStyle w:val="CommentReference"/>
                <w:rFonts w:eastAsiaTheme="minorHAnsi"/>
                <w:lang w:eastAsia="en-US"/>
              </w:rPr>
              <w:commentReference w:id="23"/>
            </w:r>
          </w:p>
        </w:tc>
      </w:tr>
      <w:tr w:rsidR="59961667" w14:paraId="23109AEE" w14:textId="77777777" w:rsidTr="1890523D">
        <w:trPr>
          <w:trHeight w:val="300"/>
        </w:trPr>
        <w:tc>
          <w:tcPr>
            <w:tcW w:w="2340" w:type="dxa"/>
          </w:tcPr>
          <w:p w14:paraId="0C2E2FC8" w14:textId="29A6D23F" w:rsidR="59961667" w:rsidRDefault="59961667" w:rsidP="59961667">
            <w:pPr>
              <w:ind w:left="720"/>
            </w:pPr>
            <w:r w:rsidRPr="59961667">
              <w:rPr>
                <w:color w:val="000000" w:themeColor="text1"/>
              </w:rPr>
              <w:lastRenderedPageBreak/>
              <w:t>After s</w:t>
            </w:r>
            <w:r>
              <w:t>ystemic chemotherapy</w:t>
            </w:r>
          </w:p>
        </w:tc>
        <w:tc>
          <w:tcPr>
            <w:tcW w:w="2340" w:type="dxa"/>
          </w:tcPr>
          <w:p w14:paraId="7A030080" w14:textId="0AB119D3" w:rsidR="59961667" w:rsidRPr="00A659E5" w:rsidRDefault="59961667" w:rsidP="59961667"/>
        </w:tc>
        <w:tc>
          <w:tcPr>
            <w:tcW w:w="2340" w:type="dxa"/>
          </w:tcPr>
          <w:p w14:paraId="3D2E200C" w14:textId="15E81ACD" w:rsidR="50BAD3AC" w:rsidRPr="50448BAA" w:rsidRDefault="1890523D" w:rsidP="1890523D">
            <w:r>
              <w:t>61.9%</w:t>
            </w:r>
          </w:p>
        </w:tc>
        <w:tc>
          <w:tcPr>
            <w:tcW w:w="2340" w:type="dxa"/>
          </w:tcPr>
          <w:p w14:paraId="03E0D228" w14:textId="0C191DB3" w:rsidR="59961667" w:rsidRPr="00400CEF" w:rsidRDefault="1890523D" w:rsidP="1890523D">
            <w:commentRangeStart w:id="24"/>
            <w:r>
              <w:t>SEER-Medicare</w:t>
            </w:r>
            <w:commentRangeEnd w:id="24"/>
            <w:r w:rsidR="50BAD3AC">
              <w:rPr>
                <w:rStyle w:val="CommentReference"/>
              </w:rPr>
              <w:commentReference w:id="24"/>
            </w:r>
          </w:p>
        </w:tc>
      </w:tr>
      <w:tr w:rsidR="59961667" w14:paraId="15BF1784" w14:textId="77777777" w:rsidTr="1890523D">
        <w:trPr>
          <w:trHeight w:val="300"/>
        </w:trPr>
        <w:tc>
          <w:tcPr>
            <w:tcW w:w="2340" w:type="dxa"/>
          </w:tcPr>
          <w:p w14:paraId="5AC0F7BF" w14:textId="37E451EA" w:rsidR="59961667" w:rsidRDefault="59961667" w:rsidP="59961667">
            <w:pPr>
              <w:ind w:left="720"/>
            </w:pPr>
            <w:r w:rsidRPr="59961667">
              <w:rPr>
                <w:color w:val="000000" w:themeColor="text1"/>
              </w:rPr>
              <w:t>After r</w:t>
            </w:r>
            <w:r>
              <w:t>adiotherapy</w:t>
            </w:r>
          </w:p>
        </w:tc>
        <w:tc>
          <w:tcPr>
            <w:tcW w:w="2340" w:type="dxa"/>
            <w:shd w:val="clear" w:color="auto" w:fill="auto"/>
          </w:tcPr>
          <w:p w14:paraId="526A50BD" w14:textId="2EC33078" w:rsidR="59961667" w:rsidRPr="006943DE" w:rsidRDefault="004756FA" w:rsidP="59961667">
            <w:r w:rsidRPr="004756FA">
              <w:t>70.4%</w:t>
            </w:r>
            <w:r>
              <w:t xml:space="preserve"> </w:t>
            </w:r>
            <w:r w:rsidRPr="004756FA">
              <w:t xml:space="preserve">3-year </w:t>
            </w:r>
            <w:r>
              <w:t>OS</w:t>
            </w:r>
            <w:r w:rsidRPr="004756FA">
              <w:t xml:space="preserve"> rates</w:t>
            </w:r>
            <w:r w:rsidR="35D36E6D">
              <w:t>= 29.6% 3-year death rate</w:t>
            </w:r>
          </w:p>
        </w:tc>
        <w:tc>
          <w:tcPr>
            <w:tcW w:w="2340" w:type="dxa"/>
            <w:shd w:val="clear" w:color="auto" w:fill="auto"/>
          </w:tcPr>
          <w:p w14:paraId="6C8E0D26" w14:textId="51ABFB0B" w:rsidR="35D36E6D" w:rsidRDefault="35D36E6D" w:rsidP="509B0EFC">
            <w:r>
              <w:t>11.0%</w:t>
            </w:r>
          </w:p>
        </w:tc>
        <w:tc>
          <w:tcPr>
            <w:tcW w:w="2340" w:type="dxa"/>
            <w:shd w:val="clear" w:color="auto" w:fill="auto"/>
          </w:tcPr>
          <w:p w14:paraId="25D1C789" w14:textId="13EE363A" w:rsidR="59961667" w:rsidRPr="00047FD5" w:rsidRDefault="00047FD5" w:rsidP="59961667">
            <w:commentRangeStart w:id="25"/>
            <w:r w:rsidRPr="00047FD5">
              <w:t>Hara 2019</w:t>
            </w:r>
            <w:commentRangeEnd w:id="25"/>
            <w:r w:rsidR="00AC3C45">
              <w:rPr>
                <w:rStyle w:val="CommentReference"/>
                <w:rFonts w:eastAsiaTheme="minorHAnsi"/>
                <w:lang w:eastAsia="en-US"/>
              </w:rPr>
              <w:commentReference w:id="25"/>
            </w:r>
          </w:p>
        </w:tc>
      </w:tr>
      <w:tr w:rsidR="59961667" w14:paraId="1DE9FCFD" w14:textId="77777777" w:rsidTr="1890523D">
        <w:trPr>
          <w:trHeight w:val="300"/>
        </w:trPr>
        <w:tc>
          <w:tcPr>
            <w:tcW w:w="2340" w:type="dxa"/>
          </w:tcPr>
          <w:p w14:paraId="351D4DF8" w14:textId="45106678" w:rsidR="59961667" w:rsidRDefault="59961667" w:rsidP="59961667">
            <w:pPr>
              <w:ind w:left="720"/>
            </w:pPr>
            <w:r>
              <w:t>Untreated</w:t>
            </w:r>
          </w:p>
        </w:tc>
        <w:tc>
          <w:tcPr>
            <w:tcW w:w="2340" w:type="dxa"/>
          </w:tcPr>
          <w:p w14:paraId="5BDB5722" w14:textId="5C9A9AA3" w:rsidR="59961667" w:rsidRPr="00E82AA2" w:rsidRDefault="00F3168B" w:rsidP="59961667">
            <w:r w:rsidRPr="00F3168B">
              <w:t>64%</w:t>
            </w:r>
            <w:r>
              <w:t xml:space="preserve"> </w:t>
            </w:r>
            <w:r w:rsidRPr="00E2529E">
              <w:t>1-year</w:t>
            </w:r>
            <w:r>
              <w:t xml:space="preserve"> OS</w:t>
            </w:r>
            <w:r w:rsidRPr="00E2529E">
              <w:t xml:space="preserve"> rate</w:t>
            </w:r>
          </w:p>
        </w:tc>
        <w:tc>
          <w:tcPr>
            <w:tcW w:w="2340" w:type="dxa"/>
          </w:tcPr>
          <w:p w14:paraId="094E1B47" w14:textId="540DBECE" w:rsidR="1410B8FD" w:rsidRDefault="1410B8FD" w:rsidP="509B0EFC">
            <w:r>
              <w:t>3</w:t>
            </w:r>
            <w:r w:rsidR="104EEFA1">
              <w:t>5.7</w:t>
            </w:r>
            <w:r>
              <w:t>%</w:t>
            </w:r>
          </w:p>
        </w:tc>
        <w:tc>
          <w:tcPr>
            <w:tcW w:w="2340" w:type="dxa"/>
          </w:tcPr>
          <w:p w14:paraId="109BCBC1" w14:textId="040DACCF" w:rsidR="00F3168B" w:rsidRPr="00334DB3" w:rsidRDefault="009C6AD4" w:rsidP="59961667">
            <w:r>
              <w:t>Khalaf</w:t>
            </w:r>
            <w:commentRangeStart w:id="26"/>
            <w:r w:rsidR="00F3168B">
              <w:t xml:space="preserve"> 2017</w:t>
            </w:r>
            <w:commentRangeEnd w:id="26"/>
            <w:r w:rsidR="00F3168B">
              <w:rPr>
                <w:rStyle w:val="CommentReference"/>
                <w:rFonts w:eastAsiaTheme="minorHAnsi"/>
                <w:lang w:eastAsia="en-US"/>
              </w:rPr>
              <w:commentReference w:id="26"/>
            </w:r>
          </w:p>
        </w:tc>
      </w:tr>
      <w:tr w:rsidR="59961667" w14:paraId="5AD1193C" w14:textId="77777777" w:rsidTr="1890523D">
        <w:trPr>
          <w:trHeight w:val="300"/>
        </w:trPr>
        <w:tc>
          <w:tcPr>
            <w:tcW w:w="2340" w:type="dxa"/>
          </w:tcPr>
          <w:p w14:paraId="2C794F80" w14:textId="2C4A34B7" w:rsidR="59961667" w:rsidRDefault="59961667" w:rsidP="59961667">
            <w:pPr>
              <w:rPr>
                <w:b/>
                <w:bCs/>
              </w:rPr>
            </w:pPr>
            <w:r>
              <w:t>Intermediate stage HCC</w:t>
            </w:r>
          </w:p>
        </w:tc>
        <w:tc>
          <w:tcPr>
            <w:tcW w:w="2340" w:type="dxa"/>
          </w:tcPr>
          <w:p w14:paraId="458FB19B" w14:textId="6584491A" w:rsidR="59961667" w:rsidRDefault="59961667" w:rsidP="59961667">
            <w:pPr>
              <w:rPr>
                <w:b/>
                <w:bCs/>
              </w:rPr>
            </w:pPr>
          </w:p>
        </w:tc>
        <w:tc>
          <w:tcPr>
            <w:tcW w:w="2340" w:type="dxa"/>
          </w:tcPr>
          <w:p w14:paraId="001597A9" w14:textId="5AFBD074" w:rsidR="509B0EFC" w:rsidRDefault="509B0EFC" w:rsidP="509B0EFC">
            <w:pPr>
              <w:rPr>
                <w:b/>
                <w:bCs/>
              </w:rPr>
            </w:pPr>
          </w:p>
        </w:tc>
        <w:tc>
          <w:tcPr>
            <w:tcW w:w="2340" w:type="dxa"/>
          </w:tcPr>
          <w:p w14:paraId="3A1280E5" w14:textId="4CBC6EB7" w:rsidR="59961667" w:rsidRDefault="59961667" w:rsidP="59961667">
            <w:pPr>
              <w:rPr>
                <w:b/>
                <w:bCs/>
              </w:rPr>
            </w:pPr>
          </w:p>
        </w:tc>
      </w:tr>
      <w:tr w:rsidR="59961667" w14:paraId="5A033053" w14:textId="77777777" w:rsidTr="1890523D">
        <w:trPr>
          <w:trHeight w:val="300"/>
        </w:trPr>
        <w:tc>
          <w:tcPr>
            <w:tcW w:w="2340" w:type="dxa"/>
          </w:tcPr>
          <w:p w14:paraId="54DE5A9E" w14:textId="07701E6F" w:rsidR="59961667" w:rsidRDefault="59961667" w:rsidP="59961667">
            <w:pPr>
              <w:ind w:left="720"/>
              <w:rPr>
                <w:color w:val="000000" w:themeColor="text1"/>
              </w:rPr>
            </w:pPr>
            <w:r w:rsidRPr="59961667">
              <w:rPr>
                <w:color w:val="000000" w:themeColor="text1"/>
              </w:rPr>
              <w:t>After Transplant</w:t>
            </w:r>
          </w:p>
        </w:tc>
        <w:tc>
          <w:tcPr>
            <w:tcW w:w="2340" w:type="dxa"/>
          </w:tcPr>
          <w:p w14:paraId="0115299F" w14:textId="111CC1DE" w:rsidR="59961667" w:rsidRPr="00045675" w:rsidRDefault="00AC5C01" w:rsidP="59961667">
            <w:r>
              <w:t xml:space="preserve">88% </w:t>
            </w:r>
            <w:r w:rsidRPr="00AC5C01">
              <w:t>1-year OS rate</w:t>
            </w:r>
          </w:p>
        </w:tc>
        <w:tc>
          <w:tcPr>
            <w:tcW w:w="2340" w:type="dxa"/>
          </w:tcPr>
          <w:p w14:paraId="136EF8C4" w14:textId="7A1572B7" w:rsidR="323DA6B5" w:rsidRDefault="323DA6B5" w:rsidP="509B0EFC">
            <w:r>
              <w:t>12%</w:t>
            </w:r>
          </w:p>
        </w:tc>
        <w:tc>
          <w:tcPr>
            <w:tcW w:w="2340" w:type="dxa"/>
          </w:tcPr>
          <w:p w14:paraId="232ECEFA" w14:textId="2E1A7FCD" w:rsidR="59961667" w:rsidRPr="00900522" w:rsidRDefault="00900522" w:rsidP="59961667">
            <w:commentRangeStart w:id="27"/>
            <w:proofErr w:type="spellStart"/>
            <w:r w:rsidRPr="00900522">
              <w:t>Kamo</w:t>
            </w:r>
            <w:proofErr w:type="spellEnd"/>
            <w:r w:rsidRPr="00900522">
              <w:t xml:space="preserve"> 2018</w:t>
            </w:r>
            <w:commentRangeEnd w:id="27"/>
            <w:r>
              <w:rPr>
                <w:rStyle w:val="CommentReference"/>
                <w:rFonts w:eastAsiaTheme="minorHAnsi"/>
                <w:lang w:eastAsia="en-US"/>
              </w:rPr>
              <w:commentReference w:id="27"/>
            </w:r>
          </w:p>
        </w:tc>
      </w:tr>
      <w:tr w:rsidR="59961667" w14:paraId="5539471F" w14:textId="77777777" w:rsidTr="1890523D">
        <w:trPr>
          <w:trHeight w:val="300"/>
        </w:trPr>
        <w:tc>
          <w:tcPr>
            <w:tcW w:w="2340" w:type="dxa"/>
            <w:shd w:val="clear" w:color="auto" w:fill="auto"/>
          </w:tcPr>
          <w:p w14:paraId="4665C513" w14:textId="0B2136D8" w:rsidR="59961667" w:rsidRDefault="59961667" w:rsidP="59961667">
            <w:pPr>
              <w:ind w:left="720"/>
            </w:pPr>
            <w:r w:rsidRPr="59961667">
              <w:rPr>
                <w:color w:val="000000" w:themeColor="text1"/>
              </w:rPr>
              <w:t xml:space="preserve">After </w:t>
            </w:r>
            <w:r>
              <w:t>resection</w:t>
            </w:r>
          </w:p>
        </w:tc>
        <w:tc>
          <w:tcPr>
            <w:tcW w:w="2340" w:type="dxa"/>
            <w:shd w:val="clear" w:color="auto" w:fill="auto"/>
          </w:tcPr>
          <w:p w14:paraId="66AE4247" w14:textId="3905DDFD" w:rsidR="59961667" w:rsidRPr="00BB6A2C" w:rsidRDefault="006854A3" w:rsidP="59961667">
            <w:r w:rsidRPr="006854A3">
              <w:t>92</w:t>
            </w:r>
            <w:r>
              <w:t xml:space="preserve">% </w:t>
            </w:r>
            <w:r w:rsidRPr="00AC5C01">
              <w:t>1-year OS rate</w:t>
            </w:r>
          </w:p>
        </w:tc>
        <w:tc>
          <w:tcPr>
            <w:tcW w:w="2340" w:type="dxa"/>
            <w:shd w:val="clear" w:color="auto" w:fill="auto"/>
          </w:tcPr>
          <w:p w14:paraId="76CB2C53" w14:textId="722BC93A" w:rsidR="36B01DCF" w:rsidRDefault="36B01DCF" w:rsidP="509B0EFC">
            <w:r>
              <w:t>8%</w:t>
            </w:r>
          </w:p>
        </w:tc>
        <w:tc>
          <w:tcPr>
            <w:tcW w:w="2340" w:type="dxa"/>
            <w:shd w:val="clear" w:color="auto" w:fill="auto"/>
          </w:tcPr>
          <w:p w14:paraId="05657C5B" w14:textId="5AB6482D" w:rsidR="59961667" w:rsidRPr="00E653C7" w:rsidRDefault="00E653C7" w:rsidP="59961667">
            <w:commentRangeStart w:id="28"/>
            <w:r w:rsidRPr="00E653C7">
              <w:t>Zhong 2015</w:t>
            </w:r>
            <w:commentRangeEnd w:id="28"/>
            <w:r w:rsidR="00205B8D">
              <w:rPr>
                <w:rStyle w:val="CommentReference"/>
                <w:rFonts w:eastAsiaTheme="minorHAnsi"/>
                <w:lang w:eastAsia="en-US"/>
              </w:rPr>
              <w:commentReference w:id="28"/>
            </w:r>
          </w:p>
        </w:tc>
      </w:tr>
      <w:tr w:rsidR="59961667" w14:paraId="268165E9" w14:textId="77777777" w:rsidTr="1890523D">
        <w:trPr>
          <w:trHeight w:val="300"/>
        </w:trPr>
        <w:tc>
          <w:tcPr>
            <w:tcW w:w="2340" w:type="dxa"/>
          </w:tcPr>
          <w:p w14:paraId="0422E941" w14:textId="77BCB4B3" w:rsidR="59961667" w:rsidRDefault="59961667" w:rsidP="59961667">
            <w:pPr>
              <w:ind w:left="720"/>
            </w:pPr>
            <w:r w:rsidRPr="59961667">
              <w:rPr>
                <w:color w:val="000000" w:themeColor="text1"/>
              </w:rPr>
              <w:t xml:space="preserve">After </w:t>
            </w:r>
            <w:r>
              <w:t>TACE</w:t>
            </w:r>
          </w:p>
        </w:tc>
        <w:tc>
          <w:tcPr>
            <w:tcW w:w="2340" w:type="dxa"/>
          </w:tcPr>
          <w:p w14:paraId="323A2893" w14:textId="13CB46D1" w:rsidR="59961667" w:rsidRPr="00970B1D" w:rsidRDefault="00CD381E" w:rsidP="59961667">
            <w:r w:rsidRPr="00CD381E">
              <w:t>70%</w:t>
            </w:r>
            <w:r>
              <w:t xml:space="preserve"> </w:t>
            </w:r>
            <w:r w:rsidRPr="00CD381E">
              <w:t>1-year OS rate</w:t>
            </w:r>
          </w:p>
        </w:tc>
        <w:tc>
          <w:tcPr>
            <w:tcW w:w="2340" w:type="dxa"/>
          </w:tcPr>
          <w:p w14:paraId="3F5731D6" w14:textId="15556912" w:rsidR="58A38595" w:rsidRDefault="58A38595" w:rsidP="509B0EFC">
            <w:pPr>
              <w:spacing w:line="259" w:lineRule="auto"/>
            </w:pPr>
            <w:r>
              <w:t>30%</w:t>
            </w:r>
          </w:p>
        </w:tc>
        <w:tc>
          <w:tcPr>
            <w:tcW w:w="2340" w:type="dxa"/>
          </w:tcPr>
          <w:p w14:paraId="48FD4070" w14:textId="462A5238" w:rsidR="59961667" w:rsidRPr="005A171F" w:rsidRDefault="005A171F" w:rsidP="59961667">
            <w:commentRangeStart w:id="29"/>
            <w:r w:rsidRPr="005A171F">
              <w:t>Prince 2020</w:t>
            </w:r>
            <w:commentRangeEnd w:id="29"/>
            <w:r w:rsidR="00902243">
              <w:rPr>
                <w:rStyle w:val="CommentReference"/>
                <w:rFonts w:eastAsiaTheme="minorHAnsi"/>
                <w:lang w:eastAsia="en-US"/>
              </w:rPr>
              <w:commentReference w:id="29"/>
            </w:r>
          </w:p>
        </w:tc>
      </w:tr>
      <w:tr w:rsidR="59961667" w14:paraId="7C76B954" w14:textId="77777777" w:rsidTr="1890523D">
        <w:trPr>
          <w:trHeight w:val="300"/>
        </w:trPr>
        <w:tc>
          <w:tcPr>
            <w:tcW w:w="2340" w:type="dxa"/>
          </w:tcPr>
          <w:p w14:paraId="1A983959" w14:textId="22C2091A" w:rsidR="59961667" w:rsidRDefault="59961667" w:rsidP="59961667">
            <w:pPr>
              <w:ind w:left="720"/>
            </w:pPr>
            <w:r w:rsidRPr="59961667">
              <w:rPr>
                <w:color w:val="000000" w:themeColor="text1"/>
              </w:rPr>
              <w:t>After a</w:t>
            </w:r>
            <w:r>
              <w:t>blation</w:t>
            </w:r>
          </w:p>
        </w:tc>
        <w:tc>
          <w:tcPr>
            <w:tcW w:w="2340" w:type="dxa"/>
          </w:tcPr>
          <w:p w14:paraId="5C2127F7" w14:textId="141C0403" w:rsidR="59961667" w:rsidRPr="00D814F5" w:rsidRDefault="00AB2E9C" w:rsidP="59961667">
            <w:r w:rsidRPr="00AB2E9C">
              <w:t>93.0%</w:t>
            </w:r>
            <w:r>
              <w:t xml:space="preserve"> </w:t>
            </w:r>
            <w:r w:rsidRPr="00AB2E9C">
              <w:t>1-year OS rate</w:t>
            </w:r>
          </w:p>
        </w:tc>
        <w:tc>
          <w:tcPr>
            <w:tcW w:w="2340" w:type="dxa"/>
          </w:tcPr>
          <w:p w14:paraId="51645FA2" w14:textId="466CE244" w:rsidR="58BDD2A2" w:rsidRDefault="58BDD2A2" w:rsidP="509B0EFC">
            <w:r>
              <w:t>7%</w:t>
            </w:r>
          </w:p>
        </w:tc>
        <w:tc>
          <w:tcPr>
            <w:tcW w:w="2340" w:type="dxa"/>
          </w:tcPr>
          <w:p w14:paraId="71B84F32" w14:textId="1D043DB8" w:rsidR="59961667" w:rsidRPr="00741505" w:rsidRDefault="00741505" w:rsidP="59961667">
            <w:commentRangeStart w:id="30"/>
            <w:r w:rsidRPr="00741505">
              <w:t>Tanaka 2023</w:t>
            </w:r>
            <w:commentRangeEnd w:id="30"/>
            <w:r w:rsidR="00786397">
              <w:rPr>
                <w:rStyle w:val="CommentReference"/>
                <w:rFonts w:eastAsiaTheme="minorHAnsi"/>
                <w:lang w:eastAsia="en-US"/>
              </w:rPr>
              <w:commentReference w:id="30"/>
            </w:r>
          </w:p>
        </w:tc>
      </w:tr>
      <w:tr w:rsidR="00CE73EC" w14:paraId="2E94EF0C" w14:textId="77777777" w:rsidTr="1890523D">
        <w:trPr>
          <w:trHeight w:val="300"/>
        </w:trPr>
        <w:tc>
          <w:tcPr>
            <w:tcW w:w="2340" w:type="dxa"/>
          </w:tcPr>
          <w:p w14:paraId="6D508639" w14:textId="29A6D23F" w:rsidR="00CE73EC" w:rsidRDefault="00CE73EC" w:rsidP="00CE73EC">
            <w:pPr>
              <w:ind w:left="720"/>
            </w:pPr>
            <w:r w:rsidRPr="59961667">
              <w:rPr>
                <w:color w:val="000000" w:themeColor="text1"/>
              </w:rPr>
              <w:t>After s</w:t>
            </w:r>
            <w:r>
              <w:t>ystemic chemotherapy</w:t>
            </w:r>
          </w:p>
        </w:tc>
        <w:tc>
          <w:tcPr>
            <w:tcW w:w="2340" w:type="dxa"/>
          </w:tcPr>
          <w:p w14:paraId="7326E6FC" w14:textId="63A9393D" w:rsidR="00CE73EC" w:rsidRPr="00B77B32" w:rsidRDefault="1CACDF65" w:rsidP="00CE73EC">
            <w:r>
              <w:t>89.4%</w:t>
            </w:r>
            <w:r w:rsidR="20232AE9">
              <w:t xml:space="preserve"> 1-year OS</w:t>
            </w:r>
            <w:r w:rsidR="0456681B">
              <w:t xml:space="preserve"> </w:t>
            </w:r>
            <w:r w:rsidR="73FC8725">
              <w:t>=10.6% (</w:t>
            </w:r>
            <w:commentRangeStart w:id="31"/>
            <w:r w:rsidR="73FC8725">
              <w:t>Nakamura 2023)</w:t>
            </w:r>
            <w:commentRangeEnd w:id="31"/>
            <w:r w:rsidR="00CE73EC">
              <w:rPr>
                <w:rStyle w:val="CommentReference"/>
              </w:rPr>
              <w:commentReference w:id="31"/>
            </w:r>
          </w:p>
        </w:tc>
        <w:tc>
          <w:tcPr>
            <w:tcW w:w="2340" w:type="dxa"/>
          </w:tcPr>
          <w:p w14:paraId="24B0F292" w14:textId="007FA07F" w:rsidR="0898BBD2" w:rsidRDefault="0898BBD2" w:rsidP="509B0EFC">
            <w:r>
              <w:t>69.6%</w:t>
            </w:r>
          </w:p>
        </w:tc>
        <w:tc>
          <w:tcPr>
            <w:tcW w:w="2340" w:type="dxa"/>
          </w:tcPr>
          <w:p w14:paraId="053B5D8D" w14:textId="016244DF" w:rsidR="00CE73EC" w:rsidRPr="00DD2928" w:rsidRDefault="226AB9F8" w:rsidP="00CE73EC">
            <w:r>
              <w:t>SEER-Medicare</w:t>
            </w:r>
          </w:p>
        </w:tc>
      </w:tr>
      <w:tr w:rsidR="00CE73EC" w14:paraId="78DB8E7D" w14:textId="77777777" w:rsidTr="1890523D">
        <w:trPr>
          <w:trHeight w:val="300"/>
        </w:trPr>
        <w:tc>
          <w:tcPr>
            <w:tcW w:w="2340" w:type="dxa"/>
          </w:tcPr>
          <w:p w14:paraId="259973F8" w14:textId="37E451EA" w:rsidR="00CE73EC" w:rsidRDefault="00CE73EC" w:rsidP="00CE73EC">
            <w:pPr>
              <w:ind w:left="720"/>
            </w:pPr>
            <w:r w:rsidRPr="59961667">
              <w:rPr>
                <w:color w:val="000000" w:themeColor="text1"/>
              </w:rPr>
              <w:t>After r</w:t>
            </w:r>
            <w:r>
              <w:t>adiotherapy</w:t>
            </w:r>
          </w:p>
        </w:tc>
        <w:tc>
          <w:tcPr>
            <w:tcW w:w="2340" w:type="dxa"/>
          </w:tcPr>
          <w:p w14:paraId="38EE2273" w14:textId="3754A18D" w:rsidR="00CE73EC" w:rsidRPr="00EF3505" w:rsidRDefault="00CE73EC" w:rsidP="00CE73EC">
            <w:r w:rsidRPr="00E84AD1">
              <w:t>63%</w:t>
            </w:r>
            <w:r>
              <w:t xml:space="preserve"> 2</w:t>
            </w:r>
            <w:r w:rsidRPr="00CD381E">
              <w:t>-year OS rate</w:t>
            </w:r>
            <w:r w:rsidR="13203301">
              <w:t xml:space="preserve"> =37% 2-year death rate</w:t>
            </w:r>
          </w:p>
        </w:tc>
        <w:tc>
          <w:tcPr>
            <w:tcW w:w="2340" w:type="dxa"/>
          </w:tcPr>
          <w:p w14:paraId="2C5131C2" w14:textId="1929F933" w:rsidR="13203301" w:rsidRDefault="13203301" w:rsidP="509B0EFC">
            <w:r>
              <w:t>20.6%</w:t>
            </w:r>
          </w:p>
        </w:tc>
        <w:tc>
          <w:tcPr>
            <w:tcW w:w="2340" w:type="dxa"/>
          </w:tcPr>
          <w:p w14:paraId="6CEF1796" w14:textId="4A2DD8F6" w:rsidR="00CE73EC" w:rsidRPr="00076A2C" w:rsidRDefault="00CE73EC" w:rsidP="00CE73EC">
            <w:commentRangeStart w:id="32"/>
            <w:r w:rsidRPr="00076A2C">
              <w:t>Prince 2020</w:t>
            </w:r>
            <w:commentRangeEnd w:id="32"/>
            <w:r>
              <w:rPr>
                <w:rStyle w:val="CommentReference"/>
              </w:rPr>
              <w:commentReference w:id="32"/>
            </w:r>
            <w:r w:rsidR="331D410E">
              <w:t xml:space="preserve"> </w:t>
            </w:r>
          </w:p>
        </w:tc>
      </w:tr>
      <w:tr w:rsidR="00CE73EC" w14:paraId="53E0E64B" w14:textId="77777777" w:rsidTr="1890523D">
        <w:trPr>
          <w:trHeight w:val="300"/>
        </w:trPr>
        <w:tc>
          <w:tcPr>
            <w:tcW w:w="2340" w:type="dxa"/>
          </w:tcPr>
          <w:p w14:paraId="532B535F" w14:textId="45106678" w:rsidR="00CE73EC" w:rsidRDefault="00CE73EC" w:rsidP="00CE73EC">
            <w:pPr>
              <w:ind w:left="720"/>
            </w:pPr>
            <w:r>
              <w:t>Untreated</w:t>
            </w:r>
          </w:p>
        </w:tc>
        <w:tc>
          <w:tcPr>
            <w:tcW w:w="2340" w:type="dxa"/>
          </w:tcPr>
          <w:p w14:paraId="0BF4A4F5" w14:textId="7DE302CC" w:rsidR="00CE73EC" w:rsidRPr="00131181" w:rsidRDefault="00CE73EC" w:rsidP="00CE73EC">
            <w:pPr>
              <w:rPr>
                <w:highlight w:val="yellow"/>
              </w:rPr>
            </w:pPr>
          </w:p>
        </w:tc>
        <w:tc>
          <w:tcPr>
            <w:tcW w:w="2340" w:type="dxa"/>
          </w:tcPr>
          <w:p w14:paraId="4ADB67F8" w14:textId="42724271" w:rsidR="5E73522A" w:rsidRDefault="5E73522A" w:rsidP="50448BAA">
            <w:pPr>
              <w:spacing w:line="259" w:lineRule="auto"/>
            </w:pPr>
            <w:r>
              <w:t>63.2%</w:t>
            </w:r>
          </w:p>
        </w:tc>
        <w:tc>
          <w:tcPr>
            <w:tcW w:w="2340" w:type="dxa"/>
          </w:tcPr>
          <w:p w14:paraId="481260E8" w14:textId="2683978F" w:rsidR="00CE73EC" w:rsidRPr="00F96DD9" w:rsidRDefault="5E73522A" w:rsidP="00CE73EC">
            <w:r>
              <w:t>Khalaf</w:t>
            </w:r>
            <w:commentRangeStart w:id="33"/>
            <w:r>
              <w:t xml:space="preserve"> 2017</w:t>
            </w:r>
            <w:commentRangeEnd w:id="33"/>
            <w:r w:rsidR="00CE73EC">
              <w:rPr>
                <w:rStyle w:val="CommentReference"/>
              </w:rPr>
              <w:commentReference w:id="33"/>
            </w:r>
          </w:p>
        </w:tc>
      </w:tr>
      <w:tr w:rsidR="00CE73EC" w14:paraId="29A83A92" w14:textId="77777777" w:rsidTr="1890523D">
        <w:trPr>
          <w:trHeight w:val="300"/>
        </w:trPr>
        <w:tc>
          <w:tcPr>
            <w:tcW w:w="2340" w:type="dxa"/>
          </w:tcPr>
          <w:p w14:paraId="1B9300AE" w14:textId="6FE75136" w:rsidR="00CE73EC" w:rsidRDefault="00CE73EC" w:rsidP="00CE73EC">
            <w:pPr>
              <w:rPr>
                <w:b/>
                <w:bCs/>
              </w:rPr>
            </w:pPr>
            <w:proofErr w:type="gramStart"/>
            <w:r>
              <w:t>Late stage</w:t>
            </w:r>
            <w:proofErr w:type="gramEnd"/>
            <w:r>
              <w:t xml:space="preserve"> HCC</w:t>
            </w:r>
          </w:p>
        </w:tc>
        <w:tc>
          <w:tcPr>
            <w:tcW w:w="2340" w:type="dxa"/>
          </w:tcPr>
          <w:p w14:paraId="2137C68C" w14:textId="34D1F913" w:rsidR="00CE73EC" w:rsidRDefault="00CE73EC" w:rsidP="00CE73EC">
            <w:pPr>
              <w:rPr>
                <w:b/>
                <w:bCs/>
              </w:rPr>
            </w:pPr>
          </w:p>
        </w:tc>
        <w:tc>
          <w:tcPr>
            <w:tcW w:w="2340" w:type="dxa"/>
          </w:tcPr>
          <w:p w14:paraId="118BA79E" w14:textId="390C3E62" w:rsidR="509B0EFC" w:rsidRDefault="509B0EFC" w:rsidP="509B0EFC">
            <w:pPr>
              <w:rPr>
                <w:b/>
                <w:bCs/>
              </w:rPr>
            </w:pPr>
          </w:p>
        </w:tc>
        <w:tc>
          <w:tcPr>
            <w:tcW w:w="2340" w:type="dxa"/>
          </w:tcPr>
          <w:p w14:paraId="592C0B86" w14:textId="5F185F51" w:rsidR="00CE73EC" w:rsidRDefault="00CE73EC" w:rsidP="00CE73EC">
            <w:pPr>
              <w:rPr>
                <w:b/>
                <w:bCs/>
              </w:rPr>
            </w:pPr>
          </w:p>
        </w:tc>
      </w:tr>
      <w:tr w:rsidR="00CE73EC" w14:paraId="4AD8C215" w14:textId="77777777" w:rsidTr="1890523D">
        <w:trPr>
          <w:trHeight w:val="300"/>
        </w:trPr>
        <w:tc>
          <w:tcPr>
            <w:tcW w:w="2340" w:type="dxa"/>
          </w:tcPr>
          <w:p w14:paraId="563E803D" w14:textId="77BCB4B3" w:rsidR="00CE73EC" w:rsidRDefault="00CE73EC" w:rsidP="00CE73EC">
            <w:pPr>
              <w:ind w:left="720"/>
            </w:pPr>
            <w:r w:rsidRPr="59961667">
              <w:rPr>
                <w:color w:val="000000" w:themeColor="text1"/>
              </w:rPr>
              <w:t xml:space="preserve">After </w:t>
            </w:r>
            <w:r>
              <w:t>TACE</w:t>
            </w:r>
          </w:p>
        </w:tc>
        <w:tc>
          <w:tcPr>
            <w:tcW w:w="2340" w:type="dxa"/>
          </w:tcPr>
          <w:p w14:paraId="1F5ECACC" w14:textId="50636BFA" w:rsidR="00CE73EC" w:rsidRPr="00A71928" w:rsidRDefault="00CE73EC" w:rsidP="00CE73EC">
            <w:r w:rsidRPr="00DA32BF">
              <w:t>3</w:t>
            </w:r>
            <w:r>
              <w:t>3.3</w:t>
            </w:r>
            <w:r w:rsidRPr="00DA32BF">
              <w:t>%</w:t>
            </w:r>
            <w:r>
              <w:t xml:space="preserve"> </w:t>
            </w:r>
            <w:r w:rsidRPr="00DA32BF">
              <w:t>1-year OS rate</w:t>
            </w:r>
          </w:p>
        </w:tc>
        <w:tc>
          <w:tcPr>
            <w:tcW w:w="2340" w:type="dxa"/>
          </w:tcPr>
          <w:p w14:paraId="6CCE9F9D" w14:textId="4E0A4BB1" w:rsidR="00628445" w:rsidRDefault="00628445" w:rsidP="509B0EFC">
            <w:r>
              <w:t>66.7%</w:t>
            </w:r>
          </w:p>
        </w:tc>
        <w:tc>
          <w:tcPr>
            <w:tcW w:w="2340" w:type="dxa"/>
          </w:tcPr>
          <w:p w14:paraId="1884B9E5" w14:textId="050B828A" w:rsidR="00CE73EC" w:rsidRPr="00940076" w:rsidRDefault="00CE73EC" w:rsidP="00CE73EC">
            <w:commentRangeStart w:id="34"/>
            <w:r w:rsidRPr="00940076">
              <w:t>Kong 2018</w:t>
            </w:r>
            <w:commentRangeEnd w:id="34"/>
            <w:r>
              <w:rPr>
                <w:rStyle w:val="CommentReference"/>
                <w:rFonts w:eastAsiaTheme="minorHAnsi"/>
                <w:lang w:eastAsia="en-US"/>
              </w:rPr>
              <w:commentReference w:id="34"/>
            </w:r>
          </w:p>
        </w:tc>
      </w:tr>
      <w:tr w:rsidR="00CE73EC" w14:paraId="584086FD" w14:textId="77777777" w:rsidTr="1890523D">
        <w:trPr>
          <w:trHeight w:val="300"/>
        </w:trPr>
        <w:tc>
          <w:tcPr>
            <w:tcW w:w="2340" w:type="dxa"/>
          </w:tcPr>
          <w:p w14:paraId="192FB02E" w14:textId="22C2091A" w:rsidR="00CE73EC" w:rsidRDefault="00CE73EC" w:rsidP="00CE73EC">
            <w:pPr>
              <w:ind w:left="720"/>
            </w:pPr>
            <w:r w:rsidRPr="59961667">
              <w:rPr>
                <w:color w:val="000000" w:themeColor="text1"/>
              </w:rPr>
              <w:t>After a</w:t>
            </w:r>
            <w:r>
              <w:t>blation</w:t>
            </w:r>
          </w:p>
        </w:tc>
        <w:tc>
          <w:tcPr>
            <w:tcW w:w="2340" w:type="dxa"/>
          </w:tcPr>
          <w:p w14:paraId="620E6844" w14:textId="58C20CBE" w:rsidR="00CE73EC" w:rsidRPr="009A1AB6" w:rsidRDefault="00CE73EC" w:rsidP="00CE73EC">
            <w:r w:rsidRPr="00044C00">
              <w:t>73.1%</w:t>
            </w:r>
            <w:r>
              <w:t xml:space="preserve"> </w:t>
            </w:r>
            <w:r w:rsidRPr="00044C00">
              <w:t>1-year OS rate</w:t>
            </w:r>
          </w:p>
        </w:tc>
        <w:tc>
          <w:tcPr>
            <w:tcW w:w="2340" w:type="dxa"/>
          </w:tcPr>
          <w:p w14:paraId="1B799325" w14:textId="64C22A4D" w:rsidR="1A3C3C74" w:rsidRDefault="1A3C3C74" w:rsidP="509B0EFC">
            <w:r>
              <w:t>26.9%</w:t>
            </w:r>
          </w:p>
        </w:tc>
        <w:tc>
          <w:tcPr>
            <w:tcW w:w="2340" w:type="dxa"/>
          </w:tcPr>
          <w:p w14:paraId="7D8B5881" w14:textId="2233A16B" w:rsidR="00CE73EC" w:rsidRPr="004D6F02" w:rsidRDefault="00CE73EC" w:rsidP="00CE73EC">
            <w:commentRangeStart w:id="35"/>
            <w:r w:rsidRPr="00141736">
              <w:t>Dai</w:t>
            </w:r>
            <w:r w:rsidRPr="004D6F02">
              <w:t xml:space="preserve"> 201</w:t>
            </w:r>
            <w:r>
              <w:t>4</w:t>
            </w:r>
            <w:commentRangeEnd w:id="35"/>
            <w:r>
              <w:rPr>
                <w:rStyle w:val="CommentReference"/>
                <w:rFonts w:eastAsiaTheme="minorHAnsi"/>
                <w:lang w:eastAsia="en-US"/>
              </w:rPr>
              <w:commentReference w:id="35"/>
            </w:r>
          </w:p>
        </w:tc>
      </w:tr>
      <w:tr w:rsidR="00CE73EC" w14:paraId="182655F8" w14:textId="77777777" w:rsidTr="1890523D">
        <w:trPr>
          <w:trHeight w:val="300"/>
        </w:trPr>
        <w:tc>
          <w:tcPr>
            <w:tcW w:w="2340" w:type="dxa"/>
          </w:tcPr>
          <w:p w14:paraId="53168F0F" w14:textId="29A6D23F" w:rsidR="00CE73EC" w:rsidRDefault="00CE73EC" w:rsidP="00CE73EC">
            <w:pPr>
              <w:ind w:left="720"/>
            </w:pPr>
            <w:r w:rsidRPr="59961667">
              <w:rPr>
                <w:color w:val="000000" w:themeColor="text1"/>
              </w:rPr>
              <w:t>After s</w:t>
            </w:r>
            <w:r>
              <w:t>ystemic chemotherapy</w:t>
            </w:r>
          </w:p>
        </w:tc>
        <w:tc>
          <w:tcPr>
            <w:tcW w:w="2340" w:type="dxa"/>
          </w:tcPr>
          <w:p w14:paraId="7DF4DEF3" w14:textId="0B98A87D" w:rsidR="00CE73EC" w:rsidRPr="00CF6FAC" w:rsidRDefault="1CACDF65" w:rsidP="237A1545">
            <w:pPr>
              <w:spacing w:line="259" w:lineRule="auto"/>
            </w:pPr>
            <w:r>
              <w:t>71.4%</w:t>
            </w:r>
            <w:r w:rsidR="4C777293">
              <w:t xml:space="preserve"> 1-year OS</w:t>
            </w:r>
            <w:r w:rsidR="7EF682EE">
              <w:t xml:space="preserve"> </w:t>
            </w:r>
            <w:r w:rsidR="18F77B1C">
              <w:t>= 28.6% (</w:t>
            </w:r>
            <w:commentRangeStart w:id="36"/>
            <w:r w:rsidR="18F77B1C">
              <w:t>Nakamura 2023</w:t>
            </w:r>
            <w:commentRangeEnd w:id="36"/>
            <w:r w:rsidR="00CE73EC">
              <w:rPr>
                <w:rStyle w:val="CommentReference"/>
              </w:rPr>
              <w:commentReference w:id="36"/>
            </w:r>
            <w:r w:rsidR="18F77B1C">
              <w:t>)</w:t>
            </w:r>
          </w:p>
        </w:tc>
        <w:tc>
          <w:tcPr>
            <w:tcW w:w="2340" w:type="dxa"/>
          </w:tcPr>
          <w:p w14:paraId="2CDC479E" w14:textId="5FCB9D33" w:rsidR="4D23A97C" w:rsidRDefault="4D23A97C" w:rsidP="509B0EFC">
            <w:r>
              <w:t>86.</w:t>
            </w:r>
            <w:r w:rsidR="4C6938D1">
              <w:t>2</w:t>
            </w:r>
            <w:r>
              <w:t xml:space="preserve">% </w:t>
            </w:r>
          </w:p>
        </w:tc>
        <w:tc>
          <w:tcPr>
            <w:tcW w:w="2340" w:type="dxa"/>
          </w:tcPr>
          <w:p w14:paraId="324D9A3D" w14:textId="23E5F65C" w:rsidR="00CE73EC" w:rsidRPr="004D0389" w:rsidRDefault="53288500" w:rsidP="00CE73EC">
            <w:r>
              <w:t>SEER-Medicare</w:t>
            </w:r>
          </w:p>
        </w:tc>
      </w:tr>
      <w:tr w:rsidR="00CE73EC" w14:paraId="3ED5CC26" w14:textId="77777777" w:rsidTr="1890523D">
        <w:trPr>
          <w:trHeight w:val="300"/>
        </w:trPr>
        <w:tc>
          <w:tcPr>
            <w:tcW w:w="2340" w:type="dxa"/>
          </w:tcPr>
          <w:p w14:paraId="11D941C4" w14:textId="37E451EA" w:rsidR="00CE73EC" w:rsidRDefault="00CE73EC" w:rsidP="00CE73EC">
            <w:pPr>
              <w:ind w:left="720"/>
            </w:pPr>
            <w:r w:rsidRPr="59961667">
              <w:rPr>
                <w:color w:val="000000" w:themeColor="text1"/>
              </w:rPr>
              <w:t>After r</w:t>
            </w:r>
            <w:r>
              <w:t>adiotherapy</w:t>
            </w:r>
          </w:p>
        </w:tc>
        <w:tc>
          <w:tcPr>
            <w:tcW w:w="2340" w:type="dxa"/>
          </w:tcPr>
          <w:p w14:paraId="50873DB8" w14:textId="579DF201" w:rsidR="00CE73EC" w:rsidRPr="00CE650D" w:rsidRDefault="00CE73EC" w:rsidP="00CE73EC">
            <w:r w:rsidRPr="00C418E7">
              <w:t>31.3</w:t>
            </w:r>
            <w:r>
              <w:t xml:space="preserve">% </w:t>
            </w:r>
            <w:r w:rsidRPr="00044C00">
              <w:t>1-year OS rate</w:t>
            </w:r>
          </w:p>
        </w:tc>
        <w:tc>
          <w:tcPr>
            <w:tcW w:w="2340" w:type="dxa"/>
          </w:tcPr>
          <w:p w14:paraId="7D0E2188" w14:textId="644DF561" w:rsidR="13799A25" w:rsidRDefault="13799A25" w:rsidP="509B0EFC">
            <w:r>
              <w:t>68.7%</w:t>
            </w:r>
          </w:p>
        </w:tc>
        <w:tc>
          <w:tcPr>
            <w:tcW w:w="2340" w:type="dxa"/>
          </w:tcPr>
          <w:p w14:paraId="56AFD044" w14:textId="670AA58F" w:rsidR="00CE73EC" w:rsidRPr="00A972F3" w:rsidRDefault="00CE73EC" w:rsidP="00CE73EC">
            <w:commentRangeStart w:id="37"/>
            <w:r w:rsidRPr="00A972F3">
              <w:t>Lin 2019</w:t>
            </w:r>
            <w:commentRangeEnd w:id="37"/>
            <w:r>
              <w:rPr>
                <w:rStyle w:val="CommentReference"/>
                <w:rFonts w:eastAsiaTheme="minorHAnsi"/>
                <w:lang w:eastAsia="en-US"/>
              </w:rPr>
              <w:commentReference w:id="37"/>
            </w:r>
          </w:p>
        </w:tc>
      </w:tr>
      <w:tr w:rsidR="00CE73EC" w14:paraId="5D400E78" w14:textId="77777777" w:rsidTr="1890523D">
        <w:trPr>
          <w:trHeight w:val="300"/>
        </w:trPr>
        <w:tc>
          <w:tcPr>
            <w:tcW w:w="2340" w:type="dxa"/>
          </w:tcPr>
          <w:p w14:paraId="180A79AF" w14:textId="45106678" w:rsidR="00CE73EC" w:rsidRDefault="00CE73EC" w:rsidP="00CE73EC">
            <w:pPr>
              <w:ind w:left="720"/>
            </w:pPr>
            <w:r>
              <w:t>Untreated</w:t>
            </w:r>
          </w:p>
        </w:tc>
        <w:tc>
          <w:tcPr>
            <w:tcW w:w="2340" w:type="dxa"/>
          </w:tcPr>
          <w:p w14:paraId="73327459" w14:textId="733AD216" w:rsidR="00CE73EC" w:rsidRPr="003610A4" w:rsidRDefault="00CE73EC" w:rsidP="00CE73EC">
            <w:pPr>
              <w:rPr>
                <w:highlight w:val="yellow"/>
              </w:rPr>
            </w:pPr>
          </w:p>
        </w:tc>
        <w:tc>
          <w:tcPr>
            <w:tcW w:w="2340" w:type="dxa"/>
          </w:tcPr>
          <w:p w14:paraId="2FB9405E" w14:textId="10B53319" w:rsidR="7321C2D1" w:rsidRDefault="7321C2D1" w:rsidP="509B0EFC">
            <w:pPr>
              <w:spacing w:line="259" w:lineRule="auto"/>
            </w:pPr>
            <w:r>
              <w:t>87.2</w:t>
            </w:r>
            <w:r w:rsidR="775F4FDE">
              <w:t>%</w:t>
            </w:r>
          </w:p>
        </w:tc>
        <w:tc>
          <w:tcPr>
            <w:tcW w:w="2340" w:type="dxa"/>
          </w:tcPr>
          <w:p w14:paraId="23701DD8" w14:textId="6CEA4559" w:rsidR="00CE73EC" w:rsidRPr="003610A4" w:rsidRDefault="2D65E60D" w:rsidP="00CE73EC">
            <w:r>
              <w:t>Khalaf</w:t>
            </w:r>
            <w:commentRangeStart w:id="38"/>
            <w:r>
              <w:t xml:space="preserve"> 2017</w:t>
            </w:r>
            <w:commentRangeEnd w:id="38"/>
            <w:r w:rsidR="00CE73EC">
              <w:rPr>
                <w:rStyle w:val="CommentReference"/>
              </w:rPr>
              <w:commentReference w:id="38"/>
            </w:r>
          </w:p>
        </w:tc>
      </w:tr>
    </w:tbl>
    <w:p w14:paraId="36AAEE1F" w14:textId="77777777" w:rsidR="007F7B88" w:rsidRDefault="007F7B88" w:rsidP="15CC1F5B">
      <w:pPr>
        <w:rPr>
          <w:lang w:eastAsia="ja-JP"/>
        </w:rPr>
      </w:pPr>
    </w:p>
    <w:p w14:paraId="5A3CEF52" w14:textId="67D28BE6" w:rsidR="50448BAA" w:rsidRDefault="00D91075" w:rsidP="50448BAA">
      <w:pPr>
        <w:rPr>
          <w:lang w:eastAsia="ja-JP"/>
        </w:rPr>
      </w:pPr>
      <w:r>
        <w:t xml:space="preserve">This paper says age was associated with 10% increase in mortality per 1 year increase in age: </w:t>
      </w:r>
      <w:hyperlink r:id="rId11" w:history="1">
        <w:r>
          <w:rPr>
            <w:rStyle w:val="Hyperlink"/>
          </w:rPr>
          <w:t>Characterization of hepatocellular carcinoma (HCC) in non-alcoholic fatty liver disease (NAFLD) patients without cirrhosis | Hepatology International</w:t>
        </w:r>
      </w:hyperlink>
    </w:p>
    <w:p w14:paraId="778C246B" w14:textId="21D060CD" w:rsidR="50448BAA" w:rsidRDefault="50448BAA" w:rsidP="50448BAA">
      <w:pPr>
        <w:rPr>
          <w:lang w:eastAsia="ja-JP"/>
        </w:rPr>
      </w:pPr>
    </w:p>
    <w:p w14:paraId="7D4E8BD9" w14:textId="63605602" w:rsidR="0038341E" w:rsidRDefault="59961667" w:rsidP="59961667">
      <w:pPr>
        <w:rPr>
          <w:b/>
          <w:bCs/>
        </w:rPr>
      </w:pPr>
      <w:r w:rsidRPr="59961667">
        <w:rPr>
          <w:b/>
          <w:bCs/>
        </w:rPr>
        <w:t>Sensitivity/Specificity of HCC screening from literature</w:t>
      </w:r>
    </w:p>
    <w:tbl>
      <w:tblPr>
        <w:tblStyle w:val="TableGrid"/>
        <w:tblW w:w="9363" w:type="dxa"/>
        <w:tblInd w:w="0" w:type="dxa"/>
        <w:tblLook w:val="04A0" w:firstRow="1" w:lastRow="0" w:firstColumn="1" w:lastColumn="0" w:noHBand="0" w:noVBand="1"/>
      </w:tblPr>
      <w:tblGrid>
        <w:gridCol w:w="3121"/>
        <w:gridCol w:w="3121"/>
        <w:gridCol w:w="3121"/>
      </w:tblGrid>
      <w:tr w:rsidR="0038341E" w14:paraId="164402E6" w14:textId="77777777" w:rsidTr="59961667">
        <w:trPr>
          <w:trHeight w:val="300"/>
        </w:trPr>
        <w:tc>
          <w:tcPr>
            <w:tcW w:w="3121" w:type="dxa"/>
            <w:tcBorders>
              <w:top w:val="single" w:sz="4" w:space="0" w:color="auto"/>
              <w:left w:val="single" w:sz="4" w:space="0" w:color="auto"/>
              <w:bottom w:val="single" w:sz="4" w:space="0" w:color="auto"/>
              <w:right w:val="single" w:sz="4" w:space="0" w:color="auto"/>
            </w:tcBorders>
            <w:hideMark/>
          </w:tcPr>
          <w:p w14:paraId="4957FF17" w14:textId="77777777" w:rsidR="0038341E" w:rsidRDefault="0038341E">
            <w:pPr>
              <w:rPr>
                <w:b/>
                <w:bCs/>
              </w:rPr>
            </w:pPr>
            <w:r>
              <w:rPr>
                <w:b/>
                <w:bCs/>
              </w:rPr>
              <w:t>Probability</w:t>
            </w:r>
          </w:p>
        </w:tc>
        <w:tc>
          <w:tcPr>
            <w:tcW w:w="3121" w:type="dxa"/>
            <w:tcBorders>
              <w:top w:val="single" w:sz="4" w:space="0" w:color="auto"/>
              <w:left w:val="single" w:sz="4" w:space="0" w:color="auto"/>
              <w:bottom w:val="single" w:sz="4" w:space="0" w:color="auto"/>
              <w:right w:val="single" w:sz="4" w:space="0" w:color="auto"/>
            </w:tcBorders>
            <w:hideMark/>
          </w:tcPr>
          <w:p w14:paraId="287CF007" w14:textId="77777777" w:rsidR="0038341E" w:rsidRDefault="0038341E">
            <w:pPr>
              <w:rPr>
                <w:b/>
                <w:bCs/>
              </w:rPr>
            </w:pPr>
            <w:r>
              <w:rPr>
                <w:b/>
                <w:bCs/>
              </w:rPr>
              <w:t>Value</w:t>
            </w:r>
          </w:p>
        </w:tc>
        <w:tc>
          <w:tcPr>
            <w:tcW w:w="3121" w:type="dxa"/>
            <w:tcBorders>
              <w:top w:val="single" w:sz="4" w:space="0" w:color="auto"/>
              <w:left w:val="single" w:sz="4" w:space="0" w:color="auto"/>
              <w:bottom w:val="single" w:sz="4" w:space="0" w:color="auto"/>
              <w:right w:val="single" w:sz="4" w:space="0" w:color="auto"/>
            </w:tcBorders>
            <w:hideMark/>
          </w:tcPr>
          <w:p w14:paraId="5C111448" w14:textId="060BD2B4" w:rsidR="0038341E" w:rsidRDefault="59961667" w:rsidP="59961667">
            <w:pPr>
              <w:rPr>
                <w:b/>
                <w:bCs/>
              </w:rPr>
            </w:pPr>
            <w:r w:rsidRPr="59961667">
              <w:rPr>
                <w:b/>
                <w:bCs/>
              </w:rPr>
              <w:t>Reference from literature</w:t>
            </w:r>
          </w:p>
        </w:tc>
      </w:tr>
      <w:tr w:rsidR="0038341E" w14:paraId="4E52D37E" w14:textId="77777777" w:rsidTr="59961667">
        <w:trPr>
          <w:trHeight w:val="300"/>
        </w:trPr>
        <w:tc>
          <w:tcPr>
            <w:tcW w:w="3121" w:type="dxa"/>
            <w:tcBorders>
              <w:top w:val="single" w:sz="4" w:space="0" w:color="auto"/>
              <w:left w:val="single" w:sz="4" w:space="0" w:color="auto"/>
              <w:bottom w:val="single" w:sz="4" w:space="0" w:color="auto"/>
              <w:right w:val="single" w:sz="4" w:space="0" w:color="auto"/>
            </w:tcBorders>
            <w:hideMark/>
          </w:tcPr>
          <w:p w14:paraId="4A2FE4E1" w14:textId="77777777" w:rsidR="0038341E" w:rsidRDefault="0038341E">
            <w:r>
              <w:t>Sensitivity of US/AFP</w:t>
            </w:r>
          </w:p>
        </w:tc>
        <w:tc>
          <w:tcPr>
            <w:tcW w:w="3121" w:type="dxa"/>
            <w:tcBorders>
              <w:top w:val="single" w:sz="4" w:space="0" w:color="auto"/>
              <w:left w:val="single" w:sz="4" w:space="0" w:color="auto"/>
              <w:bottom w:val="single" w:sz="4" w:space="0" w:color="auto"/>
              <w:right w:val="single" w:sz="4" w:space="0" w:color="auto"/>
            </w:tcBorders>
          </w:tcPr>
          <w:p w14:paraId="1DF17460" w14:textId="15D34E95" w:rsidR="0038341E" w:rsidRDefault="00057D40">
            <w:r>
              <w:t>0.</w:t>
            </w:r>
            <w:r w:rsidRPr="00057D40">
              <w:t>851</w:t>
            </w:r>
            <w:r w:rsidR="00B64D8E">
              <w:t xml:space="preserve"> = 85.1%</w:t>
            </w:r>
          </w:p>
        </w:tc>
        <w:tc>
          <w:tcPr>
            <w:tcW w:w="3121" w:type="dxa"/>
            <w:tcBorders>
              <w:top w:val="single" w:sz="4" w:space="0" w:color="auto"/>
              <w:left w:val="single" w:sz="4" w:space="0" w:color="auto"/>
              <w:bottom w:val="single" w:sz="4" w:space="0" w:color="auto"/>
              <w:right w:val="single" w:sz="4" w:space="0" w:color="auto"/>
            </w:tcBorders>
          </w:tcPr>
          <w:p w14:paraId="530A545A" w14:textId="379A59A4" w:rsidR="0038341E" w:rsidRDefault="00057D40">
            <w:commentRangeStart w:id="39"/>
            <w:proofErr w:type="spellStart"/>
            <w:r w:rsidRPr="00057D40">
              <w:t>Singal</w:t>
            </w:r>
            <w:proofErr w:type="spellEnd"/>
            <w:r>
              <w:t xml:space="preserve"> 2022</w:t>
            </w:r>
            <w:commentRangeEnd w:id="39"/>
            <w:r w:rsidR="00D775A2">
              <w:rPr>
                <w:rStyle w:val="CommentReference"/>
                <w:rFonts w:eastAsiaTheme="minorHAnsi"/>
                <w:lang w:eastAsia="en-US"/>
              </w:rPr>
              <w:commentReference w:id="39"/>
            </w:r>
          </w:p>
        </w:tc>
      </w:tr>
      <w:tr w:rsidR="0038341E" w14:paraId="751E50B4" w14:textId="77777777" w:rsidTr="59961667">
        <w:trPr>
          <w:trHeight w:val="300"/>
        </w:trPr>
        <w:tc>
          <w:tcPr>
            <w:tcW w:w="3121" w:type="dxa"/>
            <w:tcBorders>
              <w:top w:val="single" w:sz="4" w:space="0" w:color="auto"/>
              <w:left w:val="single" w:sz="4" w:space="0" w:color="auto"/>
              <w:bottom w:val="single" w:sz="4" w:space="0" w:color="auto"/>
              <w:right w:val="single" w:sz="4" w:space="0" w:color="auto"/>
            </w:tcBorders>
            <w:hideMark/>
          </w:tcPr>
          <w:p w14:paraId="5A885799" w14:textId="77777777" w:rsidR="0038341E" w:rsidRDefault="0038341E">
            <w:r>
              <w:t>Specificity of US/AFP</w:t>
            </w:r>
          </w:p>
        </w:tc>
        <w:tc>
          <w:tcPr>
            <w:tcW w:w="3121" w:type="dxa"/>
            <w:tcBorders>
              <w:top w:val="single" w:sz="4" w:space="0" w:color="auto"/>
              <w:left w:val="single" w:sz="4" w:space="0" w:color="auto"/>
              <w:bottom w:val="single" w:sz="4" w:space="0" w:color="auto"/>
              <w:right w:val="single" w:sz="4" w:space="0" w:color="auto"/>
            </w:tcBorders>
          </w:tcPr>
          <w:p w14:paraId="6D6C1537" w14:textId="16A03E40" w:rsidR="0038341E" w:rsidRDefault="00057D40">
            <w:r>
              <w:t>0.</w:t>
            </w:r>
            <w:r w:rsidRPr="00057D40">
              <w:t>839</w:t>
            </w:r>
            <w:r w:rsidR="00B64D8E">
              <w:t xml:space="preserve"> = 83.9%</w:t>
            </w:r>
          </w:p>
        </w:tc>
        <w:tc>
          <w:tcPr>
            <w:tcW w:w="3121" w:type="dxa"/>
            <w:tcBorders>
              <w:top w:val="single" w:sz="4" w:space="0" w:color="auto"/>
              <w:left w:val="single" w:sz="4" w:space="0" w:color="auto"/>
              <w:bottom w:val="single" w:sz="4" w:space="0" w:color="auto"/>
              <w:right w:val="single" w:sz="4" w:space="0" w:color="auto"/>
            </w:tcBorders>
          </w:tcPr>
          <w:p w14:paraId="6676C2DC" w14:textId="09694D4E" w:rsidR="0038341E" w:rsidRDefault="00057D40">
            <w:proofErr w:type="spellStart"/>
            <w:r w:rsidRPr="00057D40">
              <w:t>Singal</w:t>
            </w:r>
            <w:proofErr w:type="spellEnd"/>
            <w:r>
              <w:t xml:space="preserve"> 2022</w:t>
            </w:r>
          </w:p>
        </w:tc>
      </w:tr>
    </w:tbl>
    <w:p w14:paraId="270B00FA" w14:textId="77777777" w:rsidR="0038341E" w:rsidRDefault="0038341E" w:rsidP="0038341E">
      <w:pPr>
        <w:rPr>
          <w:lang w:eastAsia="ja-JP"/>
        </w:rPr>
      </w:pPr>
    </w:p>
    <w:p w14:paraId="6C314CC3" w14:textId="3C70B2B6" w:rsidR="0038341E" w:rsidRDefault="59961667" w:rsidP="59961667">
      <w:pPr>
        <w:rPr>
          <w:b/>
          <w:bCs/>
        </w:rPr>
      </w:pPr>
      <w:r w:rsidRPr="59961667">
        <w:rPr>
          <w:b/>
          <w:bCs/>
        </w:rPr>
        <w:t>Quality of life by health state from literature</w:t>
      </w:r>
    </w:p>
    <w:tbl>
      <w:tblPr>
        <w:tblStyle w:val="TableGrid"/>
        <w:tblW w:w="0" w:type="auto"/>
        <w:tblInd w:w="0" w:type="dxa"/>
        <w:tblLook w:val="04A0" w:firstRow="1" w:lastRow="0" w:firstColumn="1" w:lastColumn="0" w:noHBand="0" w:noVBand="1"/>
      </w:tblPr>
      <w:tblGrid>
        <w:gridCol w:w="3116"/>
        <w:gridCol w:w="3117"/>
        <w:gridCol w:w="3117"/>
      </w:tblGrid>
      <w:tr w:rsidR="0038341E" w14:paraId="118C3C44"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3A5ABBCB" w14:textId="77777777" w:rsidR="0038341E" w:rsidRDefault="0038341E">
            <w:pPr>
              <w:rPr>
                <w:b/>
                <w:bCs/>
              </w:rPr>
            </w:pPr>
            <w:r>
              <w:rPr>
                <w:b/>
                <w:bCs/>
              </w:rPr>
              <w:lastRenderedPageBreak/>
              <w:t>Health State</w:t>
            </w:r>
          </w:p>
        </w:tc>
        <w:tc>
          <w:tcPr>
            <w:tcW w:w="3117" w:type="dxa"/>
            <w:tcBorders>
              <w:top w:val="single" w:sz="4" w:space="0" w:color="auto"/>
              <w:left w:val="single" w:sz="4" w:space="0" w:color="auto"/>
              <w:bottom w:val="single" w:sz="4" w:space="0" w:color="auto"/>
              <w:right w:val="single" w:sz="4" w:space="0" w:color="auto"/>
            </w:tcBorders>
            <w:hideMark/>
          </w:tcPr>
          <w:p w14:paraId="45E32467" w14:textId="77777777" w:rsidR="0038341E" w:rsidRDefault="0038341E">
            <w:pPr>
              <w:rPr>
                <w:b/>
                <w:bCs/>
              </w:rPr>
            </w:pPr>
            <w:r>
              <w:rPr>
                <w:b/>
                <w:bCs/>
              </w:rPr>
              <w:t xml:space="preserve">Utility </w:t>
            </w:r>
          </w:p>
        </w:tc>
        <w:tc>
          <w:tcPr>
            <w:tcW w:w="3117" w:type="dxa"/>
            <w:tcBorders>
              <w:top w:val="single" w:sz="4" w:space="0" w:color="auto"/>
              <w:left w:val="single" w:sz="4" w:space="0" w:color="auto"/>
              <w:bottom w:val="single" w:sz="4" w:space="0" w:color="auto"/>
              <w:right w:val="single" w:sz="4" w:space="0" w:color="auto"/>
            </w:tcBorders>
            <w:hideMark/>
          </w:tcPr>
          <w:p w14:paraId="35F84C19" w14:textId="2C7C3080" w:rsidR="0038341E" w:rsidRDefault="59961667">
            <w:pPr>
              <w:rPr>
                <w:b/>
                <w:bCs/>
              </w:rPr>
            </w:pPr>
            <w:r w:rsidRPr="59961667">
              <w:rPr>
                <w:b/>
                <w:bCs/>
              </w:rPr>
              <w:t>Reference from literature</w:t>
            </w:r>
          </w:p>
        </w:tc>
      </w:tr>
      <w:tr w:rsidR="0038341E" w14:paraId="1A28E9AF"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4BF0C6BB" w14:textId="7DD1A6BA" w:rsidR="0038341E" w:rsidRPr="00F376CA" w:rsidRDefault="004037F9">
            <w:r w:rsidRPr="00F376CA">
              <w:t xml:space="preserve">MASLD without </w:t>
            </w:r>
            <w:r w:rsidR="0038341E" w:rsidRPr="00F376CA">
              <w:t>cirrhosis</w:t>
            </w:r>
          </w:p>
        </w:tc>
        <w:tc>
          <w:tcPr>
            <w:tcW w:w="3117" w:type="dxa"/>
            <w:tcBorders>
              <w:top w:val="single" w:sz="4" w:space="0" w:color="auto"/>
              <w:left w:val="single" w:sz="4" w:space="0" w:color="auto"/>
              <w:bottom w:val="single" w:sz="4" w:space="0" w:color="auto"/>
              <w:right w:val="single" w:sz="4" w:space="0" w:color="auto"/>
            </w:tcBorders>
          </w:tcPr>
          <w:p w14:paraId="6F04DF74" w14:textId="004ED828" w:rsidR="0038341E" w:rsidRPr="00F376CA" w:rsidRDefault="00A053CD">
            <w:pPr>
              <w:rPr>
                <w:color w:val="FF0000"/>
              </w:rPr>
            </w:pPr>
            <w:r w:rsidRPr="00F376CA">
              <w:t>0.88</w:t>
            </w:r>
          </w:p>
        </w:tc>
        <w:tc>
          <w:tcPr>
            <w:tcW w:w="3117" w:type="dxa"/>
            <w:tcBorders>
              <w:top w:val="single" w:sz="4" w:space="0" w:color="auto"/>
              <w:left w:val="single" w:sz="4" w:space="0" w:color="auto"/>
              <w:bottom w:val="single" w:sz="4" w:space="0" w:color="auto"/>
              <w:right w:val="single" w:sz="4" w:space="0" w:color="auto"/>
            </w:tcBorders>
          </w:tcPr>
          <w:p w14:paraId="28FD5815" w14:textId="5B362A1B" w:rsidR="00A053CD" w:rsidRPr="00A053CD" w:rsidRDefault="00A053CD">
            <w:commentRangeStart w:id="40"/>
            <w:proofErr w:type="spellStart"/>
            <w:r>
              <w:t>Sayiner</w:t>
            </w:r>
            <w:proofErr w:type="spellEnd"/>
            <w:r>
              <w:t xml:space="preserve"> 2016</w:t>
            </w:r>
            <w:commentRangeEnd w:id="40"/>
            <w:r>
              <w:rPr>
                <w:rStyle w:val="CommentReference"/>
              </w:rPr>
              <w:commentReference w:id="40"/>
            </w:r>
          </w:p>
        </w:tc>
      </w:tr>
      <w:tr w:rsidR="0038341E" w14:paraId="1B03C884"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753B72CB" w14:textId="77777777" w:rsidR="0038341E" w:rsidRDefault="0038341E">
            <w:r>
              <w:t>False positive HCC</w:t>
            </w:r>
          </w:p>
        </w:tc>
        <w:tc>
          <w:tcPr>
            <w:tcW w:w="3117" w:type="dxa"/>
            <w:tcBorders>
              <w:top w:val="single" w:sz="4" w:space="0" w:color="auto"/>
              <w:left w:val="single" w:sz="4" w:space="0" w:color="auto"/>
              <w:bottom w:val="single" w:sz="4" w:space="0" w:color="auto"/>
              <w:right w:val="single" w:sz="4" w:space="0" w:color="auto"/>
            </w:tcBorders>
          </w:tcPr>
          <w:p w14:paraId="04AFB9EE" w14:textId="52165704" w:rsidR="0038341E" w:rsidRDefault="00AF023D">
            <w:r>
              <w:t>0.77</w:t>
            </w:r>
          </w:p>
        </w:tc>
        <w:tc>
          <w:tcPr>
            <w:tcW w:w="3117" w:type="dxa"/>
            <w:tcBorders>
              <w:top w:val="single" w:sz="4" w:space="0" w:color="auto"/>
              <w:left w:val="single" w:sz="4" w:space="0" w:color="auto"/>
              <w:bottom w:val="single" w:sz="4" w:space="0" w:color="auto"/>
              <w:right w:val="single" w:sz="4" w:space="0" w:color="auto"/>
            </w:tcBorders>
          </w:tcPr>
          <w:p w14:paraId="647C98EE" w14:textId="4899D21F" w:rsidR="0038341E" w:rsidRDefault="00AF023D">
            <w:proofErr w:type="spellStart"/>
            <w:r w:rsidRPr="00A76864">
              <w:t>Singal</w:t>
            </w:r>
            <w:proofErr w:type="spellEnd"/>
            <w:r w:rsidRPr="00A76864">
              <w:t xml:space="preserve"> 2024</w:t>
            </w:r>
          </w:p>
        </w:tc>
      </w:tr>
      <w:tr w:rsidR="0038341E" w14:paraId="4FAD25B6"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7B303290" w14:textId="77777777" w:rsidR="0038341E" w:rsidRDefault="0038341E">
            <w:proofErr w:type="gramStart"/>
            <w:r>
              <w:t>Early stage</w:t>
            </w:r>
            <w:proofErr w:type="gramEnd"/>
            <w:r>
              <w:t xml:space="preserve"> HCC</w:t>
            </w:r>
          </w:p>
        </w:tc>
        <w:tc>
          <w:tcPr>
            <w:tcW w:w="3117" w:type="dxa"/>
            <w:tcBorders>
              <w:top w:val="single" w:sz="4" w:space="0" w:color="auto"/>
              <w:left w:val="single" w:sz="4" w:space="0" w:color="auto"/>
              <w:bottom w:val="single" w:sz="4" w:space="0" w:color="auto"/>
              <w:right w:val="single" w:sz="4" w:space="0" w:color="auto"/>
            </w:tcBorders>
          </w:tcPr>
          <w:p w14:paraId="0310AA83" w14:textId="45AE9509" w:rsidR="0038341E" w:rsidRDefault="00A76864">
            <w:r w:rsidRPr="00A76864">
              <w:t>0.72</w:t>
            </w:r>
          </w:p>
        </w:tc>
        <w:tc>
          <w:tcPr>
            <w:tcW w:w="3117" w:type="dxa"/>
            <w:tcBorders>
              <w:top w:val="single" w:sz="4" w:space="0" w:color="auto"/>
              <w:left w:val="single" w:sz="4" w:space="0" w:color="auto"/>
              <w:bottom w:val="single" w:sz="4" w:space="0" w:color="auto"/>
              <w:right w:val="single" w:sz="4" w:space="0" w:color="auto"/>
            </w:tcBorders>
          </w:tcPr>
          <w:p w14:paraId="316A2228" w14:textId="589B60D2" w:rsidR="0038341E" w:rsidRDefault="00A76864">
            <w:proofErr w:type="spellStart"/>
            <w:r w:rsidRPr="00A76864">
              <w:t>Singal</w:t>
            </w:r>
            <w:proofErr w:type="spellEnd"/>
            <w:r w:rsidRPr="00A76864">
              <w:t xml:space="preserve"> 2024</w:t>
            </w:r>
          </w:p>
        </w:tc>
      </w:tr>
      <w:tr w:rsidR="0038341E" w14:paraId="53B4A825"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408C850B" w14:textId="77777777" w:rsidR="0038341E" w:rsidRDefault="0038341E">
            <w:r>
              <w:t>Intermediate stage HCC</w:t>
            </w:r>
          </w:p>
        </w:tc>
        <w:tc>
          <w:tcPr>
            <w:tcW w:w="3117" w:type="dxa"/>
            <w:tcBorders>
              <w:top w:val="single" w:sz="4" w:space="0" w:color="auto"/>
              <w:left w:val="single" w:sz="4" w:space="0" w:color="auto"/>
              <w:bottom w:val="single" w:sz="4" w:space="0" w:color="auto"/>
              <w:right w:val="single" w:sz="4" w:space="0" w:color="auto"/>
            </w:tcBorders>
          </w:tcPr>
          <w:p w14:paraId="69D8CD3D" w14:textId="7AB60382" w:rsidR="0038341E" w:rsidRDefault="00A76864">
            <w:r w:rsidRPr="00A76864">
              <w:t>0.69</w:t>
            </w:r>
          </w:p>
        </w:tc>
        <w:tc>
          <w:tcPr>
            <w:tcW w:w="3117" w:type="dxa"/>
            <w:tcBorders>
              <w:top w:val="single" w:sz="4" w:space="0" w:color="auto"/>
              <w:left w:val="single" w:sz="4" w:space="0" w:color="auto"/>
              <w:bottom w:val="single" w:sz="4" w:space="0" w:color="auto"/>
              <w:right w:val="single" w:sz="4" w:space="0" w:color="auto"/>
            </w:tcBorders>
          </w:tcPr>
          <w:p w14:paraId="3D46799F" w14:textId="103FE879" w:rsidR="0038341E" w:rsidRDefault="00A76864">
            <w:proofErr w:type="spellStart"/>
            <w:r w:rsidRPr="00A76864">
              <w:t>Singal</w:t>
            </w:r>
            <w:proofErr w:type="spellEnd"/>
            <w:r w:rsidRPr="00A76864">
              <w:t xml:space="preserve"> 2024</w:t>
            </w:r>
          </w:p>
        </w:tc>
      </w:tr>
      <w:tr w:rsidR="0038341E" w14:paraId="1EF745BB" w14:textId="77777777" w:rsidTr="3CB5EE51">
        <w:tc>
          <w:tcPr>
            <w:tcW w:w="3116" w:type="dxa"/>
            <w:tcBorders>
              <w:top w:val="single" w:sz="4" w:space="0" w:color="auto"/>
              <w:left w:val="single" w:sz="4" w:space="0" w:color="auto"/>
              <w:bottom w:val="single" w:sz="4" w:space="0" w:color="auto"/>
              <w:right w:val="single" w:sz="4" w:space="0" w:color="auto"/>
            </w:tcBorders>
            <w:hideMark/>
          </w:tcPr>
          <w:p w14:paraId="54A3760C" w14:textId="77777777" w:rsidR="0038341E" w:rsidRDefault="0038341E">
            <w:proofErr w:type="gramStart"/>
            <w:r>
              <w:t>Late stage</w:t>
            </w:r>
            <w:proofErr w:type="gramEnd"/>
            <w:r>
              <w:t xml:space="preserve"> HCC </w:t>
            </w:r>
          </w:p>
        </w:tc>
        <w:tc>
          <w:tcPr>
            <w:tcW w:w="3117" w:type="dxa"/>
            <w:tcBorders>
              <w:top w:val="single" w:sz="4" w:space="0" w:color="auto"/>
              <w:left w:val="single" w:sz="4" w:space="0" w:color="auto"/>
              <w:bottom w:val="single" w:sz="4" w:space="0" w:color="auto"/>
              <w:right w:val="single" w:sz="4" w:space="0" w:color="auto"/>
            </w:tcBorders>
          </w:tcPr>
          <w:p w14:paraId="1DF485B3" w14:textId="0A5C6756" w:rsidR="0038341E" w:rsidRDefault="00A76864">
            <w:r w:rsidRPr="00A76864">
              <w:t>0.65</w:t>
            </w:r>
          </w:p>
        </w:tc>
        <w:tc>
          <w:tcPr>
            <w:tcW w:w="3117" w:type="dxa"/>
            <w:tcBorders>
              <w:top w:val="single" w:sz="4" w:space="0" w:color="auto"/>
              <w:left w:val="single" w:sz="4" w:space="0" w:color="auto"/>
              <w:bottom w:val="single" w:sz="4" w:space="0" w:color="auto"/>
              <w:right w:val="single" w:sz="4" w:space="0" w:color="auto"/>
            </w:tcBorders>
          </w:tcPr>
          <w:p w14:paraId="48B9E79D" w14:textId="41676B17" w:rsidR="0038341E" w:rsidRDefault="00A76864">
            <w:proofErr w:type="spellStart"/>
            <w:r w:rsidRPr="00A76864">
              <w:t>Singal</w:t>
            </w:r>
            <w:proofErr w:type="spellEnd"/>
            <w:r w:rsidRPr="00A76864">
              <w:t xml:space="preserve"> 2024</w:t>
            </w:r>
          </w:p>
        </w:tc>
      </w:tr>
    </w:tbl>
    <w:p w14:paraId="730C27FE" w14:textId="0C887239" w:rsidR="0038341E" w:rsidRDefault="0038341E" w:rsidP="0038341E"/>
    <w:p w14:paraId="6992B12C" w14:textId="77777777" w:rsidR="00BC1D88" w:rsidRDefault="00BC1D88" w:rsidP="0038341E"/>
    <w:p w14:paraId="6584450D" w14:textId="2A266725" w:rsidR="0038341E" w:rsidRDefault="59961667" w:rsidP="59961667">
      <w:pPr>
        <w:rPr>
          <w:b/>
          <w:bCs/>
          <w:lang w:eastAsia="ja-JP"/>
        </w:rPr>
      </w:pPr>
      <w:r w:rsidRPr="59961667">
        <w:rPr>
          <w:b/>
          <w:bCs/>
        </w:rPr>
        <w:t xml:space="preserve">Costs from literature  </w:t>
      </w:r>
    </w:p>
    <w:tbl>
      <w:tblPr>
        <w:tblStyle w:val="TableGrid"/>
        <w:tblW w:w="9350" w:type="dxa"/>
        <w:tblInd w:w="0" w:type="dxa"/>
        <w:tblLook w:val="04A0" w:firstRow="1" w:lastRow="0" w:firstColumn="1" w:lastColumn="0" w:noHBand="0" w:noVBand="1"/>
      </w:tblPr>
      <w:tblGrid>
        <w:gridCol w:w="3135"/>
        <w:gridCol w:w="3045"/>
        <w:gridCol w:w="3170"/>
      </w:tblGrid>
      <w:tr w:rsidR="0038341E" w14:paraId="3023E225" w14:textId="77777777" w:rsidTr="1890523D">
        <w:tc>
          <w:tcPr>
            <w:tcW w:w="3135" w:type="dxa"/>
            <w:tcBorders>
              <w:top w:val="single" w:sz="4" w:space="0" w:color="auto"/>
              <w:left w:val="single" w:sz="4" w:space="0" w:color="auto"/>
              <w:bottom w:val="single" w:sz="4" w:space="0" w:color="auto"/>
              <w:right w:val="single" w:sz="4" w:space="0" w:color="auto"/>
            </w:tcBorders>
            <w:hideMark/>
          </w:tcPr>
          <w:p w14:paraId="1E59E475" w14:textId="77777777" w:rsidR="0038341E" w:rsidRDefault="0038341E">
            <w:pPr>
              <w:rPr>
                <w:b/>
                <w:bCs/>
              </w:rPr>
            </w:pPr>
            <w:r>
              <w:rPr>
                <w:b/>
                <w:bCs/>
              </w:rPr>
              <w:t xml:space="preserve">Cost </w:t>
            </w:r>
          </w:p>
        </w:tc>
        <w:tc>
          <w:tcPr>
            <w:tcW w:w="3045" w:type="dxa"/>
            <w:tcBorders>
              <w:top w:val="single" w:sz="4" w:space="0" w:color="auto"/>
              <w:left w:val="single" w:sz="4" w:space="0" w:color="auto"/>
              <w:bottom w:val="single" w:sz="4" w:space="0" w:color="auto"/>
              <w:right w:val="single" w:sz="4" w:space="0" w:color="auto"/>
            </w:tcBorders>
            <w:hideMark/>
          </w:tcPr>
          <w:p w14:paraId="799E2315" w14:textId="77777777" w:rsidR="0038341E" w:rsidRDefault="0038341E">
            <w:pPr>
              <w:rPr>
                <w:b/>
                <w:bCs/>
              </w:rPr>
            </w:pPr>
            <w:r>
              <w:rPr>
                <w:b/>
                <w:bCs/>
              </w:rPr>
              <w:t>Value</w:t>
            </w:r>
          </w:p>
        </w:tc>
        <w:tc>
          <w:tcPr>
            <w:tcW w:w="3170" w:type="dxa"/>
            <w:tcBorders>
              <w:top w:val="single" w:sz="4" w:space="0" w:color="auto"/>
              <w:left w:val="single" w:sz="4" w:space="0" w:color="auto"/>
              <w:bottom w:val="single" w:sz="4" w:space="0" w:color="auto"/>
              <w:right w:val="single" w:sz="4" w:space="0" w:color="auto"/>
            </w:tcBorders>
            <w:hideMark/>
          </w:tcPr>
          <w:p w14:paraId="42B4E0E1" w14:textId="185A43F0" w:rsidR="0038341E" w:rsidRDefault="59961667">
            <w:pPr>
              <w:rPr>
                <w:b/>
                <w:bCs/>
              </w:rPr>
            </w:pPr>
            <w:r w:rsidRPr="59961667">
              <w:rPr>
                <w:b/>
                <w:bCs/>
              </w:rPr>
              <w:t>Reference from literature</w:t>
            </w:r>
          </w:p>
        </w:tc>
      </w:tr>
      <w:tr w:rsidR="59961667" w14:paraId="518996DD"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hideMark/>
          </w:tcPr>
          <w:p w14:paraId="7963BED5" w14:textId="0F878952" w:rsidR="59961667" w:rsidRDefault="59961667">
            <w:r>
              <w:t>US+AFP screening</w:t>
            </w:r>
          </w:p>
        </w:tc>
        <w:tc>
          <w:tcPr>
            <w:tcW w:w="3045" w:type="dxa"/>
            <w:tcBorders>
              <w:top w:val="single" w:sz="4" w:space="0" w:color="auto"/>
              <w:left w:val="single" w:sz="4" w:space="0" w:color="auto"/>
              <w:bottom w:val="single" w:sz="4" w:space="0" w:color="auto"/>
              <w:right w:val="single" w:sz="4" w:space="0" w:color="auto"/>
            </w:tcBorders>
            <w:hideMark/>
          </w:tcPr>
          <w:p w14:paraId="51DEFA02" w14:textId="21DBBF32" w:rsidR="59961667" w:rsidRPr="00903461" w:rsidRDefault="00903461" w:rsidP="59961667">
            <w:r w:rsidRPr="00903461">
              <w:t>$179</w:t>
            </w:r>
            <w:r w:rsidR="000A464F">
              <w:t>*2 (multiply by 2 because biannual) = $358</w:t>
            </w:r>
          </w:p>
        </w:tc>
        <w:tc>
          <w:tcPr>
            <w:tcW w:w="3170" w:type="dxa"/>
            <w:tcBorders>
              <w:top w:val="single" w:sz="4" w:space="0" w:color="auto"/>
              <w:left w:val="single" w:sz="4" w:space="0" w:color="auto"/>
              <w:bottom w:val="single" w:sz="4" w:space="0" w:color="auto"/>
              <w:right w:val="single" w:sz="4" w:space="0" w:color="auto"/>
            </w:tcBorders>
            <w:hideMark/>
          </w:tcPr>
          <w:p w14:paraId="72A2937A" w14:textId="77777777" w:rsidR="00903461" w:rsidRPr="001832C0" w:rsidRDefault="00903461" w:rsidP="00903461">
            <w:commentRangeStart w:id="41"/>
            <w:r w:rsidRPr="001832C0">
              <w:t>Medicare fee</w:t>
            </w:r>
          </w:p>
          <w:p w14:paraId="203A46D7" w14:textId="6200B6B7" w:rsidR="59961667" w:rsidRPr="001832C0" w:rsidRDefault="00903461" w:rsidP="00903461">
            <w:r w:rsidRPr="001832C0">
              <w:t>schedule</w:t>
            </w:r>
            <w:commentRangeEnd w:id="41"/>
            <w:r w:rsidR="0021068A">
              <w:rPr>
                <w:rStyle w:val="CommentReference"/>
                <w:rFonts w:eastAsiaTheme="minorHAnsi"/>
                <w:lang w:eastAsia="en-US"/>
              </w:rPr>
              <w:commentReference w:id="41"/>
            </w:r>
          </w:p>
        </w:tc>
      </w:tr>
      <w:tr w:rsidR="0038341E" w14:paraId="6AF4A662" w14:textId="77777777" w:rsidTr="1890523D">
        <w:tc>
          <w:tcPr>
            <w:tcW w:w="3135" w:type="dxa"/>
            <w:tcBorders>
              <w:top w:val="single" w:sz="4" w:space="0" w:color="auto"/>
              <w:left w:val="single" w:sz="4" w:space="0" w:color="auto"/>
              <w:bottom w:val="single" w:sz="4" w:space="0" w:color="auto"/>
              <w:right w:val="single" w:sz="4" w:space="0" w:color="auto"/>
            </w:tcBorders>
            <w:hideMark/>
          </w:tcPr>
          <w:p w14:paraId="6BA76714" w14:textId="77777777" w:rsidR="0038341E" w:rsidRDefault="59961667">
            <w:r>
              <w:t xml:space="preserve">Repeat CT/MRI for false positive HCC </w:t>
            </w:r>
          </w:p>
        </w:tc>
        <w:tc>
          <w:tcPr>
            <w:tcW w:w="3045" w:type="dxa"/>
            <w:tcBorders>
              <w:top w:val="single" w:sz="4" w:space="0" w:color="auto"/>
              <w:left w:val="single" w:sz="4" w:space="0" w:color="auto"/>
              <w:bottom w:val="single" w:sz="4" w:space="0" w:color="auto"/>
              <w:right w:val="single" w:sz="4" w:space="0" w:color="auto"/>
            </w:tcBorders>
          </w:tcPr>
          <w:p w14:paraId="102A489B" w14:textId="1EFDDE2E" w:rsidR="0038341E" w:rsidRPr="00753ABF" w:rsidRDefault="00C26686">
            <w:r w:rsidRPr="00753ABF">
              <w:t>$554</w:t>
            </w:r>
          </w:p>
        </w:tc>
        <w:tc>
          <w:tcPr>
            <w:tcW w:w="3170" w:type="dxa"/>
            <w:tcBorders>
              <w:top w:val="single" w:sz="4" w:space="0" w:color="auto"/>
              <w:left w:val="single" w:sz="4" w:space="0" w:color="auto"/>
              <w:bottom w:val="single" w:sz="4" w:space="0" w:color="auto"/>
              <w:right w:val="single" w:sz="4" w:space="0" w:color="auto"/>
            </w:tcBorders>
          </w:tcPr>
          <w:p w14:paraId="00B72C8C" w14:textId="77777777" w:rsidR="00903461" w:rsidRPr="001832C0" w:rsidRDefault="00903461" w:rsidP="00903461">
            <w:r w:rsidRPr="001832C0">
              <w:t>Medicare fee</w:t>
            </w:r>
          </w:p>
          <w:p w14:paraId="413009CC" w14:textId="0E34A7DE" w:rsidR="0038341E" w:rsidRPr="001832C0" w:rsidRDefault="00903461" w:rsidP="00903461">
            <w:r w:rsidRPr="001832C0">
              <w:t>schedule</w:t>
            </w:r>
          </w:p>
        </w:tc>
      </w:tr>
      <w:tr w:rsidR="0038341E" w14:paraId="593C12BE" w14:textId="77777777" w:rsidTr="1890523D">
        <w:trPr>
          <w:trHeight w:val="675"/>
        </w:trPr>
        <w:tc>
          <w:tcPr>
            <w:tcW w:w="3135" w:type="dxa"/>
            <w:tcBorders>
              <w:top w:val="single" w:sz="4" w:space="0" w:color="auto"/>
              <w:left w:val="single" w:sz="4" w:space="0" w:color="auto"/>
              <w:bottom w:val="single" w:sz="4" w:space="0" w:color="auto"/>
              <w:right w:val="single" w:sz="4" w:space="0" w:color="auto"/>
            </w:tcBorders>
          </w:tcPr>
          <w:p w14:paraId="3BEFD890" w14:textId="1ABC8F80" w:rsidR="0038341E" w:rsidRDefault="59961667" w:rsidP="00BC1D88">
            <w:r>
              <w:t>Medical care of patients with non-cirrhotic MASLD</w:t>
            </w:r>
          </w:p>
        </w:tc>
        <w:tc>
          <w:tcPr>
            <w:tcW w:w="3045" w:type="dxa"/>
            <w:tcBorders>
              <w:top w:val="single" w:sz="4" w:space="0" w:color="auto"/>
              <w:left w:val="single" w:sz="4" w:space="0" w:color="auto"/>
              <w:bottom w:val="single" w:sz="4" w:space="0" w:color="auto"/>
              <w:right w:val="single" w:sz="4" w:space="0" w:color="auto"/>
            </w:tcBorders>
          </w:tcPr>
          <w:p w14:paraId="7B53CF68" w14:textId="261D3D78" w:rsidR="0038341E" w:rsidRDefault="0034344A">
            <w:r w:rsidRPr="0034344A">
              <w:t>$3537</w:t>
            </w:r>
            <w:r w:rsidR="008B5CE4">
              <w:t xml:space="preserve"> </w:t>
            </w:r>
            <w:r w:rsidR="00B23E24">
              <w:t>(2019 USD)</w:t>
            </w:r>
            <w:r w:rsidR="001D5793">
              <w:t xml:space="preserve"> =$4362 (2024 USD)</w:t>
            </w:r>
          </w:p>
        </w:tc>
        <w:tc>
          <w:tcPr>
            <w:tcW w:w="3170" w:type="dxa"/>
            <w:tcBorders>
              <w:top w:val="single" w:sz="4" w:space="0" w:color="auto"/>
              <w:left w:val="single" w:sz="4" w:space="0" w:color="auto"/>
              <w:bottom w:val="single" w:sz="4" w:space="0" w:color="auto"/>
              <w:right w:val="single" w:sz="4" w:space="0" w:color="auto"/>
            </w:tcBorders>
          </w:tcPr>
          <w:p w14:paraId="5948CF0D" w14:textId="29A62C8A" w:rsidR="0038341E" w:rsidRDefault="0034344A">
            <w:commentRangeStart w:id="42"/>
            <w:proofErr w:type="spellStart"/>
            <w:r w:rsidRPr="0034344A">
              <w:t>Younossi</w:t>
            </w:r>
            <w:proofErr w:type="spellEnd"/>
            <w:r>
              <w:t xml:space="preserve"> 2023</w:t>
            </w:r>
            <w:commentRangeEnd w:id="42"/>
            <w:r>
              <w:rPr>
                <w:rStyle w:val="CommentReference"/>
                <w:rFonts w:eastAsiaTheme="minorHAnsi"/>
                <w:lang w:eastAsia="en-US"/>
              </w:rPr>
              <w:commentReference w:id="42"/>
            </w:r>
          </w:p>
        </w:tc>
      </w:tr>
      <w:tr w:rsidR="00BC1D88" w14:paraId="7F76105F" w14:textId="77777777" w:rsidTr="1890523D">
        <w:tc>
          <w:tcPr>
            <w:tcW w:w="3135" w:type="dxa"/>
            <w:tcBorders>
              <w:top w:val="single" w:sz="4" w:space="0" w:color="auto"/>
              <w:left w:val="single" w:sz="4" w:space="0" w:color="auto"/>
              <w:bottom w:val="single" w:sz="4" w:space="0" w:color="auto"/>
              <w:right w:val="single" w:sz="4" w:space="0" w:color="auto"/>
            </w:tcBorders>
          </w:tcPr>
          <w:p w14:paraId="65B14E27" w14:textId="1B64DC67" w:rsidR="00BC1D88" w:rsidRPr="00BC1D88" w:rsidRDefault="59961667" w:rsidP="59961667">
            <w:r>
              <w:t xml:space="preserve">Liver transplant </w:t>
            </w:r>
          </w:p>
        </w:tc>
        <w:tc>
          <w:tcPr>
            <w:tcW w:w="3045" w:type="dxa"/>
            <w:tcBorders>
              <w:top w:val="single" w:sz="4" w:space="0" w:color="auto"/>
              <w:left w:val="single" w:sz="4" w:space="0" w:color="auto"/>
              <w:bottom w:val="single" w:sz="4" w:space="0" w:color="auto"/>
              <w:right w:val="single" w:sz="4" w:space="0" w:color="auto"/>
            </w:tcBorders>
          </w:tcPr>
          <w:p w14:paraId="5E101C9C" w14:textId="756FCECF" w:rsidR="00BC1D88" w:rsidRDefault="00EB4B72">
            <w:r>
              <w:t>$62</w:t>
            </w:r>
            <w:r w:rsidR="078F7574">
              <w:t>,</w:t>
            </w:r>
            <w:r>
              <w:t>432</w:t>
            </w:r>
            <w:r w:rsidR="007B4F77">
              <w:t xml:space="preserve"> </w:t>
            </w:r>
          </w:p>
        </w:tc>
        <w:tc>
          <w:tcPr>
            <w:tcW w:w="3170" w:type="dxa"/>
            <w:tcBorders>
              <w:top w:val="single" w:sz="4" w:space="0" w:color="auto"/>
              <w:left w:val="single" w:sz="4" w:space="0" w:color="auto"/>
              <w:bottom w:val="single" w:sz="4" w:space="0" w:color="auto"/>
              <w:right w:val="single" w:sz="4" w:space="0" w:color="auto"/>
            </w:tcBorders>
          </w:tcPr>
          <w:p w14:paraId="514876E2" w14:textId="77777777" w:rsidR="00EB4B72" w:rsidRPr="001832C0" w:rsidRDefault="00EB4B72" w:rsidP="00EB4B72">
            <w:r w:rsidRPr="001832C0">
              <w:t>Medicare fee</w:t>
            </w:r>
          </w:p>
          <w:p w14:paraId="2B2682D6" w14:textId="64058A2D" w:rsidR="00BC1D88" w:rsidRDefault="00EB4B72" w:rsidP="00EB4B72">
            <w:r w:rsidRPr="001832C0">
              <w:t>schedule</w:t>
            </w:r>
          </w:p>
        </w:tc>
      </w:tr>
      <w:tr w:rsidR="00CE2E32" w14:paraId="6E717A34"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hideMark/>
          </w:tcPr>
          <w:p w14:paraId="369F1AC1" w14:textId="78A0AAF4" w:rsidR="00CE2E32" w:rsidRDefault="00CE2E32" w:rsidP="00CE2E32">
            <w:pPr>
              <w:rPr>
                <w:b/>
                <w:bCs/>
              </w:rPr>
            </w:pPr>
            <w:proofErr w:type="gramStart"/>
            <w:r>
              <w:t>Early stage</w:t>
            </w:r>
            <w:proofErr w:type="gramEnd"/>
            <w:r>
              <w:t xml:space="preserve"> HCC</w:t>
            </w:r>
          </w:p>
        </w:tc>
        <w:tc>
          <w:tcPr>
            <w:tcW w:w="3045" w:type="dxa"/>
            <w:tcBorders>
              <w:top w:val="single" w:sz="4" w:space="0" w:color="auto"/>
              <w:left w:val="single" w:sz="4" w:space="0" w:color="auto"/>
              <w:bottom w:val="single" w:sz="4" w:space="0" w:color="auto"/>
              <w:right w:val="single" w:sz="4" w:space="0" w:color="auto"/>
            </w:tcBorders>
          </w:tcPr>
          <w:p w14:paraId="10D23B8D" w14:textId="4C0D2AEE" w:rsidR="00CE2E32" w:rsidRPr="00CE2E32" w:rsidRDefault="00CE2E32" w:rsidP="00CE2E32">
            <w:r w:rsidRPr="00CE2E32">
              <w:t xml:space="preserve">$62,340 </w:t>
            </w:r>
            <w:r w:rsidRPr="00CE2E32">
              <w:rPr>
                <w:rFonts w:eastAsia="PMingLiU" w:cs="Times New Roman"/>
              </w:rPr>
              <w:t>(2024 USD)</w:t>
            </w:r>
          </w:p>
        </w:tc>
        <w:tc>
          <w:tcPr>
            <w:tcW w:w="3170" w:type="dxa"/>
            <w:tcBorders>
              <w:top w:val="single" w:sz="4" w:space="0" w:color="auto"/>
              <w:left w:val="single" w:sz="4" w:space="0" w:color="auto"/>
              <w:bottom w:val="single" w:sz="4" w:space="0" w:color="auto"/>
              <w:right w:val="single" w:sz="4" w:space="0" w:color="auto"/>
            </w:tcBorders>
          </w:tcPr>
          <w:p w14:paraId="6C43571A" w14:textId="6D54F0C5" w:rsidR="00CE2E32" w:rsidRPr="00CE2E32" w:rsidRDefault="00CE2E32" w:rsidP="00CE2E32">
            <w:commentRangeStart w:id="43"/>
            <w:r w:rsidRPr="00CE2E32">
              <w:rPr>
                <w:rFonts w:eastAsia="PMingLiU" w:cs="Times New Roman"/>
              </w:rPr>
              <w:t>Tapper 2016</w:t>
            </w:r>
            <w:commentRangeEnd w:id="43"/>
            <w:r w:rsidRPr="00CE2E32">
              <w:rPr>
                <w:rStyle w:val="CommentReference"/>
                <w:rFonts w:eastAsiaTheme="minorHAnsi"/>
                <w:lang w:eastAsia="en-US"/>
              </w:rPr>
              <w:commentReference w:id="43"/>
            </w:r>
          </w:p>
        </w:tc>
      </w:tr>
      <w:tr w:rsidR="00AF22FA" w14:paraId="03C6721B"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tcPr>
          <w:p w14:paraId="588BAFB3" w14:textId="35536363" w:rsidR="00AF22FA" w:rsidRDefault="00AF22FA" w:rsidP="59961667">
            <w:r>
              <w:t>Intermediate stage HCC</w:t>
            </w:r>
          </w:p>
        </w:tc>
        <w:tc>
          <w:tcPr>
            <w:tcW w:w="3045" w:type="dxa"/>
            <w:tcBorders>
              <w:top w:val="single" w:sz="4" w:space="0" w:color="auto"/>
              <w:left w:val="single" w:sz="4" w:space="0" w:color="auto"/>
              <w:bottom w:val="single" w:sz="4" w:space="0" w:color="auto"/>
              <w:right w:val="single" w:sz="4" w:space="0" w:color="auto"/>
            </w:tcBorders>
          </w:tcPr>
          <w:p w14:paraId="01E04A3F" w14:textId="1662C87A" w:rsidR="00AF22FA" w:rsidRPr="00CE2E32" w:rsidRDefault="00963A02">
            <w:r w:rsidRPr="00CE2E32">
              <w:t>$116</w:t>
            </w:r>
            <w:r w:rsidR="00F0292A" w:rsidRPr="00CE2E32">
              <w:t>,</w:t>
            </w:r>
            <w:r w:rsidRPr="00CE2E32">
              <w:t>996</w:t>
            </w:r>
            <w:r w:rsidR="00CE2E32" w:rsidRPr="00CE2E32">
              <w:t xml:space="preserve"> </w:t>
            </w:r>
            <w:r w:rsidR="00CE2E32" w:rsidRPr="00CE2E32">
              <w:rPr>
                <w:rFonts w:eastAsia="PMingLiU" w:cs="Times New Roman"/>
              </w:rPr>
              <w:t>(2024 USD)</w:t>
            </w:r>
          </w:p>
        </w:tc>
        <w:tc>
          <w:tcPr>
            <w:tcW w:w="3170" w:type="dxa"/>
            <w:tcBorders>
              <w:top w:val="single" w:sz="4" w:space="0" w:color="auto"/>
              <w:left w:val="single" w:sz="4" w:space="0" w:color="auto"/>
              <w:bottom w:val="single" w:sz="4" w:space="0" w:color="auto"/>
              <w:right w:val="single" w:sz="4" w:space="0" w:color="auto"/>
            </w:tcBorders>
          </w:tcPr>
          <w:p w14:paraId="148D1760" w14:textId="7F0DFBDE" w:rsidR="00AF22FA" w:rsidRPr="00CE2E32" w:rsidRDefault="001546F0">
            <w:commentRangeStart w:id="44"/>
            <w:r w:rsidRPr="00CE2E32">
              <w:rPr>
                <w:rFonts w:eastAsia="PMingLiU" w:cs="Times New Roman"/>
              </w:rPr>
              <w:t>Tapper 2016</w:t>
            </w:r>
            <w:commentRangeEnd w:id="44"/>
            <w:r w:rsidR="000A4672" w:rsidRPr="00CE2E32">
              <w:rPr>
                <w:rStyle w:val="CommentReference"/>
                <w:rFonts w:eastAsiaTheme="minorHAnsi"/>
                <w:lang w:eastAsia="en-US"/>
              </w:rPr>
              <w:commentReference w:id="44"/>
            </w:r>
          </w:p>
        </w:tc>
      </w:tr>
      <w:tr w:rsidR="00AF22FA" w14:paraId="727085E0"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tcPr>
          <w:p w14:paraId="4DE9333A" w14:textId="1F78247F" w:rsidR="00AF22FA" w:rsidRDefault="00AF22FA" w:rsidP="59961667">
            <w:proofErr w:type="gramStart"/>
            <w:r>
              <w:t>Late stage</w:t>
            </w:r>
            <w:proofErr w:type="gramEnd"/>
            <w:r>
              <w:t xml:space="preserve"> HCC</w:t>
            </w:r>
          </w:p>
        </w:tc>
        <w:tc>
          <w:tcPr>
            <w:tcW w:w="3045" w:type="dxa"/>
            <w:tcBorders>
              <w:top w:val="single" w:sz="4" w:space="0" w:color="auto"/>
              <w:left w:val="single" w:sz="4" w:space="0" w:color="auto"/>
              <w:bottom w:val="single" w:sz="4" w:space="0" w:color="auto"/>
              <w:right w:val="single" w:sz="4" w:space="0" w:color="auto"/>
            </w:tcBorders>
          </w:tcPr>
          <w:p w14:paraId="065F149C" w14:textId="3B819E25" w:rsidR="00AF22FA" w:rsidRPr="00CE2E32" w:rsidRDefault="00963A02">
            <w:r w:rsidRPr="00CE2E32">
              <w:t>$105</w:t>
            </w:r>
            <w:r w:rsidR="00F0292A" w:rsidRPr="00CE2E32">
              <w:t>,</w:t>
            </w:r>
            <w:r w:rsidRPr="00CE2E32">
              <w:t>591</w:t>
            </w:r>
            <w:r w:rsidR="00CE2E32" w:rsidRPr="00CE2E32">
              <w:rPr>
                <w:rFonts w:eastAsia="PMingLiU" w:cs="Times New Roman"/>
              </w:rPr>
              <w:t xml:space="preserve"> (2024 USD)</w:t>
            </w:r>
          </w:p>
        </w:tc>
        <w:tc>
          <w:tcPr>
            <w:tcW w:w="3170" w:type="dxa"/>
            <w:tcBorders>
              <w:top w:val="single" w:sz="4" w:space="0" w:color="auto"/>
              <w:left w:val="single" w:sz="4" w:space="0" w:color="auto"/>
              <w:bottom w:val="single" w:sz="4" w:space="0" w:color="auto"/>
              <w:right w:val="single" w:sz="4" w:space="0" w:color="auto"/>
            </w:tcBorders>
          </w:tcPr>
          <w:p w14:paraId="08A664AA" w14:textId="11D07A29" w:rsidR="00AF22FA" w:rsidRPr="00CE2E32" w:rsidRDefault="001546F0">
            <w:r w:rsidRPr="00CE2E32">
              <w:rPr>
                <w:rFonts w:eastAsia="PMingLiU" w:cs="Times New Roman"/>
              </w:rPr>
              <w:t>Tapper 2016</w:t>
            </w:r>
          </w:p>
        </w:tc>
      </w:tr>
      <w:tr w:rsidR="59961667" w14:paraId="5BE2BDC4"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8F22335" w14:textId="5E628A39" w:rsidR="59961667" w:rsidRDefault="59961667" w:rsidP="59961667">
            <w:r>
              <w:t>Resection</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7C88767" w14:textId="1C3ED1F7" w:rsidR="59961667" w:rsidRDefault="00F0292A" w:rsidP="59961667">
            <w:r w:rsidRPr="00F0292A">
              <w:t>$</w:t>
            </w:r>
            <w:r w:rsidR="00BC665D" w:rsidRPr="00BC665D">
              <w:t>25,614</w:t>
            </w:r>
            <w:r w:rsidR="007B4F77">
              <w:t xml:space="preserve"> (2016 </w:t>
            </w:r>
            <w:proofErr w:type="gramStart"/>
            <w:r w:rsidR="007B4F77">
              <w:t>USD)</w:t>
            </w:r>
            <w:r w:rsidR="00781971">
              <w:t>=</w:t>
            </w:r>
            <w:proofErr w:type="gramEnd"/>
            <w:r w:rsidR="00781971">
              <w:t>$</w:t>
            </w:r>
            <w:r w:rsidR="00781971" w:rsidRPr="00781971">
              <w:t>33,6</w:t>
            </w:r>
            <w:r w:rsidR="003A712C">
              <w:t>50 (2024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575A404" w14:textId="6D257C8F" w:rsidR="59961667" w:rsidRDefault="00E926D7" w:rsidP="00F0292A">
            <w:proofErr w:type="spellStart"/>
            <w:r w:rsidRPr="00E926D7">
              <w:t>Charalel</w:t>
            </w:r>
            <w:proofErr w:type="spellEnd"/>
            <w:r>
              <w:t xml:space="preserve"> 2024</w:t>
            </w:r>
          </w:p>
        </w:tc>
      </w:tr>
      <w:tr w:rsidR="59961667" w14:paraId="725DC098"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C953CE5" w14:textId="2E2AFE6D" w:rsidR="59961667" w:rsidRDefault="59961667" w:rsidP="59961667">
            <w:r>
              <w:t>TACE</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669D637" w14:textId="600943E8" w:rsidR="59961667" w:rsidRDefault="004D6FC0" w:rsidP="59961667">
            <w:r w:rsidRPr="004D6FC0">
              <w:t>$51,696</w:t>
            </w:r>
            <w:r w:rsidR="007B4F77">
              <w:t xml:space="preserve"> (2017? USD)</w:t>
            </w:r>
            <w:r w:rsidR="003A712C">
              <w:t xml:space="preserve"> = $664</w:t>
            </w:r>
            <w:r w:rsidR="000138E1">
              <w:t>97 (2024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2694A49" w14:textId="7D40D031" w:rsidR="59961667" w:rsidRDefault="004D6FC0" w:rsidP="59961667">
            <w:commentRangeStart w:id="45"/>
            <w:r w:rsidRPr="004D6FC0">
              <w:t>Nugent</w:t>
            </w:r>
            <w:r>
              <w:t xml:space="preserve"> </w:t>
            </w:r>
            <w:r w:rsidRPr="004D6FC0">
              <w:t>2018</w:t>
            </w:r>
            <w:commentRangeEnd w:id="45"/>
            <w:r w:rsidR="00CF3A1B">
              <w:rPr>
                <w:rStyle w:val="CommentReference"/>
                <w:rFonts w:eastAsiaTheme="minorHAnsi"/>
                <w:lang w:eastAsia="en-US"/>
              </w:rPr>
              <w:commentReference w:id="45"/>
            </w:r>
          </w:p>
        </w:tc>
      </w:tr>
      <w:tr w:rsidR="59961667" w14:paraId="4BAFCBCA"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DA6C9C4" w14:textId="6A3690CF" w:rsidR="59961667" w:rsidRDefault="59961667" w:rsidP="59961667">
            <w:r w:rsidRPr="59961667">
              <w:rPr>
                <w:color w:val="000000" w:themeColor="text1"/>
              </w:rPr>
              <w:t>A</w:t>
            </w:r>
            <w:r>
              <w:t>blation</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959BD73" w14:textId="462F3631" w:rsidR="59961667" w:rsidRDefault="00BC665D" w:rsidP="59961667">
            <w:r>
              <w:t>$</w:t>
            </w:r>
            <w:r w:rsidRPr="00BC665D">
              <w:t>6</w:t>
            </w:r>
            <w:r>
              <w:t>,</w:t>
            </w:r>
            <w:r w:rsidRPr="00BC665D">
              <w:t>689</w:t>
            </w:r>
            <w:r w:rsidR="007B4F77">
              <w:t xml:space="preserve"> (2016 </w:t>
            </w:r>
            <w:proofErr w:type="gramStart"/>
            <w:r w:rsidR="007B4F77">
              <w:t>USD)</w:t>
            </w:r>
            <w:r w:rsidR="000138E1">
              <w:t>=</w:t>
            </w:r>
            <w:proofErr w:type="gramEnd"/>
            <w:r w:rsidR="000138E1">
              <w:t>$8787</w:t>
            </w:r>
            <w:r w:rsidR="0061636B">
              <w:t xml:space="preserve"> (2024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0C41F7" w14:textId="3B8C61F9" w:rsidR="59961667" w:rsidRDefault="00E926D7" w:rsidP="59961667">
            <w:commentRangeStart w:id="46"/>
            <w:proofErr w:type="spellStart"/>
            <w:r w:rsidRPr="00E926D7">
              <w:t>Charalel</w:t>
            </w:r>
            <w:proofErr w:type="spellEnd"/>
            <w:r>
              <w:t xml:space="preserve"> 2024</w:t>
            </w:r>
            <w:commentRangeEnd w:id="46"/>
            <w:r w:rsidR="00062715">
              <w:rPr>
                <w:rStyle w:val="CommentReference"/>
                <w:rFonts w:eastAsiaTheme="minorHAnsi"/>
                <w:lang w:eastAsia="en-US"/>
              </w:rPr>
              <w:commentReference w:id="46"/>
            </w:r>
          </w:p>
        </w:tc>
      </w:tr>
      <w:tr w:rsidR="59961667" w14:paraId="75E339E8"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B2B5458" w14:textId="0F9123C8" w:rsidR="59961667" w:rsidRDefault="59961667" w:rsidP="59961667">
            <w:r>
              <w:t>Systemic chemotherapy</w:t>
            </w:r>
            <w:r w:rsidR="00DE2CE1">
              <w:t xml:space="preserve"> in </w:t>
            </w:r>
            <w:proofErr w:type="gramStart"/>
            <w:r w:rsidR="00DE2CE1">
              <w:t>early stage</w:t>
            </w:r>
            <w:proofErr w:type="gramEnd"/>
            <w:r w:rsidR="00DE2CE1">
              <w:t xml:space="preserve"> HCC</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4D6BC1B" w14:textId="0C8FE910" w:rsidR="59961667" w:rsidRPr="00CE2E32" w:rsidRDefault="004F25ED" w:rsidP="59961667">
            <w:r w:rsidRPr="00CE2E32">
              <w:t>$10,469</w:t>
            </w:r>
            <w:r w:rsidR="00CE2E32" w:rsidRPr="00CE2E32">
              <w:t xml:space="preserve"> </w:t>
            </w:r>
            <w:r w:rsidR="00CE2E32" w:rsidRPr="00CE2E32">
              <w:rPr>
                <w:rFonts w:eastAsia="PMingLiU" w:cs="Times New Roman"/>
              </w:rPr>
              <w:t>(2024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B1F9C9C" w14:textId="6C030741" w:rsidR="59961667" w:rsidRDefault="004F25ED" w:rsidP="59961667">
            <w:commentRangeStart w:id="47"/>
            <w:proofErr w:type="spellStart"/>
            <w:r w:rsidRPr="004F25ED">
              <w:t>Shankaran</w:t>
            </w:r>
            <w:proofErr w:type="spellEnd"/>
            <w:r>
              <w:t xml:space="preserve"> 2021</w:t>
            </w:r>
            <w:commentRangeEnd w:id="47"/>
            <w:r w:rsidR="0090304F">
              <w:rPr>
                <w:rStyle w:val="CommentReference"/>
                <w:rFonts w:eastAsiaTheme="minorHAnsi"/>
                <w:lang w:eastAsia="en-US"/>
              </w:rPr>
              <w:commentReference w:id="47"/>
            </w:r>
          </w:p>
        </w:tc>
      </w:tr>
      <w:tr w:rsidR="00DE2CE1" w14:paraId="164B8A31"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0972FFD" w14:textId="34F1F0BF" w:rsidR="00DE2CE1" w:rsidRDefault="00DE2CE1" w:rsidP="59961667">
            <w:r>
              <w:t>Systemic chemotherapy in i</w:t>
            </w:r>
            <w:r w:rsidRPr="00DE2CE1">
              <w:t>ntermediate stage</w:t>
            </w:r>
            <w:r>
              <w:t xml:space="preserve"> HCC</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318A765" w14:textId="6F3F1A67" w:rsidR="00DE2CE1" w:rsidRPr="00CE2E32" w:rsidRDefault="004F25ED" w:rsidP="59961667">
            <w:r w:rsidRPr="00CE2E32">
              <w:t>$10,209</w:t>
            </w:r>
            <w:r w:rsidR="00CE2E32" w:rsidRPr="00CE2E32">
              <w:rPr>
                <w:rFonts w:eastAsia="PMingLiU" w:cs="Times New Roman"/>
                <w:color w:val="FF0000"/>
              </w:rPr>
              <w:t xml:space="preserve"> </w:t>
            </w:r>
            <w:r w:rsidR="00CE2E32" w:rsidRPr="00CE2E32">
              <w:rPr>
                <w:rFonts w:eastAsia="PMingLiU" w:cs="Times New Roman"/>
              </w:rPr>
              <w:t>(2024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3DAA729" w14:textId="5F41ED8C" w:rsidR="00DE2CE1" w:rsidRDefault="004F25ED" w:rsidP="59961667">
            <w:proofErr w:type="spellStart"/>
            <w:r w:rsidRPr="004F25ED">
              <w:t>Shankaran</w:t>
            </w:r>
            <w:proofErr w:type="spellEnd"/>
            <w:r>
              <w:t xml:space="preserve"> 2021</w:t>
            </w:r>
          </w:p>
        </w:tc>
      </w:tr>
      <w:tr w:rsidR="00DE2CE1" w14:paraId="72F70570"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FE041C0" w14:textId="7769A501" w:rsidR="00DE2CE1" w:rsidRDefault="00DE2CE1" w:rsidP="59961667">
            <w:r>
              <w:t xml:space="preserve">Systemic chemotherapy in </w:t>
            </w:r>
            <w:proofErr w:type="gramStart"/>
            <w:r>
              <w:t>late</w:t>
            </w:r>
            <w:r w:rsidRPr="00DE2CE1">
              <w:t xml:space="preserve"> stage</w:t>
            </w:r>
            <w:proofErr w:type="gramEnd"/>
            <w:r>
              <w:t xml:space="preserve"> HCC</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9474AF9" w14:textId="68A6D9A5" w:rsidR="00DE2CE1" w:rsidRPr="00CE2E32" w:rsidRDefault="004F25ED" w:rsidP="59961667">
            <w:r w:rsidRPr="00CE2E32">
              <w:t>$24,953</w:t>
            </w:r>
            <w:r w:rsidR="00CE2E32" w:rsidRPr="00CE2E32">
              <w:rPr>
                <w:rFonts w:eastAsia="PMingLiU" w:cs="Times New Roman"/>
                <w:color w:val="FF0000"/>
              </w:rPr>
              <w:t xml:space="preserve"> </w:t>
            </w:r>
            <w:r w:rsidR="00CE2E32" w:rsidRPr="00CE2E32">
              <w:rPr>
                <w:rFonts w:eastAsia="PMingLiU" w:cs="Times New Roman"/>
              </w:rPr>
              <w:t>(2024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F1425B2" w14:textId="7F42F556" w:rsidR="00DE2CE1" w:rsidRDefault="004F25ED" w:rsidP="59961667">
            <w:proofErr w:type="spellStart"/>
            <w:r w:rsidRPr="004F25ED">
              <w:t>Shankaran</w:t>
            </w:r>
            <w:proofErr w:type="spellEnd"/>
            <w:r>
              <w:t xml:space="preserve"> 2021</w:t>
            </w:r>
          </w:p>
        </w:tc>
      </w:tr>
      <w:tr w:rsidR="59961667" w14:paraId="5A81976A" w14:textId="77777777" w:rsidTr="1890523D">
        <w:trPr>
          <w:trHeight w:val="300"/>
        </w:trPr>
        <w:tc>
          <w:tcPr>
            <w:tcW w:w="313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0FB172D" w14:textId="0575F7EA" w:rsidR="59961667" w:rsidRDefault="59961667" w:rsidP="59961667">
            <w:r>
              <w:t>Radiotherapy</w:t>
            </w:r>
          </w:p>
        </w:tc>
        <w:tc>
          <w:tcPr>
            <w:tcW w:w="30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A5A543" w14:textId="69F1E618" w:rsidR="59961667" w:rsidRDefault="00D754BA" w:rsidP="59961667">
            <w:r w:rsidRPr="00D754BA">
              <w:t>$15,148</w:t>
            </w:r>
            <w:r w:rsidR="00CE2E32">
              <w:t xml:space="preserve"> </w:t>
            </w:r>
            <w:r w:rsidR="00CE2E32" w:rsidRPr="00CE2E32">
              <w:rPr>
                <w:rFonts w:eastAsia="PMingLiU" w:cs="Times New Roman"/>
              </w:rPr>
              <w:t>(202</w:t>
            </w:r>
            <w:r w:rsidR="007B4F77">
              <w:rPr>
                <w:rFonts w:eastAsia="PMingLiU" w:cs="Times New Roman"/>
              </w:rPr>
              <w:t>3</w:t>
            </w:r>
            <w:r w:rsidR="00CE2E32" w:rsidRPr="00CE2E32">
              <w:rPr>
                <w:rFonts w:eastAsia="PMingLiU" w:cs="Times New Roman"/>
              </w:rPr>
              <w:t xml:space="preserve"> USD)</w:t>
            </w:r>
          </w:p>
        </w:tc>
        <w:tc>
          <w:tcPr>
            <w:tcW w:w="31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58D1781" w14:textId="1FF34826" w:rsidR="59961667" w:rsidRDefault="008A6CBE" w:rsidP="59961667">
            <w:commentRangeStart w:id="48"/>
            <w:proofErr w:type="spellStart"/>
            <w:r w:rsidRPr="008A6CBE">
              <w:t>deBettencourt</w:t>
            </w:r>
            <w:proofErr w:type="spellEnd"/>
            <w:r>
              <w:t xml:space="preserve"> 2024</w:t>
            </w:r>
            <w:commentRangeEnd w:id="48"/>
            <w:r>
              <w:rPr>
                <w:rStyle w:val="CommentReference"/>
                <w:rFonts w:eastAsiaTheme="minorHAnsi"/>
                <w:lang w:eastAsia="en-US"/>
              </w:rPr>
              <w:commentReference w:id="48"/>
            </w:r>
          </w:p>
        </w:tc>
      </w:tr>
    </w:tbl>
    <w:p w14:paraId="02D15CBE" w14:textId="2CDCB27D" w:rsidR="3FD443D1" w:rsidRDefault="3FD443D1" w:rsidP="3FD443D1"/>
    <w:sectPr w:rsidR="3FD443D1"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rong Zhang" w:date="2024-10-14T15:38:00Z" w:initials="XZ">
    <w:p w14:paraId="6462217D" w14:textId="4AD4FB82" w:rsidR="00A636DF" w:rsidRDefault="00A636DF">
      <w:pPr>
        <w:pStyle w:val="CommentText"/>
      </w:pPr>
      <w:r>
        <w:rPr>
          <w:rStyle w:val="CommentReference"/>
        </w:rPr>
        <w:annotationRef/>
      </w:r>
      <w:r>
        <w:t>Some patients who had cirrhosis but did not develop HCC. How would you like to deal with them?</w:t>
      </w:r>
    </w:p>
  </w:comment>
  <w:comment w:id="1" w:author="Xinrong Zhang" w:date="2024-10-17T10:36:00Z" w:initials="XZ">
    <w:p w14:paraId="17CFEC1B" w14:textId="68E048A6" w:rsidR="00D22E1B" w:rsidRDefault="00D22E1B">
      <w:pPr>
        <w:pStyle w:val="CommentText"/>
      </w:pPr>
      <w:r>
        <w:rPr>
          <w:rStyle w:val="CommentReference"/>
        </w:rPr>
        <w:annotationRef/>
      </w:r>
      <w:r>
        <w:t>They have HCC</w:t>
      </w:r>
    </w:p>
  </w:comment>
  <w:comment w:id="2" w:author="Xinrong Zhang" w:date="2024-10-14T15:42:00Z" w:initials="XZ">
    <w:p w14:paraId="4A864E06" w14:textId="77777777" w:rsidR="002A71C5" w:rsidRPr="002A71C5" w:rsidRDefault="002A71C5" w:rsidP="002A71C5">
      <w:pPr>
        <w:rPr>
          <w:rFonts w:ascii="Times New Roman" w:eastAsia="Times New Roman" w:hAnsi="Times New Roman" w:cs="Times New Roman"/>
        </w:rPr>
      </w:pPr>
      <w:r>
        <w:rPr>
          <w:rStyle w:val="CommentReference"/>
        </w:rPr>
        <w:annotationRef/>
      </w:r>
      <w:r>
        <w:rPr>
          <w:rFonts w:ascii="Aptos" w:eastAsia="Times New Roman" w:hAnsi="Aptos" w:cs="Times New Roman"/>
          <w:color w:val="000000"/>
        </w:rPr>
        <w:t>L</w:t>
      </w:r>
      <w:r w:rsidRPr="002A71C5">
        <w:rPr>
          <w:rFonts w:ascii="Aptos" w:eastAsia="Times New Roman" w:hAnsi="Aptos" w:cs="Times New Roman"/>
          <w:color w:val="000000"/>
        </w:rPr>
        <w:t>ab date of PLT&lt;140 or FIB-4&gt;=2.67 before or within 12m after cirrhosis diagnosis date using ICD code, which means these patients had undiagnosed cirrhosis</w:t>
      </w:r>
    </w:p>
    <w:p w14:paraId="1D6C2408" w14:textId="77777777" w:rsidR="002A71C5" w:rsidRDefault="002A71C5">
      <w:pPr>
        <w:pStyle w:val="CommentText"/>
      </w:pPr>
    </w:p>
  </w:comment>
  <w:comment w:id="3" w:author="Xinrong Zhang" w:date="2024-10-17T10:37:00Z" w:initials="XZ">
    <w:p w14:paraId="58AF174E" w14:textId="77777777" w:rsidR="00D574DF" w:rsidRDefault="00D574DF">
      <w:pPr>
        <w:pStyle w:val="CommentText"/>
      </w:pPr>
      <w:r>
        <w:rPr>
          <w:rStyle w:val="CommentReference"/>
        </w:rPr>
        <w:annotationRef/>
      </w:r>
      <w:r>
        <w:t>No cirrhosis diagnosis code but with Lab diagnosis</w:t>
      </w:r>
    </w:p>
  </w:comment>
  <w:comment w:id="4" w:author="Joanne Liu" w:date="2024-11-07T15:28:00Z" w:initials="JL">
    <w:p w14:paraId="2767D480" w14:textId="1B7ACC4C" w:rsidR="1890523D" w:rsidRDefault="1890523D">
      <w:pPr>
        <w:pStyle w:val="CommentText"/>
      </w:pPr>
      <w:r>
        <w:t xml:space="preserve">      </w:t>
      </w:r>
      <w:proofErr w:type="spellStart"/>
      <w:r>
        <w:t>Guss</w:t>
      </w:r>
      <w:proofErr w:type="spellEnd"/>
      <w:r>
        <w:t xml:space="preserve"> D, </w:t>
      </w:r>
      <w:proofErr w:type="spellStart"/>
      <w:r>
        <w:t>Sherigar</w:t>
      </w:r>
      <w:proofErr w:type="spellEnd"/>
      <w:r>
        <w:t xml:space="preserve"> J, Mohanty SR. Missed Diagnosis of Liver Cirrhosis Leads to Disparities in Care for Older Patients. </w:t>
      </w:r>
      <w:r w:rsidRPr="1890523D">
        <w:rPr>
          <w:i/>
          <w:iCs/>
        </w:rPr>
        <w:t>Gastroenterology Res</w:t>
      </w:r>
      <w:r>
        <w:t>. Oct 2018;11(5):333-339. doi:10.14740/gr1074w</w:t>
      </w:r>
      <w:r>
        <w:rPr>
          <w:rStyle w:val="CommentReference"/>
        </w:rPr>
        <w:annotationRef/>
      </w:r>
    </w:p>
    <w:p w14:paraId="62055E45" w14:textId="00FDE919" w:rsidR="1890523D" w:rsidRDefault="1890523D">
      <w:pPr>
        <w:pStyle w:val="CommentText"/>
      </w:pPr>
      <w:r>
        <w:t xml:space="preserve">       Walker M, El-</w:t>
      </w:r>
      <w:proofErr w:type="spellStart"/>
      <w:r>
        <w:t>Serag</w:t>
      </w:r>
      <w:proofErr w:type="spellEnd"/>
      <w:r>
        <w:t xml:space="preserve"> HB, </w:t>
      </w:r>
      <w:proofErr w:type="spellStart"/>
      <w:r>
        <w:t>Sada</w:t>
      </w:r>
      <w:proofErr w:type="spellEnd"/>
      <w:r>
        <w:t xml:space="preserve"> Y, et al. Cirrhosis is under-</w:t>
      </w:r>
      <w:proofErr w:type="spellStart"/>
      <w:r>
        <w:t>recognised</w:t>
      </w:r>
      <w:proofErr w:type="spellEnd"/>
      <w:r>
        <w:t xml:space="preserve"> in patients subsequently diagnosed with hepatocellular cancer. </w:t>
      </w:r>
      <w:r w:rsidRPr="1890523D">
        <w:rPr>
          <w:i/>
          <w:iCs/>
        </w:rPr>
        <w:t xml:space="preserve">Aliment </w:t>
      </w:r>
      <w:proofErr w:type="spellStart"/>
      <w:r w:rsidRPr="1890523D">
        <w:rPr>
          <w:i/>
          <w:iCs/>
        </w:rPr>
        <w:t>Pharmacol</w:t>
      </w:r>
      <w:proofErr w:type="spellEnd"/>
      <w:r w:rsidRPr="1890523D">
        <w:rPr>
          <w:i/>
          <w:iCs/>
        </w:rPr>
        <w:t xml:space="preserve"> </w:t>
      </w:r>
      <w:proofErr w:type="spellStart"/>
      <w:r w:rsidRPr="1890523D">
        <w:rPr>
          <w:i/>
          <w:iCs/>
        </w:rPr>
        <w:t>Ther</w:t>
      </w:r>
      <w:proofErr w:type="spellEnd"/>
      <w:r>
        <w:t>. Mar 2016;43(5):621-30. doi:10.1111/apt.13505</w:t>
      </w:r>
    </w:p>
    <w:p w14:paraId="292303D9" w14:textId="375E225A" w:rsidR="1890523D" w:rsidRDefault="1890523D">
      <w:pPr>
        <w:pStyle w:val="CommentText"/>
      </w:pPr>
      <w:r>
        <w:t xml:space="preserve">    Fujimoto K, </w:t>
      </w:r>
      <w:proofErr w:type="spellStart"/>
      <w:r>
        <w:t>Sawabe</w:t>
      </w:r>
      <w:proofErr w:type="spellEnd"/>
      <w:r>
        <w:t xml:space="preserve"> M, Sasaki M, Kino K, Arai T. Undiagnosed cirrhosis occurs frequently in the elderly and requires periodic follow ups and medical treatments. </w:t>
      </w:r>
      <w:proofErr w:type="spellStart"/>
      <w:r w:rsidRPr="1890523D">
        <w:rPr>
          <w:i/>
          <w:iCs/>
        </w:rPr>
        <w:t>Geriatr</w:t>
      </w:r>
      <w:proofErr w:type="spellEnd"/>
      <w:r w:rsidRPr="1890523D">
        <w:rPr>
          <w:i/>
          <w:iCs/>
        </w:rPr>
        <w:t xml:space="preserve"> </w:t>
      </w:r>
      <w:proofErr w:type="spellStart"/>
      <w:r w:rsidRPr="1890523D">
        <w:rPr>
          <w:i/>
          <w:iCs/>
        </w:rPr>
        <w:t>Gerontol</w:t>
      </w:r>
      <w:proofErr w:type="spellEnd"/>
      <w:r w:rsidRPr="1890523D">
        <w:rPr>
          <w:i/>
          <w:iCs/>
        </w:rPr>
        <w:t xml:space="preserve"> Int</w:t>
      </w:r>
      <w:r>
        <w:t>. Sep 2008;8(3):198-203. doi:10.1111/j.1447-0594.</w:t>
      </w:r>
      <w:proofErr w:type="gramStart"/>
      <w:r>
        <w:t>2008.00470.x</w:t>
      </w:r>
      <w:proofErr w:type="gramEnd"/>
    </w:p>
    <w:p w14:paraId="17A454B9" w14:textId="40FCAEEF" w:rsidR="1890523D" w:rsidRDefault="1890523D">
      <w:pPr>
        <w:pStyle w:val="CommentText"/>
      </w:pPr>
      <w:r>
        <w:t xml:space="preserve">     </w:t>
      </w:r>
      <w:proofErr w:type="spellStart"/>
      <w:r>
        <w:t>Singal</w:t>
      </w:r>
      <w:proofErr w:type="spellEnd"/>
      <w:r>
        <w:t xml:space="preserve"> AG, </w:t>
      </w:r>
      <w:proofErr w:type="spellStart"/>
      <w:r>
        <w:t>Yopp</w:t>
      </w:r>
      <w:proofErr w:type="spellEnd"/>
      <w:r>
        <w:t xml:space="preserve"> AC, Gupta S, et al. Failure rates in the hepatocellular carcinoma surveillance process. </w:t>
      </w:r>
      <w:r w:rsidRPr="1890523D">
        <w:rPr>
          <w:i/>
          <w:iCs/>
        </w:rPr>
        <w:t xml:space="preserve">Cancer </w:t>
      </w:r>
      <w:proofErr w:type="spellStart"/>
      <w:r w:rsidRPr="1890523D">
        <w:rPr>
          <w:i/>
          <w:iCs/>
        </w:rPr>
        <w:t>Prev</w:t>
      </w:r>
      <w:proofErr w:type="spellEnd"/>
      <w:r w:rsidRPr="1890523D">
        <w:rPr>
          <w:i/>
          <w:iCs/>
        </w:rPr>
        <w:t xml:space="preserve"> Res (Phila)</w:t>
      </w:r>
      <w:r>
        <w:t xml:space="preserve">. Sep 2012;5(9):1124-30. </w:t>
      </w:r>
      <w:proofErr w:type="gramStart"/>
      <w:r>
        <w:t>doi:10.1158/1940-6207.capr</w:t>
      </w:r>
      <w:proofErr w:type="gramEnd"/>
      <w:r>
        <w:t>-12-0046</w:t>
      </w:r>
    </w:p>
  </w:comment>
  <w:comment w:id="5" w:author="Joanne Liu" w:date="2024-11-07T15:28:00Z" w:initials="JL">
    <w:p w14:paraId="43787013" w14:textId="657AB895" w:rsidR="1890523D" w:rsidRDefault="1890523D">
      <w:pPr>
        <w:pStyle w:val="CommentText"/>
      </w:pPr>
      <w:r>
        <w:t>Walker M, El-</w:t>
      </w:r>
      <w:proofErr w:type="spellStart"/>
      <w:r>
        <w:t>Serag</w:t>
      </w:r>
      <w:proofErr w:type="spellEnd"/>
      <w:r>
        <w:t xml:space="preserve"> HB, </w:t>
      </w:r>
      <w:proofErr w:type="spellStart"/>
      <w:r>
        <w:t>Sada</w:t>
      </w:r>
      <w:proofErr w:type="spellEnd"/>
      <w:r>
        <w:t xml:space="preserve"> Y, et al. Cirrhosis is under-</w:t>
      </w:r>
      <w:proofErr w:type="spellStart"/>
      <w:r>
        <w:t>recognised</w:t>
      </w:r>
      <w:proofErr w:type="spellEnd"/>
      <w:r>
        <w:t xml:space="preserve"> in patients subsequently diagnosed with hepatocellular cancer. </w:t>
      </w:r>
      <w:r w:rsidRPr="1890523D">
        <w:rPr>
          <w:i/>
          <w:iCs/>
        </w:rPr>
        <w:t xml:space="preserve">Aliment </w:t>
      </w:r>
      <w:proofErr w:type="spellStart"/>
      <w:r w:rsidRPr="1890523D">
        <w:rPr>
          <w:i/>
          <w:iCs/>
        </w:rPr>
        <w:t>Pharmacol</w:t>
      </w:r>
      <w:proofErr w:type="spellEnd"/>
      <w:r w:rsidRPr="1890523D">
        <w:rPr>
          <w:i/>
          <w:iCs/>
        </w:rPr>
        <w:t xml:space="preserve"> </w:t>
      </w:r>
      <w:proofErr w:type="spellStart"/>
      <w:r w:rsidRPr="1890523D">
        <w:rPr>
          <w:i/>
          <w:iCs/>
        </w:rPr>
        <w:t>Ther</w:t>
      </w:r>
      <w:proofErr w:type="spellEnd"/>
      <w:r>
        <w:t xml:space="preserve">. Mar </w:t>
      </w:r>
      <w:r>
        <w:rPr>
          <w:rStyle w:val="CommentReference"/>
        </w:rPr>
        <w:annotationRef/>
      </w:r>
    </w:p>
  </w:comment>
  <w:comment w:id="6" w:author="Joanne Kimiko Liu [2]" w:date="2024-11-08T11:55:00Z" w:initials="J">
    <w:p w14:paraId="6C78DD59" w14:textId="77777777" w:rsidR="00BE44E6" w:rsidRDefault="00BE44E6" w:rsidP="00BE44E6">
      <w:pPr>
        <w:pStyle w:val="CommentText"/>
      </w:pPr>
      <w:r>
        <w:rPr>
          <w:rStyle w:val="CommentReference"/>
        </w:rPr>
        <w:annotationRef/>
      </w:r>
      <w:r>
        <w:rPr>
          <w:rStyle w:val="CommentReference"/>
        </w:rPr>
        <w:annotationRef/>
      </w:r>
      <w:r>
        <w:t xml:space="preserve">See </w:t>
      </w:r>
      <w:hyperlink r:id="rId1" w:history="1">
        <w:r>
          <w:rPr>
            <w:rStyle w:val="Hyperlink"/>
          </w:rPr>
          <w:t>Global epidemiology of NAFLD-related HCC: trends, predictions, risk factors and prevention | Nature Reviews Gastroenterology &amp; Hepatology</w:t>
        </w:r>
      </w:hyperlink>
    </w:p>
    <w:p w14:paraId="73D08C20" w14:textId="77777777" w:rsidR="00BE44E6" w:rsidRDefault="00BE44E6" w:rsidP="00BE44E6">
      <w:pPr>
        <w:pStyle w:val="CommentText"/>
        <w:rPr>
          <w:color w:val="222222"/>
          <w:sz w:val="27"/>
          <w:szCs w:val="27"/>
          <w:shd w:val="clear" w:color="auto" w:fill="FFFFFF"/>
        </w:rPr>
      </w:pPr>
      <w:r>
        <w:t>“</w:t>
      </w:r>
      <w:r>
        <w:rPr>
          <w:color w:val="222222"/>
          <w:sz w:val="27"/>
          <w:szCs w:val="27"/>
          <w:shd w:val="clear" w:color="auto" w:fill="FFFFFF"/>
        </w:rPr>
        <w:t>HCC developed more often in men than in women (0.22 versus 0.04 per 1,000 patient-years, respectively).”</w:t>
      </w:r>
    </w:p>
    <w:p w14:paraId="229C9DF0" w14:textId="77777777" w:rsidR="00BE44E6" w:rsidRDefault="00BE44E6" w:rsidP="00BE44E6">
      <w:pPr>
        <w:pStyle w:val="CommentText"/>
        <w:rPr>
          <w:color w:val="222222"/>
          <w:sz w:val="27"/>
          <w:szCs w:val="27"/>
          <w:shd w:val="clear" w:color="auto" w:fill="FFFFFF"/>
        </w:rPr>
      </w:pPr>
    </w:p>
    <w:p w14:paraId="6D63D2D5" w14:textId="77777777" w:rsidR="00BE44E6" w:rsidRDefault="00BE44E6" w:rsidP="00BE44E6">
      <w:pPr>
        <w:pStyle w:val="CommentText"/>
      </w:pPr>
      <w:hyperlink r:id="rId2" w:anchor="S20" w:history="1">
        <w:r>
          <w:rPr>
            <w:rStyle w:val="Hyperlink"/>
          </w:rPr>
          <w:t>Risk of Hepatocellular Cancer in Patients with Non-alcoholic Fatty Liver Disease - PMC</w:t>
        </w:r>
      </w:hyperlink>
    </w:p>
    <w:p w14:paraId="299C1CA2" w14:textId="77777777" w:rsidR="00BE44E6" w:rsidRDefault="00BE44E6" w:rsidP="00BE44E6">
      <w:pPr>
        <w:pStyle w:val="CommentText"/>
      </w:pPr>
      <w:r>
        <w:t xml:space="preserve">HCC development by age group (not limited to </w:t>
      </w:r>
      <w:proofErr w:type="spellStart"/>
      <w:r>
        <w:t>non cirrhotic</w:t>
      </w:r>
      <w:proofErr w:type="spellEnd"/>
      <w:r>
        <w:t>)</w:t>
      </w:r>
    </w:p>
    <w:p w14:paraId="1E36A37D" w14:textId="65033204" w:rsidR="00BE44E6" w:rsidRDefault="00BE44E6">
      <w:pPr>
        <w:pStyle w:val="CommentText"/>
      </w:pPr>
    </w:p>
  </w:comment>
  <w:comment w:id="7" w:author="Xinrong Zhang" w:date="2024-10-14T15:40:00Z" w:initials="XZ">
    <w:p w14:paraId="23D2F5A9" w14:textId="2BAF462F" w:rsidR="00DE6DD8" w:rsidRDefault="00DE6DD8">
      <w:pPr>
        <w:pStyle w:val="CommentText"/>
      </w:pPr>
      <w:r>
        <w:rPr>
          <w:rStyle w:val="CommentReference"/>
        </w:rPr>
        <w:annotationRef/>
      </w:r>
      <w:r>
        <w:t>We did not have mortality data in Truven database</w:t>
      </w:r>
    </w:p>
  </w:comment>
  <w:comment w:id="8" w:author="Xinrong Zhang" w:date="2024-10-17T11:10:00Z" w:initials="XZ">
    <w:p w14:paraId="74FAAB68" w14:textId="603B2D15" w:rsidR="00F76CE2" w:rsidRDefault="00F76CE2">
      <w:pPr>
        <w:pStyle w:val="CommentText"/>
      </w:pPr>
      <w:r>
        <w:rPr>
          <w:rStyle w:val="CommentReference"/>
        </w:rPr>
        <w:annotationRef/>
      </w:r>
      <w:proofErr w:type="spellStart"/>
      <w:r w:rsidRPr="00316CB3">
        <w:rPr>
          <w:highlight w:val="yellow"/>
        </w:rPr>
        <w:t>Michale</w:t>
      </w:r>
      <w:proofErr w:type="spellEnd"/>
      <w:r w:rsidRPr="00316CB3">
        <w:rPr>
          <w:highlight w:val="yellow"/>
        </w:rPr>
        <w:t xml:space="preserve"> suggest to use </w:t>
      </w:r>
      <w:proofErr w:type="spellStart"/>
      <w:r w:rsidRPr="00316CB3">
        <w:rPr>
          <w:highlight w:val="yellow"/>
        </w:rPr>
        <w:t>TriNetX</w:t>
      </w:r>
      <w:proofErr w:type="spellEnd"/>
      <w:r w:rsidR="00316CB3" w:rsidRPr="00316CB3">
        <w:rPr>
          <w:highlight w:val="yellow"/>
        </w:rPr>
        <w:t xml:space="preserve"> to obtain Mortality data</w:t>
      </w:r>
    </w:p>
  </w:comment>
  <w:comment w:id="9" w:author="Joanne Kimiko Liu" w:date="2024-11-06T09:01:00Z" w:initials="JL">
    <w:p w14:paraId="1FC1D999" w14:textId="6AF66C93" w:rsidR="58FA5D78" w:rsidRDefault="009B4E21">
      <w:pPr>
        <w:pStyle w:val="CommentText"/>
      </w:pPr>
      <w:r>
        <w:rPr>
          <w:rStyle w:val="CommentReference"/>
        </w:rPr>
        <w:annotationRef/>
      </w:r>
      <w:r w:rsidRPr="1624E53B">
        <w:t xml:space="preserve">There may be no need to weigh the death rate by sex because female sex isn’t an independent predictor for better survival. HCC stage at detection is. </w:t>
      </w:r>
    </w:p>
    <w:p w14:paraId="68F3D1F3" w14:textId="6997A2EE" w:rsidR="1F16E3ED" w:rsidRDefault="00BE44E6">
      <w:pPr>
        <w:pStyle w:val="CommentText"/>
      </w:pPr>
      <w:hyperlink r:id="rId3">
        <w:r w:rsidR="009B4E21" w:rsidRPr="4CE36C85">
          <w:rPr>
            <w:rStyle w:val="Hyperlink"/>
          </w:rPr>
          <w:t>Gender survival differences in hepatocellular carcinoma: Is it all due to adherence to surveillance? A study of 1716 patients over three decades - PMC</w:t>
        </w:r>
      </w:hyperlink>
    </w:p>
    <w:p w14:paraId="10417E60" w14:textId="3B641773" w:rsidR="4DC80D65" w:rsidRDefault="00BE44E6">
      <w:pPr>
        <w:pStyle w:val="CommentText"/>
      </w:pPr>
      <w:hyperlink r:id="rId4">
        <w:r w:rsidR="009B4E21" w:rsidRPr="02D770E9">
          <w:rPr>
            <w:rStyle w:val="Hyperlink"/>
          </w:rPr>
          <w:t>Sex differences in disease presentation, treatment and clinical outcomes of patients with hepatocellular carcinoma: a single-</w:t>
        </w:r>
        <w:proofErr w:type="spellStart"/>
        <w:r w:rsidR="009B4E21" w:rsidRPr="02D770E9">
          <w:rPr>
            <w:rStyle w:val="Hyperlink"/>
          </w:rPr>
          <w:t>centre</w:t>
        </w:r>
        <w:proofErr w:type="spellEnd"/>
        <w:r w:rsidR="009B4E21" w:rsidRPr="02D770E9">
          <w:rPr>
            <w:rStyle w:val="Hyperlink"/>
          </w:rPr>
          <w:t xml:space="preserve"> cohort study | BMJ Open Gastroenterology</w:t>
        </w:r>
      </w:hyperlink>
    </w:p>
  </w:comment>
  <w:comment w:id="10" w:author="Joanne Kimiko Liu" w:date="2024-11-06T15:27:00Z" w:initials="JL">
    <w:p w14:paraId="0D6B3E65" w14:textId="41291241" w:rsidR="4A35E03C" w:rsidRDefault="009B4E21">
      <w:pPr>
        <w:pStyle w:val="CommentText"/>
      </w:pPr>
      <w:r>
        <w:rPr>
          <w:rStyle w:val="CommentReference"/>
        </w:rPr>
        <w:annotationRef/>
      </w:r>
      <w:r w:rsidRPr="4983AC26">
        <w:t xml:space="preserve"> (</w:t>
      </w:r>
      <w:hyperlink r:id="rId5">
        <w:r w:rsidRPr="12961136">
          <w:rPr>
            <w:rStyle w:val="Hyperlink"/>
          </w:rPr>
          <w:t>Global incidence of adverse clinical events in non-alcoholic fatty liver disease: A systematic review and meta-analysis - PMC (nih.gov)</w:t>
        </w:r>
      </w:hyperlink>
      <w:r w:rsidRPr="4220513B">
        <w:rPr>
          <w:u w:val="single"/>
        </w:rPr>
        <w:t>)</w:t>
      </w:r>
    </w:p>
  </w:comment>
  <w:comment w:id="11" w:author="Xinrong Zhang" w:date="2024-10-16T15:38:00Z" w:initials="XZ">
    <w:p w14:paraId="79BF11FF" w14:textId="39194643" w:rsidR="002762FB" w:rsidRDefault="002762FB">
      <w:pPr>
        <w:pStyle w:val="CommentText"/>
      </w:pPr>
      <w:r>
        <w:rPr>
          <w:rStyle w:val="CommentReference"/>
        </w:rPr>
        <w:annotationRef/>
      </w:r>
      <w:r w:rsidR="008C076A" w:rsidRPr="008C076A">
        <w:t>Incidence of hepatocellular carcinoma in nonalcoholic fatty liver disease without cirrhosis or advanced liver fibrosis</w:t>
      </w:r>
    </w:p>
  </w:comment>
  <w:comment w:id="12" w:author="Joanne Kimiko Liu" w:date="2024-11-06T15:27:00Z" w:initials="JL">
    <w:p w14:paraId="320C801E" w14:textId="553C027E" w:rsidR="64AC42F4" w:rsidRDefault="009B4E21">
      <w:pPr>
        <w:pStyle w:val="CommentText"/>
      </w:pPr>
      <w:r>
        <w:rPr>
          <w:rStyle w:val="CommentReference"/>
        </w:rPr>
        <w:annotationRef/>
      </w:r>
      <w:r w:rsidRPr="6A77B614">
        <w:t xml:space="preserve"> (</w:t>
      </w:r>
      <w:hyperlink r:id="rId6">
        <w:r w:rsidRPr="4F549606">
          <w:rPr>
            <w:rStyle w:val="Hyperlink"/>
          </w:rPr>
          <w:t>The incidence and risk factors of hepatocellular carcinoma in patients with nonalcoholic steatohepatitis - PubMed (nih.gov)</w:t>
        </w:r>
      </w:hyperlink>
      <w:r w:rsidRPr="126D8514">
        <w:t>)</w:t>
      </w:r>
    </w:p>
  </w:comment>
  <w:comment w:id="13" w:author="Xinrong Zhang" w:date="2024-10-15T14:26:00Z" w:initials="XZ">
    <w:p w14:paraId="6B234AAC" w14:textId="77777777" w:rsidR="00CE2E32" w:rsidRDefault="00CE2E32">
      <w:pPr>
        <w:pStyle w:val="CommentText"/>
      </w:pPr>
      <w:r>
        <w:rPr>
          <w:rStyle w:val="CommentReference"/>
        </w:rPr>
        <w:annotationRef/>
      </w:r>
      <w:r w:rsidRPr="008B3CA2">
        <w:t>Hepatocellular Carcinoma Screening in a Contemporary Cohort of At-Risk Patients</w:t>
      </w:r>
    </w:p>
  </w:comment>
  <w:comment w:id="14" w:author="Joanne Kimiko Liu" w:date="2024-11-06T09:16:00Z" w:initials="JL">
    <w:p w14:paraId="01A906D3" w14:textId="7A204F40" w:rsidR="65413534" w:rsidRDefault="009B4E21">
      <w:pPr>
        <w:pStyle w:val="CommentText"/>
      </w:pPr>
      <w:r>
        <w:rPr>
          <w:rStyle w:val="CommentReference"/>
        </w:rPr>
        <w:annotationRef/>
      </w:r>
      <w:r w:rsidRPr="3B33EEB7">
        <w:t xml:space="preserve">"Patient recruitment was done at 2 large health systems from the North American Liver Cancer Consortium: UT Southwestern (UTSW) Medical Center (Dallas, Texas) and Parkland Health (Dallas, Texas)." One is academic hospital, another is a safety net hospital </w:t>
      </w:r>
    </w:p>
  </w:comment>
  <w:comment w:id="15" w:author="Xinrong Zhang" w:date="2024-10-15T14:26:00Z" w:initials="XZ">
    <w:p w14:paraId="20B47213" w14:textId="352A9017" w:rsidR="00CE2E32" w:rsidRDefault="00CE2E32">
      <w:pPr>
        <w:pStyle w:val="CommentText"/>
      </w:pPr>
      <w:r>
        <w:rPr>
          <w:rStyle w:val="CommentReference"/>
        </w:rPr>
        <w:annotationRef/>
      </w:r>
      <w:r w:rsidRPr="008B3CA2">
        <w:t>Hepatocellular Carcinoma Screening in a Contemporary Cohort of At-Risk Patients</w:t>
      </w:r>
    </w:p>
  </w:comment>
  <w:comment w:id="16" w:author="Xinrong Zhang" w:date="2024-10-30T15:48:00Z" w:initials="XZ">
    <w:p w14:paraId="6ADB96A4" w14:textId="4AA62323" w:rsidR="004756FA" w:rsidRDefault="004756FA">
      <w:pPr>
        <w:pStyle w:val="CommentText"/>
      </w:pPr>
      <w:r>
        <w:rPr>
          <w:rStyle w:val="CommentReference"/>
        </w:rPr>
        <w:annotationRef/>
      </w:r>
      <w:r w:rsidR="007D0290" w:rsidRPr="007D0290">
        <w:rPr>
          <w:highlight w:val="yellow"/>
        </w:rPr>
        <w:t>SEER Medicare database</w:t>
      </w:r>
    </w:p>
  </w:comment>
  <w:comment w:id="17" w:author="Joanne Liu" w:date="2024-11-07T09:58:00Z" w:initials="JL">
    <w:p w14:paraId="2920FB02" w14:textId="3C01EDC1" w:rsidR="4482F7D4" w:rsidRDefault="4482F7D4">
      <w:pPr>
        <w:pStyle w:val="CommentText"/>
      </w:pPr>
      <w:r>
        <w:t xml:space="preserve">Combined with the untreated group </w:t>
      </w:r>
      <w:proofErr w:type="spellStart"/>
      <w:r>
        <w:t>bc</w:t>
      </w:r>
      <w:proofErr w:type="spellEnd"/>
      <w:r>
        <w:t xml:space="preserve"> resection and transplant should be 0 in late stage (and can't find data on survival after resection/transplant in late HCC patients)</w:t>
      </w:r>
      <w:r>
        <w:rPr>
          <w:rStyle w:val="CommentReference"/>
        </w:rPr>
        <w:annotationRef/>
      </w:r>
    </w:p>
  </w:comment>
  <w:comment w:id="18" w:author="Joanne Kimiko Liu" w:date="2024-11-04T16:12:00Z" w:initials="J">
    <w:p w14:paraId="61A64218" w14:textId="0EC257BE" w:rsidR="00F376CA" w:rsidRDefault="00F376CA">
      <w:pPr>
        <w:pStyle w:val="CommentText"/>
      </w:pPr>
      <w:r>
        <w:rPr>
          <w:rStyle w:val="CommentReference"/>
        </w:rPr>
        <w:annotationRef/>
      </w:r>
      <w:hyperlink r:id="rId7" w:history="1">
        <w:r>
          <w:rPr>
            <w:rStyle w:val="Hyperlink"/>
          </w:rPr>
          <w:t>Mortality Outcomes by Fibrosis Stage in Nonalcoholic Fatty Liver Disease: A Systematic Review and Meta-analysis - PubMed</w:t>
        </w:r>
      </w:hyperlink>
    </w:p>
  </w:comment>
  <w:comment w:id="19" w:author="Xinrong Zhang" w:date="2024-10-15T13:59:00Z" w:initials="XZ">
    <w:p w14:paraId="32278787" w14:textId="506789A0" w:rsidR="00883002" w:rsidRDefault="00883002">
      <w:pPr>
        <w:pStyle w:val="CommentText"/>
      </w:pPr>
      <w:r>
        <w:rPr>
          <w:rStyle w:val="CommentReference"/>
        </w:rPr>
        <w:annotationRef/>
      </w:r>
      <w:r w:rsidRPr="00883002">
        <w:t>Wang, Peter L. Cause-specific mortality among patients with cirrhosis in a population-based cohort study in Ontario (2000–2017)</w:t>
      </w:r>
    </w:p>
  </w:comment>
  <w:comment w:id="20" w:author="Xinrong Zhang" w:date="2024-10-15T15:45:00Z" w:initials="XZ">
    <w:p w14:paraId="1C634FA7" w14:textId="3C40F19F" w:rsidR="001B1AD6" w:rsidRDefault="001B1AD6">
      <w:pPr>
        <w:pStyle w:val="CommentText"/>
      </w:pPr>
      <w:r>
        <w:rPr>
          <w:rStyle w:val="CommentReference"/>
        </w:rPr>
        <w:annotationRef/>
      </w:r>
      <w:r w:rsidRPr="001B1AD6">
        <w:t>https://www.cancer.org/cancer/types/liver-cancer/detection-diagnosis-staging/survival-rates.html</w:t>
      </w:r>
    </w:p>
  </w:comment>
  <w:comment w:id="21" w:author="Xinrong Zhang" w:date="2024-10-15T15:39:00Z" w:initials="XZ">
    <w:p w14:paraId="46D8DC55" w14:textId="7004888D" w:rsidR="00535861" w:rsidRDefault="00535861">
      <w:pPr>
        <w:pStyle w:val="CommentText"/>
      </w:pPr>
      <w:r>
        <w:rPr>
          <w:rStyle w:val="CommentReference"/>
        </w:rPr>
        <w:annotationRef/>
      </w:r>
      <w:r w:rsidRPr="00535861">
        <w:t>Global and regional long‐term survival following resection for HCC in the recent decade: A meta‐analysis of 110 studies</w:t>
      </w:r>
    </w:p>
  </w:comment>
  <w:comment w:id="22" w:author="Xinrong Zhang" w:date="2024-10-15T15:58:00Z" w:initials="XZ">
    <w:p w14:paraId="2470CDA0" w14:textId="77777777" w:rsidR="001E006B" w:rsidRDefault="000E1924" w:rsidP="001E006B">
      <w:pPr>
        <w:pStyle w:val="CommentText"/>
      </w:pPr>
      <w:r>
        <w:rPr>
          <w:rStyle w:val="CommentReference"/>
        </w:rPr>
        <w:annotationRef/>
      </w:r>
      <w:r w:rsidR="001E006B">
        <w:t>The role of scheduled second TACE in early-stage</w:t>
      </w:r>
    </w:p>
    <w:p w14:paraId="168D2687" w14:textId="77777777" w:rsidR="001E006B" w:rsidRDefault="001E006B" w:rsidP="001E006B">
      <w:pPr>
        <w:pStyle w:val="CommentText"/>
      </w:pPr>
      <w:r>
        <w:t>hepatocellular carcinoma with complete response to</w:t>
      </w:r>
    </w:p>
    <w:p w14:paraId="32444BA8" w14:textId="400BD3BF" w:rsidR="000E1924" w:rsidRDefault="001E006B" w:rsidP="001E006B">
      <w:pPr>
        <w:pStyle w:val="CommentText"/>
      </w:pPr>
      <w:r>
        <w:t>initial TACE</w:t>
      </w:r>
    </w:p>
  </w:comment>
  <w:comment w:id="23" w:author="Xinrong Zhang" w:date="2024-10-15T15:50:00Z" w:initials="XZ">
    <w:p w14:paraId="53672D8D" w14:textId="4858E863" w:rsidR="00AA7A20" w:rsidRDefault="00AA7A20">
      <w:pPr>
        <w:pStyle w:val="CommentText"/>
      </w:pPr>
      <w:r>
        <w:rPr>
          <w:rStyle w:val="CommentReference"/>
        </w:rPr>
        <w:annotationRef/>
      </w:r>
      <w:r w:rsidRPr="00AA7A20">
        <w:t xml:space="preserve">Long-term Outcomes of Transcatheter Arterial Chemoembolization Combined </w:t>
      </w:r>
      <w:proofErr w:type="gramStart"/>
      <w:r w:rsidRPr="00AA7A20">
        <w:t>With</w:t>
      </w:r>
      <w:proofErr w:type="gramEnd"/>
      <w:r w:rsidRPr="00AA7A20">
        <w:t xml:space="preserve"> Radiofrequency Ablation as an Initial Treatment for Early-Stage Hepatocellular Carcinoma</w:t>
      </w:r>
    </w:p>
  </w:comment>
  <w:comment w:id="24" w:author="Joanne Liu" w:date="2024-11-07T14:32:00Z" w:initials="JL">
    <w:p w14:paraId="3F82E3BB" w14:textId="36FE3BA7" w:rsidR="2E056CB6" w:rsidRDefault="00BE44E6">
      <w:pPr>
        <w:pStyle w:val="CommentText"/>
      </w:pPr>
      <w:hyperlink r:id="rId8">
        <w:r w:rsidR="2E056CB6" w:rsidRPr="2E056CB6">
          <w:rPr>
            <w:rStyle w:val="Hyperlink"/>
          </w:rPr>
          <w:t>Survival Improvements in Advanced Hepatocellular Carcinoma with Sequential Therapy by Era - PMC</w:t>
        </w:r>
      </w:hyperlink>
      <w:r w:rsidR="2E056CB6">
        <w:rPr>
          <w:rStyle w:val="CommentReference"/>
        </w:rPr>
        <w:annotationRef/>
      </w:r>
    </w:p>
    <w:p w14:paraId="24671A2E" w14:textId="47E766F2" w:rsidR="2E056CB6" w:rsidRDefault="2E056CB6">
      <w:pPr>
        <w:pStyle w:val="CommentText"/>
      </w:pPr>
    </w:p>
    <w:p w14:paraId="3B6B1141" w14:textId="63B79125" w:rsidR="2E056CB6" w:rsidRDefault="00BE44E6">
      <w:pPr>
        <w:pStyle w:val="CommentText"/>
      </w:pPr>
      <w:hyperlink r:id="rId9">
        <w:r w:rsidR="2E056CB6" w:rsidRPr="2E056CB6">
          <w:rPr>
            <w:rStyle w:val="Hyperlink"/>
          </w:rPr>
          <w:t>Randomized Phase III Study of Doxorubicin Versus Cisplatin/Interferon α-2b/Doxorubicin/Fluorouracil (PIAF) Combination Chemotherapy for Unresectable Hepatocellular Carcinoma | JNCI: Journal of the National Cancer Institute | Oxford Academic</w:t>
        </w:r>
      </w:hyperlink>
    </w:p>
    <w:p w14:paraId="4F671EA1" w14:textId="3119722B" w:rsidR="2E056CB6" w:rsidRDefault="2E056CB6">
      <w:pPr>
        <w:pStyle w:val="CommentText"/>
      </w:pPr>
    </w:p>
    <w:p w14:paraId="514F544A" w14:textId="575BB20C" w:rsidR="2E056CB6" w:rsidRDefault="00BE44E6">
      <w:pPr>
        <w:pStyle w:val="CommentText"/>
      </w:pPr>
      <w:hyperlink r:id="rId10">
        <w:r w:rsidR="2E056CB6" w:rsidRPr="2E056CB6">
          <w:rPr>
            <w:rStyle w:val="Hyperlink"/>
          </w:rPr>
          <w:t>Factors predicting response and survival in 149 patients with unresectable hepatocellular carcinoma treated by combination cisplatin, interferon‐alpha, doxorubicin and 5‐fluorouracil chemotherapy - Leung - 2002 - Cancer - Wiley Online Library</w:t>
        </w:r>
      </w:hyperlink>
    </w:p>
    <w:p w14:paraId="1698EE12" w14:textId="3FEA2FB3" w:rsidR="2E056CB6" w:rsidRDefault="2E056CB6">
      <w:pPr>
        <w:pStyle w:val="CommentText"/>
      </w:pPr>
    </w:p>
    <w:p w14:paraId="6F4EC351" w14:textId="6A28B305" w:rsidR="2E056CB6" w:rsidRDefault="2E056CB6">
      <w:pPr>
        <w:pStyle w:val="CommentText"/>
      </w:pPr>
      <w:r>
        <w:t>Chemotherapy for hepatocellular carcinoma: current status and future perspectives</w:t>
      </w:r>
    </w:p>
    <w:p w14:paraId="0A6F94E8" w14:textId="5308150D" w:rsidR="2E056CB6" w:rsidRDefault="2E056CB6">
      <w:pPr>
        <w:pStyle w:val="CommentText"/>
      </w:pPr>
      <w:r>
        <w:t>(Japanese sites)</w:t>
      </w:r>
    </w:p>
    <w:p w14:paraId="6DD90112" w14:textId="7DA38289" w:rsidR="2E056CB6" w:rsidRDefault="2E056CB6">
      <w:pPr>
        <w:pStyle w:val="CommentText"/>
      </w:pPr>
    </w:p>
    <w:p w14:paraId="7FEB506B" w14:textId="04DCD855" w:rsidR="2E056CB6" w:rsidRDefault="2E056CB6">
      <w:pPr>
        <w:pStyle w:val="CommentText"/>
      </w:pPr>
      <w:r>
        <w:t xml:space="preserve">Death % range from 10% to 62%. </w:t>
      </w:r>
    </w:p>
  </w:comment>
  <w:comment w:id="25" w:author="Xinrong Zhang" w:date="2024-10-15T16:56:00Z" w:initials="XZ">
    <w:p w14:paraId="629FC193" w14:textId="37415543" w:rsidR="00AC3C45" w:rsidRDefault="00AC3C45">
      <w:pPr>
        <w:pStyle w:val="CommentText"/>
      </w:pPr>
      <w:r>
        <w:rPr>
          <w:rStyle w:val="CommentReference"/>
        </w:rPr>
        <w:annotationRef/>
      </w:r>
      <w:r w:rsidRPr="00AC3C45">
        <w:t>Radiotherapy for Hepatocellular Carcinoma Results in Comparable Survival to Radiofrequency Ablation: A Propensity Score Analysis</w:t>
      </w:r>
    </w:p>
  </w:comment>
  <w:comment w:id="26" w:author="Xinrong Zhang" w:date="2024-10-30T16:12:00Z" w:initials="XZ">
    <w:p w14:paraId="682C7AF9" w14:textId="2AD5D728" w:rsidR="00F3168B" w:rsidRDefault="00F3168B">
      <w:pPr>
        <w:pStyle w:val="CommentText"/>
      </w:pPr>
      <w:r>
        <w:rPr>
          <w:rStyle w:val="CommentReference"/>
        </w:rPr>
        <w:annotationRef/>
      </w:r>
      <w:r w:rsidR="001E0695" w:rsidRPr="001E0695">
        <w:t>Natural History of Untreated Hepatocellular Carcinoma in a US Cohort and the Role of Cancer Surveillance</w:t>
      </w:r>
    </w:p>
  </w:comment>
  <w:comment w:id="27" w:author="Xinrong Zhang" w:date="2024-10-16T10:36:00Z" w:initials="XZ">
    <w:p w14:paraId="49A59E89" w14:textId="0A319B7C" w:rsidR="00900522" w:rsidRDefault="00900522">
      <w:pPr>
        <w:pStyle w:val="CommentText"/>
      </w:pPr>
      <w:r>
        <w:rPr>
          <w:rStyle w:val="CommentReference"/>
        </w:rPr>
        <w:annotationRef/>
      </w:r>
      <w:r w:rsidRPr="00900522">
        <w:t>Liver Transplantation for Intermediate-Stage Hepatocellular Carcinoma</w:t>
      </w:r>
    </w:p>
  </w:comment>
  <w:comment w:id="28" w:author="Xinrong Zhang" w:date="2024-10-16T13:22:00Z" w:initials="XZ">
    <w:p w14:paraId="02395219" w14:textId="2B541200" w:rsidR="00205B8D" w:rsidRDefault="00205B8D">
      <w:pPr>
        <w:pStyle w:val="CommentText"/>
      </w:pPr>
      <w:r>
        <w:rPr>
          <w:rStyle w:val="CommentReference"/>
        </w:rPr>
        <w:annotationRef/>
      </w:r>
      <w:r w:rsidRPr="00205B8D">
        <w:t>Intermediate-stage HCC—upfront resection can be feasible</w:t>
      </w:r>
    </w:p>
  </w:comment>
  <w:comment w:id="29" w:author="Xinrong Zhang" w:date="2024-10-16T13:43:00Z" w:initials="XZ">
    <w:p w14:paraId="0D4B8036" w14:textId="09F9CD92" w:rsidR="00902243" w:rsidRDefault="00902243">
      <w:pPr>
        <w:pStyle w:val="CommentText"/>
      </w:pPr>
      <w:r>
        <w:rPr>
          <w:rStyle w:val="CommentReference"/>
        </w:rPr>
        <w:annotationRef/>
      </w:r>
      <w:r w:rsidRPr="00902243">
        <w:t>Management of patients with intermediate stage hepatocellular carcinoma</w:t>
      </w:r>
    </w:p>
  </w:comment>
  <w:comment w:id="30" w:author="Xinrong Zhang" w:date="2024-10-16T13:57:00Z" w:initials="XZ">
    <w:p w14:paraId="5A644975" w14:textId="388EBE96" w:rsidR="00786397" w:rsidRDefault="00786397">
      <w:pPr>
        <w:pStyle w:val="CommentText"/>
      </w:pPr>
      <w:r>
        <w:rPr>
          <w:rStyle w:val="CommentReference"/>
        </w:rPr>
        <w:annotationRef/>
      </w:r>
      <w:r w:rsidRPr="00786397">
        <w:t>Long-term outcome and eligibility of radiofrequency ablation for hepatocellular carcinoma over 3.0 cm in diameter</w:t>
      </w:r>
    </w:p>
  </w:comment>
  <w:comment w:id="31" w:author="Xinrong Zhang" w:date="2024-10-16T08:19:00Z" w:initials="XZ">
    <w:p w14:paraId="781DB1D1" w14:textId="7805DB59" w:rsidR="1C192336" w:rsidRDefault="009B4E21">
      <w:pPr>
        <w:pStyle w:val="CommentText"/>
      </w:pPr>
      <w:r>
        <w:rPr>
          <w:rStyle w:val="CommentReference"/>
        </w:rPr>
        <w:annotationRef/>
      </w:r>
      <w:r w:rsidRPr="57FD35E1">
        <w:t>Survival Improvements in Advanced Hepatocellular Carcinoma with Sequential Therapy by Era</w:t>
      </w:r>
    </w:p>
  </w:comment>
  <w:comment w:id="32" w:author="Xinrong Zhang" w:date="2024-10-31T09:43:00Z" w:initials="XZ">
    <w:p w14:paraId="3598A655" w14:textId="2B1A8317" w:rsidR="00CE73EC" w:rsidRDefault="00CE73EC">
      <w:pPr>
        <w:pStyle w:val="CommentText"/>
      </w:pPr>
      <w:r>
        <w:rPr>
          <w:rStyle w:val="CommentReference"/>
        </w:rPr>
        <w:annotationRef/>
      </w:r>
      <w:r w:rsidRPr="009F3945">
        <w:t>Management of patients with intermediate stage hepatocellular carcinoma</w:t>
      </w:r>
    </w:p>
  </w:comment>
  <w:comment w:id="33" w:author="Xinrong Zhang" w:date="2024-10-30T09:12:00Z" w:initials="XZ">
    <w:p w14:paraId="523EEE6F" w14:textId="19F92CE8" w:rsidR="36232A25" w:rsidRDefault="009B4E21">
      <w:pPr>
        <w:pStyle w:val="CommentText"/>
      </w:pPr>
      <w:r>
        <w:rPr>
          <w:rStyle w:val="CommentReference"/>
        </w:rPr>
        <w:annotationRef/>
      </w:r>
      <w:r w:rsidRPr="1C8D63C8">
        <w:t>Natural History of Untreated Hepatocellular Carcinoma in a US Cohort and the Role of Cancer Surveillance</w:t>
      </w:r>
    </w:p>
  </w:comment>
  <w:comment w:id="34" w:author="Xinrong Zhang" w:date="2024-10-16T14:42:00Z" w:initials="XZ">
    <w:p w14:paraId="06AB059B" w14:textId="25987C95" w:rsidR="00CE73EC" w:rsidRDefault="00CE73EC">
      <w:pPr>
        <w:pStyle w:val="CommentText"/>
      </w:pPr>
      <w:r>
        <w:rPr>
          <w:rStyle w:val="CommentReference"/>
        </w:rPr>
        <w:annotationRef/>
      </w:r>
      <w:proofErr w:type="spellStart"/>
      <w:r w:rsidRPr="00A90972">
        <w:t>Transarterial</w:t>
      </w:r>
      <w:proofErr w:type="spellEnd"/>
      <w:r w:rsidRPr="00A90972">
        <w:t xml:space="preserve"> chemoembolization extends long-term survival in patients with unresectable hepatocellular carcinoma</w:t>
      </w:r>
    </w:p>
  </w:comment>
  <w:comment w:id="35" w:author="Xinrong Zhang" w:date="2024-10-31T10:17:00Z" w:initials="XZ">
    <w:p w14:paraId="31C44DBB" w14:textId="67B5CE97" w:rsidR="00CE73EC" w:rsidRDefault="00CE73EC">
      <w:pPr>
        <w:pStyle w:val="CommentText"/>
      </w:pPr>
      <w:r>
        <w:rPr>
          <w:rStyle w:val="CommentReference"/>
        </w:rPr>
        <w:annotationRef/>
      </w:r>
      <w:r w:rsidRPr="00141736">
        <w:t xml:space="preserve">Radiofrequency ablation versus </w:t>
      </w:r>
      <w:proofErr w:type="spellStart"/>
      <w:r w:rsidRPr="00141736">
        <w:t>transarterial</w:t>
      </w:r>
      <w:proofErr w:type="spellEnd"/>
      <w:r w:rsidRPr="00141736">
        <w:t xml:space="preserve"> chemoembolization for unresectable solitary hepatocellular carcinomas sized 5–8 cm</w:t>
      </w:r>
    </w:p>
  </w:comment>
  <w:comment w:id="36" w:author="Xinrong Zhang" w:date="2024-10-16T08:19:00Z" w:initials="XZ">
    <w:p w14:paraId="1565E2F2" w14:textId="0C61A440" w:rsidR="6742F9FC" w:rsidRDefault="009B4E21">
      <w:pPr>
        <w:pStyle w:val="CommentText"/>
      </w:pPr>
      <w:r>
        <w:rPr>
          <w:rStyle w:val="CommentReference"/>
        </w:rPr>
        <w:annotationRef/>
      </w:r>
      <w:r w:rsidRPr="177FD574">
        <w:t>Survival Improvements in Advanced Hepatocellular Carcinoma with Sequential Therapy by Era</w:t>
      </w:r>
    </w:p>
  </w:comment>
  <w:comment w:id="37" w:author="Xinrong Zhang" w:date="2024-10-16T15:01:00Z" w:initials="XZ">
    <w:p w14:paraId="6E2735D2" w14:textId="5ABD3359" w:rsidR="00CE73EC" w:rsidRDefault="00CE73EC">
      <w:pPr>
        <w:pStyle w:val="CommentText"/>
      </w:pPr>
      <w:r>
        <w:rPr>
          <w:rStyle w:val="CommentReference"/>
        </w:rPr>
        <w:annotationRef/>
      </w:r>
      <w:r w:rsidRPr="00714280">
        <w:t>Improved survival with radiotherapy in hepatocellular carcinoma with major vascular invasion: A propensity‐matched analysis of Surveillance, Epidemiology, and End Results database</w:t>
      </w:r>
    </w:p>
  </w:comment>
  <w:comment w:id="38" w:author="Xinrong Zhang" w:date="2024-10-30T09:12:00Z" w:initials="XZ">
    <w:p w14:paraId="0E048FB3" w14:textId="1466FFB7" w:rsidR="7209054A" w:rsidRDefault="009B4E21">
      <w:pPr>
        <w:pStyle w:val="CommentText"/>
      </w:pPr>
      <w:r>
        <w:rPr>
          <w:rStyle w:val="CommentReference"/>
        </w:rPr>
        <w:annotationRef/>
      </w:r>
      <w:r w:rsidRPr="420B0986">
        <w:t>Natural History of Untreated Hepatocellular Carcinoma in a US Cohort and the Role of Cancer Surveillance</w:t>
      </w:r>
    </w:p>
  </w:comment>
  <w:comment w:id="39" w:author="Xinrong Zhang" w:date="2024-10-15T13:48:00Z" w:initials="XZ">
    <w:p w14:paraId="08DDF8F5" w14:textId="09FD8517" w:rsidR="00D775A2" w:rsidRDefault="00D775A2">
      <w:pPr>
        <w:pStyle w:val="CommentText"/>
      </w:pPr>
      <w:r>
        <w:rPr>
          <w:rStyle w:val="CommentReference"/>
        </w:rPr>
        <w:annotationRef/>
      </w:r>
      <w:r w:rsidRPr="00D775A2">
        <w:t>Comparison of a multitarget blood test to ultrasound and alpha‐fetoprotein for hepatocellular carcinoma surveillance: Results of a network meta‐analysis</w:t>
      </w:r>
    </w:p>
  </w:comment>
  <w:comment w:id="40" w:author="Joanne Kimiko Liu" w:date="2024-11-06T15:32:00Z" w:initials="JL">
    <w:p w14:paraId="78FC4EBF" w14:textId="342B9AF9" w:rsidR="679C3A60" w:rsidRDefault="009B4E21">
      <w:pPr>
        <w:pStyle w:val="CommentText"/>
      </w:pPr>
      <w:r>
        <w:rPr>
          <w:rStyle w:val="CommentReference"/>
        </w:rPr>
        <w:annotationRef/>
      </w:r>
      <w:r w:rsidRPr="5AD16B86">
        <w:t>(</w:t>
      </w:r>
      <w:hyperlink r:id="rId11">
        <w:r w:rsidRPr="6642F4A9">
          <w:rPr>
            <w:rStyle w:val="Hyperlink"/>
          </w:rPr>
          <w:t>Assessment of health utilities and quality of life in patients with non-alcoholic fatty liver disease - PMC</w:t>
        </w:r>
      </w:hyperlink>
      <w:r w:rsidRPr="6B273FF1">
        <w:t>) </w:t>
      </w:r>
    </w:p>
    <w:p w14:paraId="1C1664B5" w14:textId="0076E2D8" w:rsidR="4462FB3D" w:rsidRDefault="009B4E21">
      <w:pPr>
        <w:pStyle w:val="CommentText"/>
      </w:pPr>
      <w:r w:rsidRPr="45DD722D">
        <w:t xml:space="preserve">Derived by subtracting the difference between utility of general population (reference utility value) and non-cirrhotic NAFLD from 1 (the reference utility value in our study as well as the </w:t>
      </w:r>
      <w:proofErr w:type="spellStart"/>
      <w:r w:rsidRPr="45DD722D">
        <w:t>Singal</w:t>
      </w:r>
      <w:proofErr w:type="spellEnd"/>
      <w:r w:rsidRPr="45DD722D">
        <w:t xml:space="preserve"> study </w:t>
      </w:r>
      <w:proofErr w:type="gramStart"/>
      <w:r w:rsidRPr="45DD722D">
        <w:t>below  that</w:t>
      </w:r>
      <w:proofErr w:type="gramEnd"/>
      <w:r w:rsidRPr="45DD722D">
        <w:t xml:space="preserve"> we pulled other utilities from).  </w:t>
      </w:r>
    </w:p>
  </w:comment>
  <w:comment w:id="41" w:author="Xinrong Zhang" w:date="2024-10-16T14:40:00Z" w:initials="XZ">
    <w:p w14:paraId="1A63CD09" w14:textId="59A7DD7D" w:rsidR="0021068A" w:rsidRDefault="0021068A">
      <w:pPr>
        <w:pStyle w:val="CommentText"/>
      </w:pPr>
      <w:r>
        <w:rPr>
          <w:rStyle w:val="CommentReference"/>
        </w:rPr>
        <w:annotationRef/>
      </w:r>
      <w:r w:rsidRPr="0021068A">
        <w:t>https://www.cms.gov/medicare/physician-fee-schedule/search?Y=0&amp;T=4&amp;HT=0&amp;CT=3&amp;H1=0632T&amp;M=5</w:t>
      </w:r>
    </w:p>
  </w:comment>
  <w:comment w:id="42" w:author="Xinrong Zhang" w:date="2024-10-15T09:43:00Z" w:initials="XZ">
    <w:p w14:paraId="67078625" w14:textId="1770DE06" w:rsidR="0034344A" w:rsidRDefault="0034344A">
      <w:pPr>
        <w:pStyle w:val="CommentText"/>
      </w:pPr>
      <w:r>
        <w:rPr>
          <w:rStyle w:val="CommentReference"/>
        </w:rPr>
        <w:annotationRef/>
      </w:r>
      <w:r>
        <w:t>The Growing Economic and Clinical Burden of Nonalcoholic Steatohepatitis (NASH) in the United States</w:t>
      </w:r>
    </w:p>
  </w:comment>
  <w:comment w:id="43" w:author="Joanne Kimiko Liu" w:date="2024-10-24T10:05:00Z" w:initials="J">
    <w:p w14:paraId="6EA5B1CC" w14:textId="77777777" w:rsidR="00CE2E32" w:rsidRDefault="00CE2E32">
      <w:pPr>
        <w:pStyle w:val="CommentText"/>
      </w:pPr>
      <w:r>
        <w:rPr>
          <w:rStyle w:val="CommentReference"/>
        </w:rPr>
        <w:annotationRef/>
      </w:r>
      <w:hyperlink r:id="rId12" w:history="1">
        <w:r>
          <w:rPr>
            <w:rStyle w:val="Hyperlink"/>
          </w:rPr>
          <w:t>Direct costs of care for hepatocellular carcinoma in patients with hepatitis C cirrhosis - Tapper - 2016 - Cancer - Wiley Online Library</w:t>
        </w:r>
      </w:hyperlink>
    </w:p>
  </w:comment>
  <w:comment w:id="44" w:author="Joanne Kimiko Liu" w:date="2024-10-24T10:05:00Z" w:initials="J">
    <w:p w14:paraId="1310A403" w14:textId="5263BDBC" w:rsidR="000A4672" w:rsidRDefault="000A4672">
      <w:pPr>
        <w:pStyle w:val="CommentText"/>
      </w:pPr>
      <w:r>
        <w:rPr>
          <w:rStyle w:val="CommentReference"/>
        </w:rPr>
        <w:annotationRef/>
      </w:r>
      <w:hyperlink r:id="rId13" w:history="1">
        <w:r>
          <w:rPr>
            <w:rStyle w:val="Hyperlink"/>
          </w:rPr>
          <w:t>Direct costs of care for hepatocellular carcinoma in patients with hepatitis C cirrhosis - Tapper - 2016 - Cancer - Wiley Online Library</w:t>
        </w:r>
      </w:hyperlink>
    </w:p>
  </w:comment>
  <w:comment w:id="45" w:author="Xinrong Zhang" w:date="2024-10-15T12:16:00Z" w:initials="XZ">
    <w:p w14:paraId="4BC48633" w14:textId="3A7CA14B" w:rsidR="00CF3A1B" w:rsidRDefault="00CF3A1B">
      <w:pPr>
        <w:pStyle w:val="CommentText"/>
      </w:pPr>
      <w:r>
        <w:rPr>
          <w:rStyle w:val="CommentReference"/>
        </w:rPr>
        <w:annotationRef/>
      </w:r>
      <w:r w:rsidRPr="00CF3A1B">
        <w:t xml:space="preserve">Economic analysis of </w:t>
      </w:r>
      <w:proofErr w:type="spellStart"/>
      <w:r w:rsidRPr="00CF3A1B">
        <w:t>transarterial</w:t>
      </w:r>
      <w:proofErr w:type="spellEnd"/>
      <w:r w:rsidRPr="00CF3A1B">
        <w:t xml:space="preserve"> chemoembolization (TACE) versus stereotactic body radiotherapy (SBRT) for the treatment of hepatocellular carcinoma (HCC)</w:t>
      </w:r>
    </w:p>
  </w:comment>
  <w:comment w:id="46" w:author="Xinrong Zhang" w:date="2024-10-15T12:20:00Z" w:initials="XZ">
    <w:p w14:paraId="7EBBC6C4" w14:textId="71F27F7D" w:rsidR="00062715" w:rsidRDefault="00062715">
      <w:pPr>
        <w:pStyle w:val="CommentText"/>
      </w:pPr>
      <w:r>
        <w:rPr>
          <w:rStyle w:val="CommentReference"/>
        </w:rPr>
        <w:annotationRef/>
      </w:r>
      <w:r w:rsidRPr="00062715">
        <w:t>Short-Term Out-of-Pocket and Total Costs of Care After Ablation, Resection, or Transplant for Early-Stage Hepatocellular Carcinoma: A National SEER-Medicare Cost Comparison</w:t>
      </w:r>
    </w:p>
  </w:comment>
  <w:comment w:id="47" w:author="Xinrong Zhang" w:date="2024-10-15T12:48:00Z" w:initials="XZ">
    <w:p w14:paraId="7DE5BB83" w14:textId="77777777" w:rsidR="0090304F" w:rsidRPr="0090304F" w:rsidRDefault="0090304F" w:rsidP="0090304F">
      <w:pPr>
        <w:pStyle w:val="Heading1"/>
        <w:shd w:val="clear" w:color="auto" w:fill="FFFFFF"/>
        <w:spacing w:before="400" w:after="200" w:line="450" w:lineRule="atLeast"/>
        <w:rPr>
          <w:rFonts w:ascii="Cambria" w:eastAsia="Times New Roman" w:hAnsi="Cambria" w:cs="Times New Roman"/>
          <w:color w:val="000000"/>
          <w:spacing w:val="-2"/>
          <w:kern w:val="36"/>
          <w:sz w:val="36"/>
          <w:szCs w:val="36"/>
        </w:rPr>
      </w:pPr>
      <w:r>
        <w:rPr>
          <w:rStyle w:val="CommentReference"/>
        </w:rPr>
        <w:annotationRef/>
      </w:r>
      <w:r w:rsidRPr="0090304F">
        <w:rPr>
          <w:rFonts w:ascii="Cambria" w:eastAsia="Times New Roman" w:hAnsi="Cambria" w:cs="Times New Roman"/>
          <w:color w:val="000000"/>
          <w:spacing w:val="-2"/>
          <w:kern w:val="36"/>
          <w:sz w:val="36"/>
          <w:szCs w:val="36"/>
        </w:rPr>
        <w:t>Clinical Characteristics, Treatment Patterns, and Healthcare Costs and Utilization for Hepatocellular Carcinoma (HCC) Patients Treated at a Large Referral Center in Washington State 2007–2018</w:t>
      </w:r>
    </w:p>
    <w:p w14:paraId="034E126A" w14:textId="7157870C" w:rsidR="0090304F" w:rsidRDefault="0090304F">
      <w:pPr>
        <w:pStyle w:val="CommentText"/>
      </w:pPr>
    </w:p>
  </w:comment>
  <w:comment w:id="48" w:author="Xinrong Zhang" w:date="2024-10-15T12:50:00Z" w:initials="XZ">
    <w:p w14:paraId="53238A6F" w14:textId="218DF2EB" w:rsidR="008A6CBE" w:rsidRDefault="008A6CBE">
      <w:pPr>
        <w:pStyle w:val="CommentText"/>
      </w:pPr>
      <w:r>
        <w:rPr>
          <w:rStyle w:val="CommentReference"/>
        </w:rPr>
        <w:annotationRef/>
      </w:r>
      <w:r w:rsidRPr="008A6CBE">
        <w:t>SBRT vs. Y90: HCC Treatment Outcomes and Costs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2217D" w15:done="1"/>
  <w15:commentEx w15:paraId="17CFEC1B" w15:paraIdParent="6462217D" w15:done="1"/>
  <w15:commentEx w15:paraId="1D6C2408" w15:done="1"/>
  <w15:commentEx w15:paraId="58AF174E" w15:done="1"/>
  <w15:commentEx w15:paraId="17A454B9" w15:done="0"/>
  <w15:commentEx w15:paraId="43787013" w15:done="0"/>
  <w15:commentEx w15:paraId="1E36A37D" w15:done="0"/>
  <w15:commentEx w15:paraId="23D2F5A9" w15:done="0"/>
  <w15:commentEx w15:paraId="74FAAB68" w15:paraIdParent="23D2F5A9" w15:done="0"/>
  <w15:commentEx w15:paraId="10417E60" w15:paraIdParent="23D2F5A9" w15:done="0"/>
  <w15:commentEx w15:paraId="0D6B3E65" w15:done="0"/>
  <w15:commentEx w15:paraId="79BF11FF" w15:done="0"/>
  <w15:commentEx w15:paraId="320C801E" w15:done="0"/>
  <w15:commentEx w15:paraId="6B234AAC" w15:done="0"/>
  <w15:commentEx w15:paraId="01A906D3" w15:paraIdParent="6B234AAC" w15:done="0"/>
  <w15:commentEx w15:paraId="20B47213" w15:done="0"/>
  <w15:commentEx w15:paraId="6ADB96A4" w15:done="1"/>
  <w15:commentEx w15:paraId="2920FB02" w15:done="0"/>
  <w15:commentEx w15:paraId="61A64218" w15:done="0"/>
  <w15:commentEx w15:paraId="32278787" w15:done="0"/>
  <w15:commentEx w15:paraId="1C634FA7" w15:done="0"/>
  <w15:commentEx w15:paraId="46D8DC55" w15:done="0"/>
  <w15:commentEx w15:paraId="32444BA8" w15:done="0"/>
  <w15:commentEx w15:paraId="53672D8D" w15:done="0"/>
  <w15:commentEx w15:paraId="7FEB506B" w15:done="0"/>
  <w15:commentEx w15:paraId="629FC193" w15:done="0"/>
  <w15:commentEx w15:paraId="682C7AF9" w15:done="0"/>
  <w15:commentEx w15:paraId="49A59E89" w15:done="0"/>
  <w15:commentEx w15:paraId="02395219" w15:done="0"/>
  <w15:commentEx w15:paraId="0D4B8036" w15:done="0"/>
  <w15:commentEx w15:paraId="5A644975" w15:done="0"/>
  <w15:commentEx w15:paraId="781DB1D1" w15:done="0"/>
  <w15:commentEx w15:paraId="3598A655" w15:done="0"/>
  <w15:commentEx w15:paraId="523EEE6F" w15:done="0"/>
  <w15:commentEx w15:paraId="06AB059B" w15:done="0"/>
  <w15:commentEx w15:paraId="31C44DBB" w15:done="0"/>
  <w15:commentEx w15:paraId="1565E2F2" w15:done="0"/>
  <w15:commentEx w15:paraId="6E2735D2" w15:done="0"/>
  <w15:commentEx w15:paraId="0E048FB3" w15:done="0"/>
  <w15:commentEx w15:paraId="08DDF8F5" w15:done="0"/>
  <w15:commentEx w15:paraId="1C1664B5" w15:done="0"/>
  <w15:commentEx w15:paraId="1A63CD09" w15:done="0"/>
  <w15:commentEx w15:paraId="67078625" w15:done="0"/>
  <w15:commentEx w15:paraId="6EA5B1CC" w15:done="0"/>
  <w15:commentEx w15:paraId="1310A403" w15:done="0"/>
  <w15:commentEx w15:paraId="4BC48633" w15:done="0"/>
  <w15:commentEx w15:paraId="7EBBC6C4" w15:done="0"/>
  <w15:commentEx w15:paraId="034E126A" w15:done="0"/>
  <w15:commentEx w15:paraId="53238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7B96F" w16cex:dateUtc="2024-10-14T22:38:00Z"/>
  <w16cex:commentExtensible w16cex:durableId="2ABB673E" w16cex:dateUtc="2024-10-17T17:36:00Z"/>
  <w16cex:commentExtensible w16cex:durableId="2AD70568" w16cex:dateUtc="2024-10-14T22:42:00Z"/>
  <w16cex:commentExtensible w16cex:durableId="2AD70567" w16cex:dateUtc="2024-10-17T17:37:00Z"/>
  <w16cex:commentExtensible w16cex:durableId="67FDACC0" w16cex:dateUtc="2024-11-07T23:28:00Z"/>
  <w16cex:commentExtensible w16cex:durableId="6C827E54" w16cex:dateUtc="2024-11-07T23:28:00Z"/>
  <w16cex:commentExtensible w16cex:durableId="2AD87AC7" w16cex:dateUtc="2024-11-08T19:55:00Z"/>
  <w16cex:commentExtensible w16cex:durableId="2AB7B9E7" w16cex:dateUtc="2024-10-14T22:40:00Z"/>
  <w16cex:commentExtensible w16cex:durableId="2ABB6F42" w16cex:dateUtc="2024-10-17T18:10:00Z"/>
  <w16cex:commentExtensible w16cex:durableId="1B79D50B" w16cex:dateUtc="2024-11-06T17:01:00Z"/>
  <w16cex:commentExtensible w16cex:durableId="56110E84" w16cex:dateUtc="2024-11-06T23:27:00Z"/>
  <w16cex:commentExtensible w16cex:durableId="2ABA5C5A" w16cex:dateUtc="2024-10-16T22:38:00Z"/>
  <w16cex:commentExtensible w16cex:durableId="526DECE7" w16cex:dateUtc="2024-11-06T23:27:00Z"/>
  <w16cex:commentExtensible w16cex:durableId="2AD33216" w16cex:dateUtc="2024-10-15T21:26:00Z"/>
  <w16cex:commentExtensible w16cex:durableId="61A5EB88" w16cex:dateUtc="2024-11-06T17:16:00Z"/>
  <w16cex:commentExtensible w16cex:durableId="2AB8F9FA" w16cex:dateUtc="2024-10-15T21:26:00Z"/>
  <w16cex:commentExtensible w16cex:durableId="2ACCD3C6" w16cex:dateUtc="2024-10-30T22:48:00Z"/>
  <w16cex:commentExtensible w16cex:durableId="0ABDFE43" w16cex:dateUtc="2024-11-07T17:58:00Z"/>
  <w16cex:commentExtensible w16cex:durableId="2AD370D5" w16cex:dateUtc="2024-11-05T00:12:00Z"/>
  <w16cex:commentExtensible w16cex:durableId="2AB8F3D5" w16cex:dateUtc="2024-10-15T20:59:00Z"/>
  <w16cex:commentExtensible w16cex:durableId="2AB90C96" w16cex:dateUtc="2024-10-15T22:45:00Z"/>
  <w16cex:commentExtensible w16cex:durableId="2AB90B1A" w16cex:dateUtc="2024-10-15T22:39:00Z"/>
  <w16cex:commentExtensible w16cex:durableId="2AB90F92" w16cex:dateUtc="2024-10-15T22:58:00Z"/>
  <w16cex:commentExtensible w16cex:durableId="2AB90DAE" w16cex:dateUtc="2024-10-15T22:50:00Z"/>
  <w16cex:commentExtensible w16cex:durableId="063F708D" w16cex:dateUtc="2024-11-07T22:32:00Z"/>
  <w16cex:commentExtensible w16cex:durableId="2AB91D4B" w16cex:dateUtc="2024-10-15T23:56:00Z"/>
  <w16cex:commentExtensible w16cex:durableId="2ACCD97C" w16cex:dateUtc="2024-10-30T23:12:00Z"/>
  <w16cex:commentExtensible w16cex:durableId="2ABA1591" w16cex:dateUtc="2024-10-16T17:36:00Z"/>
  <w16cex:commentExtensible w16cex:durableId="2ABA3CA8" w16cex:dateUtc="2024-10-16T20:22:00Z"/>
  <w16cex:commentExtensible w16cex:durableId="2ABA416B" w16cex:dateUtc="2024-10-16T20:43:00Z"/>
  <w16cex:commentExtensible w16cex:durableId="2ABA44DA" w16cex:dateUtc="2024-10-16T20:57:00Z"/>
  <w16cex:commentExtensible w16cex:durableId="2AD70569" w16cex:dateUtc="2024-10-16T22:19:00Z"/>
  <w16cex:commentExtensible w16cex:durableId="2ACDCFAA" w16cex:dateUtc="2024-10-31T16:43:00Z"/>
  <w16cex:commentExtensible w16cex:durableId="2D1084AE" w16cex:dateUtc="2024-10-30T23:12:00Z"/>
  <w16cex:commentExtensible w16cex:durableId="2ABA4F48" w16cex:dateUtc="2024-10-16T21:42:00Z"/>
  <w16cex:commentExtensible w16cex:durableId="2ACDD7C4" w16cex:dateUtc="2024-10-31T17:17:00Z"/>
  <w16cex:commentExtensible w16cex:durableId="78FA333E" w16cex:dateUtc="2024-10-16T22:19:00Z"/>
  <w16cex:commentExtensible w16cex:durableId="2ABA53BD" w16cex:dateUtc="2024-10-16T22:01:00Z"/>
  <w16cex:commentExtensible w16cex:durableId="0F314011" w16cex:dateUtc="2024-10-30T23:12:00Z"/>
  <w16cex:commentExtensible w16cex:durableId="2AB8F113" w16cex:dateUtc="2024-10-15T20:48:00Z"/>
  <w16cex:commentExtensible w16cex:durableId="05E60008" w16cex:dateUtc="2024-11-06T23:32:00Z"/>
  <w16cex:commentExtensible w16cex:durableId="2ABA4ECB" w16cex:dateUtc="2024-10-16T21:40:00Z"/>
  <w16cex:commentExtensible w16cex:durableId="2AB8B7C9" w16cex:dateUtc="2024-10-15T16:43:00Z"/>
  <w16cex:commentExtensible w16cex:durableId="2AD33281" w16cex:dateUtc="2024-10-24T17:05:00Z"/>
  <w16cex:commentExtensible w16cex:durableId="2AC49A7C" w16cex:dateUtc="2024-10-24T17:05:00Z"/>
  <w16cex:commentExtensible w16cex:durableId="2AB8DB95" w16cex:dateUtc="2024-10-15T19:16:00Z"/>
  <w16cex:commentExtensible w16cex:durableId="2AB8DC85" w16cex:dateUtc="2024-10-15T19:20:00Z"/>
  <w16cex:commentExtensible w16cex:durableId="2AB8E33B" w16cex:dateUtc="2024-10-15T19:48:00Z"/>
  <w16cex:commentExtensible w16cex:durableId="2AB8E38A" w16cex:dateUtc="2024-10-15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2217D" w16cid:durableId="2AB7B96F"/>
  <w16cid:commentId w16cid:paraId="17CFEC1B" w16cid:durableId="2ABB673E"/>
  <w16cid:commentId w16cid:paraId="1D6C2408" w16cid:durableId="2AD70568"/>
  <w16cid:commentId w16cid:paraId="58AF174E" w16cid:durableId="2AD70567"/>
  <w16cid:commentId w16cid:paraId="17A454B9" w16cid:durableId="67FDACC0"/>
  <w16cid:commentId w16cid:paraId="43787013" w16cid:durableId="6C827E54"/>
  <w16cid:commentId w16cid:paraId="1E36A37D" w16cid:durableId="2AD87AC7"/>
  <w16cid:commentId w16cid:paraId="23D2F5A9" w16cid:durableId="2AB7B9E7"/>
  <w16cid:commentId w16cid:paraId="74FAAB68" w16cid:durableId="2ABB6F42"/>
  <w16cid:commentId w16cid:paraId="10417E60" w16cid:durableId="1B79D50B"/>
  <w16cid:commentId w16cid:paraId="0D6B3E65" w16cid:durableId="56110E84"/>
  <w16cid:commentId w16cid:paraId="79BF11FF" w16cid:durableId="2ABA5C5A"/>
  <w16cid:commentId w16cid:paraId="320C801E" w16cid:durableId="526DECE7"/>
  <w16cid:commentId w16cid:paraId="6B234AAC" w16cid:durableId="2AD33216"/>
  <w16cid:commentId w16cid:paraId="01A906D3" w16cid:durableId="61A5EB88"/>
  <w16cid:commentId w16cid:paraId="20B47213" w16cid:durableId="2AB8F9FA"/>
  <w16cid:commentId w16cid:paraId="6ADB96A4" w16cid:durableId="2ACCD3C6"/>
  <w16cid:commentId w16cid:paraId="2920FB02" w16cid:durableId="0ABDFE43"/>
  <w16cid:commentId w16cid:paraId="61A64218" w16cid:durableId="2AD370D5"/>
  <w16cid:commentId w16cid:paraId="32278787" w16cid:durableId="2AB8F3D5"/>
  <w16cid:commentId w16cid:paraId="1C634FA7" w16cid:durableId="2AB90C96"/>
  <w16cid:commentId w16cid:paraId="46D8DC55" w16cid:durableId="2AB90B1A"/>
  <w16cid:commentId w16cid:paraId="32444BA8" w16cid:durableId="2AB90F92"/>
  <w16cid:commentId w16cid:paraId="53672D8D" w16cid:durableId="2AB90DAE"/>
  <w16cid:commentId w16cid:paraId="7FEB506B" w16cid:durableId="063F708D"/>
  <w16cid:commentId w16cid:paraId="629FC193" w16cid:durableId="2AB91D4B"/>
  <w16cid:commentId w16cid:paraId="682C7AF9" w16cid:durableId="2ACCD97C"/>
  <w16cid:commentId w16cid:paraId="49A59E89" w16cid:durableId="2ABA1591"/>
  <w16cid:commentId w16cid:paraId="02395219" w16cid:durableId="2ABA3CA8"/>
  <w16cid:commentId w16cid:paraId="0D4B8036" w16cid:durableId="2ABA416B"/>
  <w16cid:commentId w16cid:paraId="5A644975" w16cid:durableId="2ABA44DA"/>
  <w16cid:commentId w16cid:paraId="781DB1D1" w16cid:durableId="2AD70569"/>
  <w16cid:commentId w16cid:paraId="3598A655" w16cid:durableId="2ACDCFAA"/>
  <w16cid:commentId w16cid:paraId="523EEE6F" w16cid:durableId="2D1084AE"/>
  <w16cid:commentId w16cid:paraId="06AB059B" w16cid:durableId="2ABA4F48"/>
  <w16cid:commentId w16cid:paraId="31C44DBB" w16cid:durableId="2ACDD7C4"/>
  <w16cid:commentId w16cid:paraId="1565E2F2" w16cid:durableId="78FA333E"/>
  <w16cid:commentId w16cid:paraId="6E2735D2" w16cid:durableId="2ABA53BD"/>
  <w16cid:commentId w16cid:paraId="0E048FB3" w16cid:durableId="0F314011"/>
  <w16cid:commentId w16cid:paraId="08DDF8F5" w16cid:durableId="2AB8F113"/>
  <w16cid:commentId w16cid:paraId="1C1664B5" w16cid:durableId="05E60008"/>
  <w16cid:commentId w16cid:paraId="1A63CD09" w16cid:durableId="2ABA4ECB"/>
  <w16cid:commentId w16cid:paraId="67078625" w16cid:durableId="2AB8B7C9"/>
  <w16cid:commentId w16cid:paraId="6EA5B1CC" w16cid:durableId="2AD33281"/>
  <w16cid:commentId w16cid:paraId="1310A403" w16cid:durableId="2AC49A7C"/>
  <w16cid:commentId w16cid:paraId="4BC48633" w16cid:durableId="2AB8DB95"/>
  <w16cid:commentId w16cid:paraId="7EBBC6C4" w16cid:durableId="2AB8DC85"/>
  <w16cid:commentId w16cid:paraId="034E126A" w16cid:durableId="2AB8E33B"/>
  <w16cid:commentId w16cid:paraId="53238A6F" w16cid:durableId="2AB8E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3B"/>
    <w:multiLevelType w:val="hybridMultilevel"/>
    <w:tmpl w:val="1138F43A"/>
    <w:lvl w:ilvl="0" w:tplc="D7EE6394">
      <w:start w:val="1"/>
      <w:numFmt w:val="bullet"/>
      <w:lvlText w:val="-"/>
      <w:lvlJc w:val="left"/>
      <w:pPr>
        <w:ind w:left="720" w:hanging="360"/>
      </w:pPr>
      <w:rPr>
        <w:rFonts w:ascii="Calibri" w:hAnsi="Calibri" w:hint="default"/>
      </w:rPr>
    </w:lvl>
    <w:lvl w:ilvl="1" w:tplc="C3E8127C">
      <w:start w:val="1"/>
      <w:numFmt w:val="bullet"/>
      <w:lvlText w:val="o"/>
      <w:lvlJc w:val="left"/>
      <w:pPr>
        <w:ind w:left="1440" w:hanging="360"/>
      </w:pPr>
      <w:rPr>
        <w:rFonts w:ascii="Courier New" w:hAnsi="Courier New" w:hint="default"/>
      </w:rPr>
    </w:lvl>
    <w:lvl w:ilvl="2" w:tplc="5FFCDE76">
      <w:start w:val="1"/>
      <w:numFmt w:val="bullet"/>
      <w:lvlText w:val=""/>
      <w:lvlJc w:val="left"/>
      <w:pPr>
        <w:ind w:left="2160" w:hanging="360"/>
      </w:pPr>
      <w:rPr>
        <w:rFonts w:ascii="Wingdings" w:hAnsi="Wingdings" w:hint="default"/>
      </w:rPr>
    </w:lvl>
    <w:lvl w:ilvl="3" w:tplc="E78ED770">
      <w:start w:val="1"/>
      <w:numFmt w:val="bullet"/>
      <w:lvlText w:val=""/>
      <w:lvlJc w:val="left"/>
      <w:pPr>
        <w:ind w:left="2880" w:hanging="360"/>
      </w:pPr>
      <w:rPr>
        <w:rFonts w:ascii="Symbol" w:hAnsi="Symbol" w:hint="default"/>
      </w:rPr>
    </w:lvl>
    <w:lvl w:ilvl="4" w:tplc="5B18FF24">
      <w:start w:val="1"/>
      <w:numFmt w:val="bullet"/>
      <w:lvlText w:val="o"/>
      <w:lvlJc w:val="left"/>
      <w:pPr>
        <w:ind w:left="3600" w:hanging="360"/>
      </w:pPr>
      <w:rPr>
        <w:rFonts w:ascii="Courier New" w:hAnsi="Courier New" w:hint="default"/>
      </w:rPr>
    </w:lvl>
    <w:lvl w:ilvl="5" w:tplc="C5DC1A5C">
      <w:start w:val="1"/>
      <w:numFmt w:val="bullet"/>
      <w:lvlText w:val=""/>
      <w:lvlJc w:val="left"/>
      <w:pPr>
        <w:ind w:left="4320" w:hanging="360"/>
      </w:pPr>
      <w:rPr>
        <w:rFonts w:ascii="Wingdings" w:hAnsi="Wingdings" w:hint="default"/>
      </w:rPr>
    </w:lvl>
    <w:lvl w:ilvl="6" w:tplc="B0AAF2CC">
      <w:start w:val="1"/>
      <w:numFmt w:val="bullet"/>
      <w:lvlText w:val=""/>
      <w:lvlJc w:val="left"/>
      <w:pPr>
        <w:ind w:left="5040" w:hanging="360"/>
      </w:pPr>
      <w:rPr>
        <w:rFonts w:ascii="Symbol" w:hAnsi="Symbol" w:hint="default"/>
      </w:rPr>
    </w:lvl>
    <w:lvl w:ilvl="7" w:tplc="1BEC7B46">
      <w:start w:val="1"/>
      <w:numFmt w:val="bullet"/>
      <w:lvlText w:val="o"/>
      <w:lvlJc w:val="left"/>
      <w:pPr>
        <w:ind w:left="5760" w:hanging="360"/>
      </w:pPr>
      <w:rPr>
        <w:rFonts w:ascii="Courier New" w:hAnsi="Courier New" w:hint="default"/>
      </w:rPr>
    </w:lvl>
    <w:lvl w:ilvl="8" w:tplc="888A8D04">
      <w:start w:val="1"/>
      <w:numFmt w:val="bullet"/>
      <w:lvlText w:val=""/>
      <w:lvlJc w:val="left"/>
      <w:pPr>
        <w:ind w:left="6480" w:hanging="360"/>
      </w:pPr>
      <w:rPr>
        <w:rFonts w:ascii="Wingdings" w:hAnsi="Wingdings" w:hint="default"/>
      </w:rPr>
    </w:lvl>
  </w:abstractNum>
  <w:abstractNum w:abstractNumId="1" w15:restartNumberingAfterBreak="0">
    <w:nsid w:val="07A41C43"/>
    <w:multiLevelType w:val="hybridMultilevel"/>
    <w:tmpl w:val="9DCAEDB8"/>
    <w:lvl w:ilvl="0" w:tplc="3E8843B8">
      <w:start w:val="1"/>
      <w:numFmt w:val="bullet"/>
      <w:lvlText w:val="-"/>
      <w:lvlJc w:val="left"/>
      <w:pPr>
        <w:ind w:left="720" w:hanging="360"/>
      </w:pPr>
      <w:rPr>
        <w:rFonts w:ascii="Calibri" w:hAnsi="Calibri" w:hint="default"/>
      </w:rPr>
    </w:lvl>
    <w:lvl w:ilvl="1" w:tplc="7E88C84A">
      <w:start w:val="1"/>
      <w:numFmt w:val="bullet"/>
      <w:lvlText w:val="o"/>
      <w:lvlJc w:val="left"/>
      <w:pPr>
        <w:ind w:left="1440" w:hanging="360"/>
      </w:pPr>
      <w:rPr>
        <w:rFonts w:ascii="Courier New" w:hAnsi="Courier New" w:hint="default"/>
      </w:rPr>
    </w:lvl>
    <w:lvl w:ilvl="2" w:tplc="3EAA6028">
      <w:start w:val="1"/>
      <w:numFmt w:val="bullet"/>
      <w:lvlText w:val=""/>
      <w:lvlJc w:val="left"/>
      <w:pPr>
        <w:ind w:left="2160" w:hanging="360"/>
      </w:pPr>
      <w:rPr>
        <w:rFonts w:ascii="Wingdings" w:hAnsi="Wingdings" w:hint="default"/>
      </w:rPr>
    </w:lvl>
    <w:lvl w:ilvl="3" w:tplc="5B8EC496">
      <w:start w:val="1"/>
      <w:numFmt w:val="bullet"/>
      <w:lvlText w:val=""/>
      <w:lvlJc w:val="left"/>
      <w:pPr>
        <w:ind w:left="2880" w:hanging="360"/>
      </w:pPr>
      <w:rPr>
        <w:rFonts w:ascii="Symbol" w:hAnsi="Symbol" w:hint="default"/>
      </w:rPr>
    </w:lvl>
    <w:lvl w:ilvl="4" w:tplc="62C6DE0E">
      <w:start w:val="1"/>
      <w:numFmt w:val="bullet"/>
      <w:lvlText w:val="o"/>
      <w:lvlJc w:val="left"/>
      <w:pPr>
        <w:ind w:left="3600" w:hanging="360"/>
      </w:pPr>
      <w:rPr>
        <w:rFonts w:ascii="Courier New" w:hAnsi="Courier New" w:hint="default"/>
      </w:rPr>
    </w:lvl>
    <w:lvl w:ilvl="5" w:tplc="66E84142">
      <w:start w:val="1"/>
      <w:numFmt w:val="bullet"/>
      <w:lvlText w:val=""/>
      <w:lvlJc w:val="left"/>
      <w:pPr>
        <w:ind w:left="4320" w:hanging="360"/>
      </w:pPr>
      <w:rPr>
        <w:rFonts w:ascii="Wingdings" w:hAnsi="Wingdings" w:hint="default"/>
      </w:rPr>
    </w:lvl>
    <w:lvl w:ilvl="6" w:tplc="0D0AB652">
      <w:start w:val="1"/>
      <w:numFmt w:val="bullet"/>
      <w:lvlText w:val=""/>
      <w:lvlJc w:val="left"/>
      <w:pPr>
        <w:ind w:left="5040" w:hanging="360"/>
      </w:pPr>
      <w:rPr>
        <w:rFonts w:ascii="Symbol" w:hAnsi="Symbol" w:hint="default"/>
      </w:rPr>
    </w:lvl>
    <w:lvl w:ilvl="7" w:tplc="EAAC8BC6">
      <w:start w:val="1"/>
      <w:numFmt w:val="bullet"/>
      <w:lvlText w:val="o"/>
      <w:lvlJc w:val="left"/>
      <w:pPr>
        <w:ind w:left="5760" w:hanging="360"/>
      </w:pPr>
      <w:rPr>
        <w:rFonts w:ascii="Courier New" w:hAnsi="Courier New" w:hint="default"/>
      </w:rPr>
    </w:lvl>
    <w:lvl w:ilvl="8" w:tplc="BF5E1342">
      <w:start w:val="1"/>
      <w:numFmt w:val="bullet"/>
      <w:lvlText w:val=""/>
      <w:lvlJc w:val="left"/>
      <w:pPr>
        <w:ind w:left="6480" w:hanging="360"/>
      </w:pPr>
      <w:rPr>
        <w:rFonts w:ascii="Wingdings" w:hAnsi="Wingdings" w:hint="default"/>
      </w:rPr>
    </w:lvl>
  </w:abstractNum>
  <w:abstractNum w:abstractNumId="2" w15:restartNumberingAfterBreak="0">
    <w:nsid w:val="18F77295"/>
    <w:multiLevelType w:val="hybridMultilevel"/>
    <w:tmpl w:val="0C50D7BE"/>
    <w:lvl w:ilvl="0" w:tplc="78A852E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B0CAB"/>
    <w:multiLevelType w:val="hybridMultilevel"/>
    <w:tmpl w:val="1548C4A4"/>
    <w:lvl w:ilvl="0" w:tplc="4E8844AC">
      <w:start w:val="1"/>
      <w:numFmt w:val="bullet"/>
      <w:lvlText w:val=""/>
      <w:lvlJc w:val="left"/>
      <w:pPr>
        <w:ind w:left="720" w:hanging="360"/>
      </w:pPr>
      <w:rPr>
        <w:rFonts w:ascii="Symbol" w:hAnsi="Symbol" w:hint="default"/>
      </w:rPr>
    </w:lvl>
    <w:lvl w:ilvl="1" w:tplc="EFFC36A8">
      <w:start w:val="1"/>
      <w:numFmt w:val="bullet"/>
      <w:lvlText w:val="o"/>
      <w:lvlJc w:val="left"/>
      <w:pPr>
        <w:ind w:left="1440" w:hanging="360"/>
      </w:pPr>
      <w:rPr>
        <w:rFonts w:ascii="Courier New" w:hAnsi="Courier New" w:hint="default"/>
      </w:rPr>
    </w:lvl>
    <w:lvl w:ilvl="2" w:tplc="4FDAC8F6">
      <w:start w:val="1"/>
      <w:numFmt w:val="bullet"/>
      <w:lvlText w:val=""/>
      <w:lvlJc w:val="left"/>
      <w:pPr>
        <w:ind w:left="2160" w:hanging="360"/>
      </w:pPr>
      <w:rPr>
        <w:rFonts w:ascii="Wingdings" w:hAnsi="Wingdings" w:hint="default"/>
      </w:rPr>
    </w:lvl>
    <w:lvl w:ilvl="3" w:tplc="1F242F98">
      <w:start w:val="1"/>
      <w:numFmt w:val="bullet"/>
      <w:lvlText w:val=""/>
      <w:lvlJc w:val="left"/>
      <w:pPr>
        <w:ind w:left="2880" w:hanging="360"/>
      </w:pPr>
      <w:rPr>
        <w:rFonts w:ascii="Symbol" w:hAnsi="Symbol" w:hint="default"/>
      </w:rPr>
    </w:lvl>
    <w:lvl w:ilvl="4" w:tplc="260AC8EE">
      <w:start w:val="1"/>
      <w:numFmt w:val="bullet"/>
      <w:lvlText w:val="o"/>
      <w:lvlJc w:val="left"/>
      <w:pPr>
        <w:ind w:left="3600" w:hanging="360"/>
      </w:pPr>
      <w:rPr>
        <w:rFonts w:ascii="Courier New" w:hAnsi="Courier New" w:hint="default"/>
      </w:rPr>
    </w:lvl>
    <w:lvl w:ilvl="5" w:tplc="EB76AD42">
      <w:start w:val="1"/>
      <w:numFmt w:val="bullet"/>
      <w:lvlText w:val=""/>
      <w:lvlJc w:val="left"/>
      <w:pPr>
        <w:ind w:left="4320" w:hanging="360"/>
      </w:pPr>
      <w:rPr>
        <w:rFonts w:ascii="Wingdings" w:hAnsi="Wingdings" w:hint="default"/>
      </w:rPr>
    </w:lvl>
    <w:lvl w:ilvl="6" w:tplc="48F8A07E">
      <w:start w:val="1"/>
      <w:numFmt w:val="bullet"/>
      <w:lvlText w:val=""/>
      <w:lvlJc w:val="left"/>
      <w:pPr>
        <w:ind w:left="5040" w:hanging="360"/>
      </w:pPr>
      <w:rPr>
        <w:rFonts w:ascii="Symbol" w:hAnsi="Symbol" w:hint="default"/>
      </w:rPr>
    </w:lvl>
    <w:lvl w:ilvl="7" w:tplc="A8EE29B4">
      <w:start w:val="1"/>
      <w:numFmt w:val="bullet"/>
      <w:lvlText w:val="o"/>
      <w:lvlJc w:val="left"/>
      <w:pPr>
        <w:ind w:left="5760" w:hanging="360"/>
      </w:pPr>
      <w:rPr>
        <w:rFonts w:ascii="Courier New" w:hAnsi="Courier New" w:hint="default"/>
      </w:rPr>
    </w:lvl>
    <w:lvl w:ilvl="8" w:tplc="62AE26D2">
      <w:start w:val="1"/>
      <w:numFmt w:val="bullet"/>
      <w:lvlText w:val=""/>
      <w:lvlJc w:val="left"/>
      <w:pPr>
        <w:ind w:left="6480" w:hanging="360"/>
      </w:pPr>
      <w:rPr>
        <w:rFonts w:ascii="Wingdings" w:hAnsi="Wingdings" w:hint="default"/>
      </w:rPr>
    </w:lvl>
  </w:abstractNum>
  <w:abstractNum w:abstractNumId="4" w15:restartNumberingAfterBreak="0">
    <w:nsid w:val="3157088F"/>
    <w:multiLevelType w:val="hybridMultilevel"/>
    <w:tmpl w:val="251CFCA6"/>
    <w:lvl w:ilvl="0" w:tplc="2AB27A50">
      <w:start w:val="1"/>
      <w:numFmt w:val="bullet"/>
      <w:lvlText w:val="-"/>
      <w:lvlJc w:val="left"/>
      <w:pPr>
        <w:ind w:left="720" w:hanging="360"/>
      </w:pPr>
      <w:rPr>
        <w:rFonts w:ascii="Calibri" w:hAnsi="Calibri" w:hint="default"/>
      </w:rPr>
    </w:lvl>
    <w:lvl w:ilvl="1" w:tplc="BAE4533E">
      <w:start w:val="1"/>
      <w:numFmt w:val="bullet"/>
      <w:lvlText w:val="o"/>
      <w:lvlJc w:val="left"/>
      <w:pPr>
        <w:ind w:left="1440" w:hanging="360"/>
      </w:pPr>
      <w:rPr>
        <w:rFonts w:ascii="Courier New" w:hAnsi="Courier New" w:hint="default"/>
      </w:rPr>
    </w:lvl>
    <w:lvl w:ilvl="2" w:tplc="ECC6FCEC">
      <w:start w:val="1"/>
      <w:numFmt w:val="bullet"/>
      <w:lvlText w:val=""/>
      <w:lvlJc w:val="left"/>
      <w:pPr>
        <w:ind w:left="2160" w:hanging="360"/>
      </w:pPr>
      <w:rPr>
        <w:rFonts w:ascii="Wingdings" w:hAnsi="Wingdings" w:hint="default"/>
      </w:rPr>
    </w:lvl>
    <w:lvl w:ilvl="3" w:tplc="982C5044">
      <w:start w:val="1"/>
      <w:numFmt w:val="bullet"/>
      <w:lvlText w:val=""/>
      <w:lvlJc w:val="left"/>
      <w:pPr>
        <w:ind w:left="2880" w:hanging="360"/>
      </w:pPr>
      <w:rPr>
        <w:rFonts w:ascii="Symbol" w:hAnsi="Symbol" w:hint="default"/>
      </w:rPr>
    </w:lvl>
    <w:lvl w:ilvl="4" w:tplc="BECC4E28">
      <w:start w:val="1"/>
      <w:numFmt w:val="bullet"/>
      <w:lvlText w:val="o"/>
      <w:lvlJc w:val="left"/>
      <w:pPr>
        <w:ind w:left="3600" w:hanging="360"/>
      </w:pPr>
      <w:rPr>
        <w:rFonts w:ascii="Courier New" w:hAnsi="Courier New" w:hint="default"/>
      </w:rPr>
    </w:lvl>
    <w:lvl w:ilvl="5" w:tplc="A2A0661C">
      <w:start w:val="1"/>
      <w:numFmt w:val="bullet"/>
      <w:lvlText w:val=""/>
      <w:lvlJc w:val="left"/>
      <w:pPr>
        <w:ind w:left="4320" w:hanging="360"/>
      </w:pPr>
      <w:rPr>
        <w:rFonts w:ascii="Wingdings" w:hAnsi="Wingdings" w:hint="default"/>
      </w:rPr>
    </w:lvl>
    <w:lvl w:ilvl="6" w:tplc="E0D8571C">
      <w:start w:val="1"/>
      <w:numFmt w:val="bullet"/>
      <w:lvlText w:val=""/>
      <w:lvlJc w:val="left"/>
      <w:pPr>
        <w:ind w:left="5040" w:hanging="360"/>
      </w:pPr>
      <w:rPr>
        <w:rFonts w:ascii="Symbol" w:hAnsi="Symbol" w:hint="default"/>
      </w:rPr>
    </w:lvl>
    <w:lvl w:ilvl="7" w:tplc="60CA975C">
      <w:start w:val="1"/>
      <w:numFmt w:val="bullet"/>
      <w:lvlText w:val="o"/>
      <w:lvlJc w:val="left"/>
      <w:pPr>
        <w:ind w:left="5760" w:hanging="360"/>
      </w:pPr>
      <w:rPr>
        <w:rFonts w:ascii="Courier New" w:hAnsi="Courier New" w:hint="default"/>
      </w:rPr>
    </w:lvl>
    <w:lvl w:ilvl="8" w:tplc="1BE208C0">
      <w:start w:val="1"/>
      <w:numFmt w:val="bullet"/>
      <w:lvlText w:val=""/>
      <w:lvlJc w:val="left"/>
      <w:pPr>
        <w:ind w:left="6480" w:hanging="360"/>
      </w:pPr>
      <w:rPr>
        <w:rFonts w:ascii="Wingdings" w:hAnsi="Wingdings" w:hint="default"/>
      </w:rPr>
    </w:lvl>
  </w:abstractNum>
  <w:abstractNum w:abstractNumId="5" w15:restartNumberingAfterBreak="0">
    <w:nsid w:val="35728074"/>
    <w:multiLevelType w:val="hybridMultilevel"/>
    <w:tmpl w:val="A62EAA48"/>
    <w:lvl w:ilvl="0" w:tplc="4008C162">
      <w:start w:val="1"/>
      <w:numFmt w:val="bullet"/>
      <w:lvlText w:val=""/>
      <w:lvlJc w:val="left"/>
      <w:pPr>
        <w:ind w:left="720" w:hanging="360"/>
      </w:pPr>
      <w:rPr>
        <w:rFonts w:ascii="Symbol" w:hAnsi="Symbol" w:hint="default"/>
      </w:rPr>
    </w:lvl>
    <w:lvl w:ilvl="1" w:tplc="3D7625CC">
      <w:start w:val="1"/>
      <w:numFmt w:val="bullet"/>
      <w:lvlText w:val="o"/>
      <w:lvlJc w:val="left"/>
      <w:pPr>
        <w:ind w:left="1440" w:hanging="360"/>
      </w:pPr>
      <w:rPr>
        <w:rFonts w:ascii="Courier New" w:hAnsi="Courier New" w:hint="default"/>
      </w:rPr>
    </w:lvl>
    <w:lvl w:ilvl="2" w:tplc="8ED2A64C">
      <w:start w:val="1"/>
      <w:numFmt w:val="bullet"/>
      <w:lvlText w:val=""/>
      <w:lvlJc w:val="left"/>
      <w:pPr>
        <w:ind w:left="2160" w:hanging="360"/>
      </w:pPr>
      <w:rPr>
        <w:rFonts w:ascii="Wingdings" w:hAnsi="Wingdings" w:hint="default"/>
      </w:rPr>
    </w:lvl>
    <w:lvl w:ilvl="3" w:tplc="30E05798">
      <w:start w:val="1"/>
      <w:numFmt w:val="bullet"/>
      <w:lvlText w:val=""/>
      <w:lvlJc w:val="left"/>
      <w:pPr>
        <w:ind w:left="2880" w:hanging="360"/>
      </w:pPr>
      <w:rPr>
        <w:rFonts w:ascii="Symbol" w:hAnsi="Symbol" w:hint="default"/>
      </w:rPr>
    </w:lvl>
    <w:lvl w:ilvl="4" w:tplc="CD92EDF8">
      <w:start w:val="1"/>
      <w:numFmt w:val="bullet"/>
      <w:lvlText w:val="o"/>
      <w:lvlJc w:val="left"/>
      <w:pPr>
        <w:ind w:left="3600" w:hanging="360"/>
      </w:pPr>
      <w:rPr>
        <w:rFonts w:ascii="Courier New" w:hAnsi="Courier New" w:hint="default"/>
      </w:rPr>
    </w:lvl>
    <w:lvl w:ilvl="5" w:tplc="F550B9CC">
      <w:start w:val="1"/>
      <w:numFmt w:val="bullet"/>
      <w:lvlText w:val=""/>
      <w:lvlJc w:val="left"/>
      <w:pPr>
        <w:ind w:left="4320" w:hanging="360"/>
      </w:pPr>
      <w:rPr>
        <w:rFonts w:ascii="Wingdings" w:hAnsi="Wingdings" w:hint="default"/>
      </w:rPr>
    </w:lvl>
    <w:lvl w:ilvl="6" w:tplc="47945850">
      <w:start w:val="1"/>
      <w:numFmt w:val="bullet"/>
      <w:lvlText w:val=""/>
      <w:lvlJc w:val="left"/>
      <w:pPr>
        <w:ind w:left="5040" w:hanging="360"/>
      </w:pPr>
      <w:rPr>
        <w:rFonts w:ascii="Symbol" w:hAnsi="Symbol" w:hint="default"/>
      </w:rPr>
    </w:lvl>
    <w:lvl w:ilvl="7" w:tplc="85C43670">
      <w:start w:val="1"/>
      <w:numFmt w:val="bullet"/>
      <w:lvlText w:val="o"/>
      <w:lvlJc w:val="left"/>
      <w:pPr>
        <w:ind w:left="5760" w:hanging="360"/>
      </w:pPr>
      <w:rPr>
        <w:rFonts w:ascii="Courier New" w:hAnsi="Courier New" w:hint="default"/>
      </w:rPr>
    </w:lvl>
    <w:lvl w:ilvl="8" w:tplc="BEBCB086">
      <w:start w:val="1"/>
      <w:numFmt w:val="bullet"/>
      <w:lvlText w:val=""/>
      <w:lvlJc w:val="left"/>
      <w:pPr>
        <w:ind w:left="6480" w:hanging="360"/>
      </w:pPr>
      <w:rPr>
        <w:rFonts w:ascii="Wingdings" w:hAnsi="Wingdings" w:hint="default"/>
      </w:rPr>
    </w:lvl>
  </w:abstractNum>
  <w:abstractNum w:abstractNumId="6" w15:restartNumberingAfterBreak="0">
    <w:nsid w:val="5208AB4F"/>
    <w:multiLevelType w:val="hybridMultilevel"/>
    <w:tmpl w:val="8272C892"/>
    <w:lvl w:ilvl="0" w:tplc="03B21E6C">
      <w:start w:val="1"/>
      <w:numFmt w:val="bullet"/>
      <w:lvlText w:val=""/>
      <w:lvlJc w:val="left"/>
      <w:pPr>
        <w:ind w:left="720" w:hanging="360"/>
      </w:pPr>
      <w:rPr>
        <w:rFonts w:ascii="Symbol" w:hAnsi="Symbol" w:hint="default"/>
      </w:rPr>
    </w:lvl>
    <w:lvl w:ilvl="1" w:tplc="92A08806">
      <w:start w:val="1"/>
      <w:numFmt w:val="bullet"/>
      <w:lvlText w:val="o"/>
      <w:lvlJc w:val="left"/>
      <w:pPr>
        <w:ind w:left="1440" w:hanging="360"/>
      </w:pPr>
      <w:rPr>
        <w:rFonts w:ascii="Courier New" w:hAnsi="Courier New" w:hint="default"/>
      </w:rPr>
    </w:lvl>
    <w:lvl w:ilvl="2" w:tplc="BD74BD28">
      <w:start w:val="1"/>
      <w:numFmt w:val="bullet"/>
      <w:lvlText w:val=""/>
      <w:lvlJc w:val="left"/>
      <w:pPr>
        <w:ind w:left="2160" w:hanging="360"/>
      </w:pPr>
      <w:rPr>
        <w:rFonts w:ascii="Wingdings" w:hAnsi="Wingdings" w:hint="default"/>
      </w:rPr>
    </w:lvl>
    <w:lvl w:ilvl="3" w:tplc="4678D8AC">
      <w:start w:val="1"/>
      <w:numFmt w:val="bullet"/>
      <w:lvlText w:val=""/>
      <w:lvlJc w:val="left"/>
      <w:pPr>
        <w:ind w:left="2880" w:hanging="360"/>
      </w:pPr>
      <w:rPr>
        <w:rFonts w:ascii="Symbol" w:hAnsi="Symbol" w:hint="default"/>
      </w:rPr>
    </w:lvl>
    <w:lvl w:ilvl="4" w:tplc="DA3A5DA4">
      <w:start w:val="1"/>
      <w:numFmt w:val="bullet"/>
      <w:lvlText w:val="o"/>
      <w:lvlJc w:val="left"/>
      <w:pPr>
        <w:ind w:left="3600" w:hanging="360"/>
      </w:pPr>
      <w:rPr>
        <w:rFonts w:ascii="Courier New" w:hAnsi="Courier New" w:hint="default"/>
      </w:rPr>
    </w:lvl>
    <w:lvl w:ilvl="5" w:tplc="CC186D20">
      <w:start w:val="1"/>
      <w:numFmt w:val="bullet"/>
      <w:lvlText w:val=""/>
      <w:lvlJc w:val="left"/>
      <w:pPr>
        <w:ind w:left="4320" w:hanging="360"/>
      </w:pPr>
      <w:rPr>
        <w:rFonts w:ascii="Wingdings" w:hAnsi="Wingdings" w:hint="default"/>
      </w:rPr>
    </w:lvl>
    <w:lvl w:ilvl="6" w:tplc="DB502E42">
      <w:start w:val="1"/>
      <w:numFmt w:val="bullet"/>
      <w:lvlText w:val=""/>
      <w:lvlJc w:val="left"/>
      <w:pPr>
        <w:ind w:left="5040" w:hanging="360"/>
      </w:pPr>
      <w:rPr>
        <w:rFonts w:ascii="Symbol" w:hAnsi="Symbol" w:hint="default"/>
      </w:rPr>
    </w:lvl>
    <w:lvl w:ilvl="7" w:tplc="0040F63C">
      <w:start w:val="1"/>
      <w:numFmt w:val="bullet"/>
      <w:lvlText w:val="o"/>
      <w:lvlJc w:val="left"/>
      <w:pPr>
        <w:ind w:left="5760" w:hanging="360"/>
      </w:pPr>
      <w:rPr>
        <w:rFonts w:ascii="Courier New" w:hAnsi="Courier New" w:hint="default"/>
      </w:rPr>
    </w:lvl>
    <w:lvl w:ilvl="8" w:tplc="EE6ADD18">
      <w:start w:val="1"/>
      <w:numFmt w:val="bullet"/>
      <w:lvlText w:val=""/>
      <w:lvlJc w:val="left"/>
      <w:pPr>
        <w:ind w:left="6480" w:hanging="360"/>
      </w:pPr>
      <w:rPr>
        <w:rFonts w:ascii="Wingdings" w:hAnsi="Wingdings" w:hint="default"/>
      </w:rPr>
    </w:lvl>
  </w:abstractNum>
  <w:abstractNum w:abstractNumId="7" w15:restartNumberingAfterBreak="0">
    <w:nsid w:val="576E84F2"/>
    <w:multiLevelType w:val="hybridMultilevel"/>
    <w:tmpl w:val="BC4C307C"/>
    <w:lvl w:ilvl="0" w:tplc="648009A6">
      <w:start w:val="1"/>
      <w:numFmt w:val="bullet"/>
      <w:lvlText w:val=""/>
      <w:lvlJc w:val="left"/>
      <w:pPr>
        <w:ind w:left="720" w:hanging="360"/>
      </w:pPr>
      <w:rPr>
        <w:rFonts w:ascii="Symbol" w:hAnsi="Symbol" w:hint="default"/>
      </w:rPr>
    </w:lvl>
    <w:lvl w:ilvl="1" w:tplc="62CEDCA6">
      <w:start w:val="1"/>
      <w:numFmt w:val="bullet"/>
      <w:lvlText w:val="o"/>
      <w:lvlJc w:val="left"/>
      <w:pPr>
        <w:ind w:left="1440" w:hanging="360"/>
      </w:pPr>
      <w:rPr>
        <w:rFonts w:ascii="Courier New" w:hAnsi="Courier New" w:hint="default"/>
      </w:rPr>
    </w:lvl>
    <w:lvl w:ilvl="2" w:tplc="8DCA0552">
      <w:start w:val="1"/>
      <w:numFmt w:val="bullet"/>
      <w:lvlText w:val=""/>
      <w:lvlJc w:val="left"/>
      <w:pPr>
        <w:ind w:left="2160" w:hanging="360"/>
      </w:pPr>
      <w:rPr>
        <w:rFonts w:ascii="Wingdings" w:hAnsi="Wingdings" w:hint="default"/>
      </w:rPr>
    </w:lvl>
    <w:lvl w:ilvl="3" w:tplc="8F320DE4">
      <w:start w:val="1"/>
      <w:numFmt w:val="bullet"/>
      <w:lvlText w:val=""/>
      <w:lvlJc w:val="left"/>
      <w:pPr>
        <w:ind w:left="2880" w:hanging="360"/>
      </w:pPr>
      <w:rPr>
        <w:rFonts w:ascii="Symbol" w:hAnsi="Symbol" w:hint="default"/>
      </w:rPr>
    </w:lvl>
    <w:lvl w:ilvl="4" w:tplc="22E04DBE">
      <w:start w:val="1"/>
      <w:numFmt w:val="bullet"/>
      <w:lvlText w:val="o"/>
      <w:lvlJc w:val="left"/>
      <w:pPr>
        <w:ind w:left="3600" w:hanging="360"/>
      </w:pPr>
      <w:rPr>
        <w:rFonts w:ascii="Courier New" w:hAnsi="Courier New" w:hint="default"/>
      </w:rPr>
    </w:lvl>
    <w:lvl w:ilvl="5" w:tplc="C328631C">
      <w:start w:val="1"/>
      <w:numFmt w:val="bullet"/>
      <w:lvlText w:val=""/>
      <w:lvlJc w:val="left"/>
      <w:pPr>
        <w:ind w:left="4320" w:hanging="360"/>
      </w:pPr>
      <w:rPr>
        <w:rFonts w:ascii="Wingdings" w:hAnsi="Wingdings" w:hint="default"/>
      </w:rPr>
    </w:lvl>
    <w:lvl w:ilvl="6" w:tplc="81E2504E">
      <w:start w:val="1"/>
      <w:numFmt w:val="bullet"/>
      <w:lvlText w:val=""/>
      <w:lvlJc w:val="left"/>
      <w:pPr>
        <w:ind w:left="5040" w:hanging="360"/>
      </w:pPr>
      <w:rPr>
        <w:rFonts w:ascii="Symbol" w:hAnsi="Symbol" w:hint="default"/>
      </w:rPr>
    </w:lvl>
    <w:lvl w:ilvl="7" w:tplc="34E6CE64">
      <w:start w:val="1"/>
      <w:numFmt w:val="bullet"/>
      <w:lvlText w:val="o"/>
      <w:lvlJc w:val="left"/>
      <w:pPr>
        <w:ind w:left="5760" w:hanging="360"/>
      </w:pPr>
      <w:rPr>
        <w:rFonts w:ascii="Courier New" w:hAnsi="Courier New" w:hint="default"/>
      </w:rPr>
    </w:lvl>
    <w:lvl w:ilvl="8" w:tplc="61BA800A">
      <w:start w:val="1"/>
      <w:numFmt w:val="bullet"/>
      <w:lvlText w:val=""/>
      <w:lvlJc w:val="left"/>
      <w:pPr>
        <w:ind w:left="6480" w:hanging="360"/>
      </w:pPr>
      <w:rPr>
        <w:rFonts w:ascii="Wingdings" w:hAnsi="Wingdings" w:hint="default"/>
      </w:rPr>
    </w:lvl>
  </w:abstractNum>
  <w:abstractNum w:abstractNumId="8" w15:restartNumberingAfterBreak="0">
    <w:nsid w:val="5ADDB753"/>
    <w:multiLevelType w:val="hybridMultilevel"/>
    <w:tmpl w:val="1520CF76"/>
    <w:lvl w:ilvl="0" w:tplc="5660F668">
      <w:start w:val="1"/>
      <w:numFmt w:val="bullet"/>
      <w:lvlText w:val="-"/>
      <w:lvlJc w:val="left"/>
      <w:pPr>
        <w:ind w:left="720" w:hanging="360"/>
      </w:pPr>
      <w:rPr>
        <w:rFonts w:ascii="Calibri" w:hAnsi="Calibri" w:hint="default"/>
      </w:rPr>
    </w:lvl>
    <w:lvl w:ilvl="1" w:tplc="9F448D00">
      <w:start w:val="1"/>
      <w:numFmt w:val="bullet"/>
      <w:lvlText w:val="o"/>
      <w:lvlJc w:val="left"/>
      <w:pPr>
        <w:ind w:left="1440" w:hanging="360"/>
      </w:pPr>
      <w:rPr>
        <w:rFonts w:ascii="Courier New" w:hAnsi="Courier New" w:hint="default"/>
      </w:rPr>
    </w:lvl>
    <w:lvl w:ilvl="2" w:tplc="B63CC8D0">
      <w:start w:val="1"/>
      <w:numFmt w:val="bullet"/>
      <w:lvlText w:val=""/>
      <w:lvlJc w:val="left"/>
      <w:pPr>
        <w:ind w:left="2160" w:hanging="360"/>
      </w:pPr>
      <w:rPr>
        <w:rFonts w:ascii="Wingdings" w:hAnsi="Wingdings" w:hint="default"/>
      </w:rPr>
    </w:lvl>
    <w:lvl w:ilvl="3" w:tplc="4CD2955E">
      <w:start w:val="1"/>
      <w:numFmt w:val="bullet"/>
      <w:lvlText w:val=""/>
      <w:lvlJc w:val="left"/>
      <w:pPr>
        <w:ind w:left="2880" w:hanging="360"/>
      </w:pPr>
      <w:rPr>
        <w:rFonts w:ascii="Symbol" w:hAnsi="Symbol" w:hint="default"/>
      </w:rPr>
    </w:lvl>
    <w:lvl w:ilvl="4" w:tplc="C51EA698">
      <w:start w:val="1"/>
      <w:numFmt w:val="bullet"/>
      <w:lvlText w:val="o"/>
      <w:lvlJc w:val="left"/>
      <w:pPr>
        <w:ind w:left="3600" w:hanging="360"/>
      </w:pPr>
      <w:rPr>
        <w:rFonts w:ascii="Courier New" w:hAnsi="Courier New" w:hint="default"/>
      </w:rPr>
    </w:lvl>
    <w:lvl w:ilvl="5" w:tplc="885A56EC">
      <w:start w:val="1"/>
      <w:numFmt w:val="bullet"/>
      <w:lvlText w:val=""/>
      <w:lvlJc w:val="left"/>
      <w:pPr>
        <w:ind w:left="4320" w:hanging="360"/>
      </w:pPr>
      <w:rPr>
        <w:rFonts w:ascii="Wingdings" w:hAnsi="Wingdings" w:hint="default"/>
      </w:rPr>
    </w:lvl>
    <w:lvl w:ilvl="6" w:tplc="2AD0E4F8">
      <w:start w:val="1"/>
      <w:numFmt w:val="bullet"/>
      <w:lvlText w:val=""/>
      <w:lvlJc w:val="left"/>
      <w:pPr>
        <w:ind w:left="5040" w:hanging="360"/>
      </w:pPr>
      <w:rPr>
        <w:rFonts w:ascii="Symbol" w:hAnsi="Symbol" w:hint="default"/>
      </w:rPr>
    </w:lvl>
    <w:lvl w:ilvl="7" w:tplc="79DC58CA">
      <w:start w:val="1"/>
      <w:numFmt w:val="bullet"/>
      <w:lvlText w:val="o"/>
      <w:lvlJc w:val="left"/>
      <w:pPr>
        <w:ind w:left="5760" w:hanging="360"/>
      </w:pPr>
      <w:rPr>
        <w:rFonts w:ascii="Courier New" w:hAnsi="Courier New" w:hint="default"/>
      </w:rPr>
    </w:lvl>
    <w:lvl w:ilvl="8" w:tplc="9FD4230A">
      <w:start w:val="1"/>
      <w:numFmt w:val="bullet"/>
      <w:lvlText w:val=""/>
      <w:lvlJc w:val="left"/>
      <w:pPr>
        <w:ind w:left="6480" w:hanging="360"/>
      </w:pPr>
      <w:rPr>
        <w:rFonts w:ascii="Wingdings" w:hAnsi="Wingdings" w:hint="default"/>
      </w:rPr>
    </w:lvl>
  </w:abstractNum>
  <w:abstractNum w:abstractNumId="9" w15:restartNumberingAfterBreak="0">
    <w:nsid w:val="5ED47E85"/>
    <w:multiLevelType w:val="hybridMultilevel"/>
    <w:tmpl w:val="848A2A34"/>
    <w:lvl w:ilvl="0" w:tplc="6E982C06">
      <w:start w:val="1"/>
      <w:numFmt w:val="bullet"/>
      <w:lvlText w:val=""/>
      <w:lvlJc w:val="left"/>
      <w:pPr>
        <w:ind w:left="720" w:hanging="360"/>
      </w:pPr>
      <w:rPr>
        <w:rFonts w:ascii="Symbol" w:hAnsi="Symbol" w:hint="default"/>
      </w:rPr>
    </w:lvl>
    <w:lvl w:ilvl="1" w:tplc="39747AB4">
      <w:start w:val="1"/>
      <w:numFmt w:val="bullet"/>
      <w:lvlText w:val="o"/>
      <w:lvlJc w:val="left"/>
      <w:pPr>
        <w:ind w:left="1440" w:hanging="360"/>
      </w:pPr>
      <w:rPr>
        <w:rFonts w:ascii="Courier New" w:hAnsi="Courier New" w:hint="default"/>
      </w:rPr>
    </w:lvl>
    <w:lvl w:ilvl="2" w:tplc="B282DD3C">
      <w:start w:val="1"/>
      <w:numFmt w:val="bullet"/>
      <w:lvlText w:val=""/>
      <w:lvlJc w:val="left"/>
      <w:pPr>
        <w:ind w:left="2160" w:hanging="360"/>
      </w:pPr>
      <w:rPr>
        <w:rFonts w:ascii="Wingdings" w:hAnsi="Wingdings" w:hint="default"/>
      </w:rPr>
    </w:lvl>
    <w:lvl w:ilvl="3" w:tplc="D6B8E63A">
      <w:start w:val="1"/>
      <w:numFmt w:val="bullet"/>
      <w:lvlText w:val=""/>
      <w:lvlJc w:val="left"/>
      <w:pPr>
        <w:ind w:left="2880" w:hanging="360"/>
      </w:pPr>
      <w:rPr>
        <w:rFonts w:ascii="Symbol" w:hAnsi="Symbol" w:hint="default"/>
      </w:rPr>
    </w:lvl>
    <w:lvl w:ilvl="4" w:tplc="0152EDE2">
      <w:start w:val="1"/>
      <w:numFmt w:val="bullet"/>
      <w:lvlText w:val="o"/>
      <w:lvlJc w:val="left"/>
      <w:pPr>
        <w:ind w:left="3600" w:hanging="360"/>
      </w:pPr>
      <w:rPr>
        <w:rFonts w:ascii="Courier New" w:hAnsi="Courier New" w:hint="default"/>
      </w:rPr>
    </w:lvl>
    <w:lvl w:ilvl="5" w:tplc="81A873C6">
      <w:start w:val="1"/>
      <w:numFmt w:val="bullet"/>
      <w:lvlText w:val=""/>
      <w:lvlJc w:val="left"/>
      <w:pPr>
        <w:ind w:left="4320" w:hanging="360"/>
      </w:pPr>
      <w:rPr>
        <w:rFonts w:ascii="Wingdings" w:hAnsi="Wingdings" w:hint="default"/>
      </w:rPr>
    </w:lvl>
    <w:lvl w:ilvl="6" w:tplc="FE522E9E">
      <w:start w:val="1"/>
      <w:numFmt w:val="bullet"/>
      <w:lvlText w:val=""/>
      <w:lvlJc w:val="left"/>
      <w:pPr>
        <w:ind w:left="5040" w:hanging="360"/>
      </w:pPr>
      <w:rPr>
        <w:rFonts w:ascii="Symbol" w:hAnsi="Symbol" w:hint="default"/>
      </w:rPr>
    </w:lvl>
    <w:lvl w:ilvl="7" w:tplc="CE820A02">
      <w:start w:val="1"/>
      <w:numFmt w:val="bullet"/>
      <w:lvlText w:val="o"/>
      <w:lvlJc w:val="left"/>
      <w:pPr>
        <w:ind w:left="5760" w:hanging="360"/>
      </w:pPr>
      <w:rPr>
        <w:rFonts w:ascii="Courier New" w:hAnsi="Courier New" w:hint="default"/>
      </w:rPr>
    </w:lvl>
    <w:lvl w:ilvl="8" w:tplc="4EA2EBC8">
      <w:start w:val="1"/>
      <w:numFmt w:val="bullet"/>
      <w:lvlText w:val=""/>
      <w:lvlJc w:val="left"/>
      <w:pPr>
        <w:ind w:left="6480" w:hanging="360"/>
      </w:pPr>
      <w:rPr>
        <w:rFonts w:ascii="Wingdings" w:hAnsi="Wingdings" w:hint="default"/>
      </w:rPr>
    </w:lvl>
  </w:abstractNum>
  <w:abstractNum w:abstractNumId="10" w15:restartNumberingAfterBreak="0">
    <w:nsid w:val="65184EE0"/>
    <w:multiLevelType w:val="hybridMultilevel"/>
    <w:tmpl w:val="1444D112"/>
    <w:lvl w:ilvl="0" w:tplc="4BDA5C06">
      <w:start w:val="1"/>
      <w:numFmt w:val="bullet"/>
      <w:lvlText w:val=""/>
      <w:lvlJc w:val="left"/>
      <w:pPr>
        <w:ind w:left="720" w:hanging="360"/>
      </w:pPr>
      <w:rPr>
        <w:rFonts w:ascii="Symbol" w:hAnsi="Symbol" w:hint="default"/>
      </w:rPr>
    </w:lvl>
    <w:lvl w:ilvl="1" w:tplc="B7023D4E">
      <w:start w:val="1"/>
      <w:numFmt w:val="bullet"/>
      <w:lvlText w:val="o"/>
      <w:lvlJc w:val="left"/>
      <w:pPr>
        <w:ind w:left="1440" w:hanging="360"/>
      </w:pPr>
      <w:rPr>
        <w:rFonts w:ascii="Courier New" w:hAnsi="Courier New" w:hint="default"/>
      </w:rPr>
    </w:lvl>
    <w:lvl w:ilvl="2" w:tplc="6644D0AC">
      <w:start w:val="1"/>
      <w:numFmt w:val="bullet"/>
      <w:lvlText w:val=""/>
      <w:lvlJc w:val="left"/>
      <w:pPr>
        <w:ind w:left="2160" w:hanging="360"/>
      </w:pPr>
      <w:rPr>
        <w:rFonts w:ascii="Wingdings" w:hAnsi="Wingdings" w:hint="default"/>
      </w:rPr>
    </w:lvl>
    <w:lvl w:ilvl="3" w:tplc="0FB623B4">
      <w:start w:val="1"/>
      <w:numFmt w:val="bullet"/>
      <w:lvlText w:val=""/>
      <w:lvlJc w:val="left"/>
      <w:pPr>
        <w:ind w:left="2880" w:hanging="360"/>
      </w:pPr>
      <w:rPr>
        <w:rFonts w:ascii="Symbol" w:hAnsi="Symbol" w:hint="default"/>
      </w:rPr>
    </w:lvl>
    <w:lvl w:ilvl="4" w:tplc="2F82E970">
      <w:start w:val="1"/>
      <w:numFmt w:val="bullet"/>
      <w:lvlText w:val="o"/>
      <w:lvlJc w:val="left"/>
      <w:pPr>
        <w:ind w:left="3600" w:hanging="360"/>
      </w:pPr>
      <w:rPr>
        <w:rFonts w:ascii="Courier New" w:hAnsi="Courier New" w:hint="default"/>
      </w:rPr>
    </w:lvl>
    <w:lvl w:ilvl="5" w:tplc="F08E4012">
      <w:start w:val="1"/>
      <w:numFmt w:val="bullet"/>
      <w:lvlText w:val=""/>
      <w:lvlJc w:val="left"/>
      <w:pPr>
        <w:ind w:left="4320" w:hanging="360"/>
      </w:pPr>
      <w:rPr>
        <w:rFonts w:ascii="Wingdings" w:hAnsi="Wingdings" w:hint="default"/>
      </w:rPr>
    </w:lvl>
    <w:lvl w:ilvl="6" w:tplc="67327DC0">
      <w:start w:val="1"/>
      <w:numFmt w:val="bullet"/>
      <w:lvlText w:val=""/>
      <w:lvlJc w:val="left"/>
      <w:pPr>
        <w:ind w:left="5040" w:hanging="360"/>
      </w:pPr>
      <w:rPr>
        <w:rFonts w:ascii="Symbol" w:hAnsi="Symbol" w:hint="default"/>
      </w:rPr>
    </w:lvl>
    <w:lvl w:ilvl="7" w:tplc="AD2E3AA6">
      <w:start w:val="1"/>
      <w:numFmt w:val="bullet"/>
      <w:lvlText w:val="o"/>
      <w:lvlJc w:val="left"/>
      <w:pPr>
        <w:ind w:left="5760" w:hanging="360"/>
      </w:pPr>
      <w:rPr>
        <w:rFonts w:ascii="Courier New" w:hAnsi="Courier New" w:hint="default"/>
      </w:rPr>
    </w:lvl>
    <w:lvl w:ilvl="8" w:tplc="757A57FE">
      <w:start w:val="1"/>
      <w:numFmt w:val="bullet"/>
      <w:lvlText w:val=""/>
      <w:lvlJc w:val="left"/>
      <w:pPr>
        <w:ind w:left="6480" w:hanging="360"/>
      </w:pPr>
      <w:rPr>
        <w:rFonts w:ascii="Wingdings" w:hAnsi="Wingdings" w:hint="default"/>
      </w:rPr>
    </w:lvl>
  </w:abstractNum>
  <w:abstractNum w:abstractNumId="11" w15:restartNumberingAfterBreak="0">
    <w:nsid w:val="6DAC4512"/>
    <w:multiLevelType w:val="hybridMultilevel"/>
    <w:tmpl w:val="4132AAE0"/>
    <w:lvl w:ilvl="0" w:tplc="F0D49456">
      <w:start w:val="1"/>
      <w:numFmt w:val="decimal"/>
      <w:lvlText w:val="%1."/>
      <w:lvlJc w:val="left"/>
      <w:pPr>
        <w:ind w:left="720" w:hanging="360"/>
      </w:pPr>
    </w:lvl>
    <w:lvl w:ilvl="1" w:tplc="249A7576">
      <w:start w:val="1"/>
      <w:numFmt w:val="lowerLetter"/>
      <w:lvlText w:val="%2."/>
      <w:lvlJc w:val="left"/>
      <w:pPr>
        <w:ind w:left="1440" w:hanging="360"/>
      </w:pPr>
    </w:lvl>
    <w:lvl w:ilvl="2" w:tplc="A20422B2">
      <w:start w:val="1"/>
      <w:numFmt w:val="lowerRoman"/>
      <w:lvlText w:val="%3."/>
      <w:lvlJc w:val="right"/>
      <w:pPr>
        <w:ind w:left="2160" w:hanging="180"/>
      </w:pPr>
    </w:lvl>
    <w:lvl w:ilvl="3" w:tplc="4754E1C8">
      <w:start w:val="1"/>
      <w:numFmt w:val="decimal"/>
      <w:lvlText w:val="%4."/>
      <w:lvlJc w:val="left"/>
      <w:pPr>
        <w:ind w:left="2880" w:hanging="360"/>
      </w:pPr>
    </w:lvl>
    <w:lvl w:ilvl="4" w:tplc="57107FD2">
      <w:start w:val="1"/>
      <w:numFmt w:val="lowerLetter"/>
      <w:lvlText w:val="%5."/>
      <w:lvlJc w:val="left"/>
      <w:pPr>
        <w:ind w:left="3600" w:hanging="360"/>
      </w:pPr>
    </w:lvl>
    <w:lvl w:ilvl="5" w:tplc="2BB65BDE">
      <w:start w:val="1"/>
      <w:numFmt w:val="lowerRoman"/>
      <w:lvlText w:val="%6."/>
      <w:lvlJc w:val="right"/>
      <w:pPr>
        <w:ind w:left="4320" w:hanging="180"/>
      </w:pPr>
    </w:lvl>
    <w:lvl w:ilvl="6" w:tplc="C73E47C4">
      <w:start w:val="1"/>
      <w:numFmt w:val="decimal"/>
      <w:lvlText w:val="%7."/>
      <w:lvlJc w:val="left"/>
      <w:pPr>
        <w:ind w:left="5040" w:hanging="360"/>
      </w:pPr>
    </w:lvl>
    <w:lvl w:ilvl="7" w:tplc="B77479CA">
      <w:start w:val="1"/>
      <w:numFmt w:val="lowerLetter"/>
      <w:lvlText w:val="%8."/>
      <w:lvlJc w:val="left"/>
      <w:pPr>
        <w:ind w:left="5760" w:hanging="360"/>
      </w:pPr>
    </w:lvl>
    <w:lvl w:ilvl="8" w:tplc="CCC8C730">
      <w:start w:val="1"/>
      <w:numFmt w:val="lowerRoman"/>
      <w:lvlText w:val="%9."/>
      <w:lvlJc w:val="right"/>
      <w:pPr>
        <w:ind w:left="6480" w:hanging="180"/>
      </w:pPr>
    </w:lvl>
  </w:abstractNum>
  <w:abstractNum w:abstractNumId="12" w15:restartNumberingAfterBreak="0">
    <w:nsid w:val="79A145A5"/>
    <w:multiLevelType w:val="hybridMultilevel"/>
    <w:tmpl w:val="7D78C71A"/>
    <w:lvl w:ilvl="0" w:tplc="AC1E7CFA">
      <w:start w:val="1"/>
      <w:numFmt w:val="bullet"/>
      <w:lvlText w:val="-"/>
      <w:lvlJc w:val="left"/>
      <w:pPr>
        <w:ind w:left="720" w:hanging="360"/>
      </w:pPr>
      <w:rPr>
        <w:rFonts w:ascii="Calibri" w:hAnsi="Calibri" w:hint="default"/>
      </w:rPr>
    </w:lvl>
    <w:lvl w:ilvl="1" w:tplc="08BC84EC">
      <w:start w:val="1"/>
      <w:numFmt w:val="bullet"/>
      <w:lvlText w:val="o"/>
      <w:lvlJc w:val="left"/>
      <w:pPr>
        <w:ind w:left="1440" w:hanging="360"/>
      </w:pPr>
      <w:rPr>
        <w:rFonts w:ascii="Courier New" w:hAnsi="Courier New" w:hint="default"/>
      </w:rPr>
    </w:lvl>
    <w:lvl w:ilvl="2" w:tplc="F378FFC2">
      <w:start w:val="1"/>
      <w:numFmt w:val="bullet"/>
      <w:lvlText w:val=""/>
      <w:lvlJc w:val="left"/>
      <w:pPr>
        <w:ind w:left="2160" w:hanging="360"/>
      </w:pPr>
      <w:rPr>
        <w:rFonts w:ascii="Wingdings" w:hAnsi="Wingdings" w:hint="default"/>
      </w:rPr>
    </w:lvl>
    <w:lvl w:ilvl="3" w:tplc="44BAE492">
      <w:start w:val="1"/>
      <w:numFmt w:val="bullet"/>
      <w:lvlText w:val=""/>
      <w:lvlJc w:val="left"/>
      <w:pPr>
        <w:ind w:left="2880" w:hanging="360"/>
      </w:pPr>
      <w:rPr>
        <w:rFonts w:ascii="Symbol" w:hAnsi="Symbol" w:hint="default"/>
      </w:rPr>
    </w:lvl>
    <w:lvl w:ilvl="4" w:tplc="3222D1BE">
      <w:start w:val="1"/>
      <w:numFmt w:val="bullet"/>
      <w:lvlText w:val="o"/>
      <w:lvlJc w:val="left"/>
      <w:pPr>
        <w:ind w:left="3600" w:hanging="360"/>
      </w:pPr>
      <w:rPr>
        <w:rFonts w:ascii="Courier New" w:hAnsi="Courier New" w:hint="default"/>
      </w:rPr>
    </w:lvl>
    <w:lvl w:ilvl="5" w:tplc="DE1439A0">
      <w:start w:val="1"/>
      <w:numFmt w:val="bullet"/>
      <w:lvlText w:val=""/>
      <w:lvlJc w:val="left"/>
      <w:pPr>
        <w:ind w:left="4320" w:hanging="360"/>
      </w:pPr>
      <w:rPr>
        <w:rFonts w:ascii="Wingdings" w:hAnsi="Wingdings" w:hint="default"/>
      </w:rPr>
    </w:lvl>
    <w:lvl w:ilvl="6" w:tplc="1FEAA984">
      <w:start w:val="1"/>
      <w:numFmt w:val="bullet"/>
      <w:lvlText w:val=""/>
      <w:lvlJc w:val="left"/>
      <w:pPr>
        <w:ind w:left="5040" w:hanging="360"/>
      </w:pPr>
      <w:rPr>
        <w:rFonts w:ascii="Symbol" w:hAnsi="Symbol" w:hint="default"/>
      </w:rPr>
    </w:lvl>
    <w:lvl w:ilvl="7" w:tplc="AE32275A">
      <w:start w:val="1"/>
      <w:numFmt w:val="bullet"/>
      <w:lvlText w:val="o"/>
      <w:lvlJc w:val="left"/>
      <w:pPr>
        <w:ind w:left="5760" w:hanging="360"/>
      </w:pPr>
      <w:rPr>
        <w:rFonts w:ascii="Courier New" w:hAnsi="Courier New" w:hint="default"/>
      </w:rPr>
    </w:lvl>
    <w:lvl w:ilvl="8" w:tplc="3364CCFC">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6"/>
  </w:num>
  <w:num w:numId="5">
    <w:abstractNumId w:val="9"/>
  </w:num>
  <w:num w:numId="6">
    <w:abstractNumId w:val="10"/>
  </w:num>
  <w:num w:numId="7">
    <w:abstractNumId w:val="3"/>
  </w:num>
  <w:num w:numId="8">
    <w:abstractNumId w:val="7"/>
  </w:num>
  <w:num w:numId="9">
    <w:abstractNumId w:val="5"/>
  </w:num>
  <w:num w:numId="10">
    <w:abstractNumId w:val="1"/>
  </w:num>
  <w:num w:numId="11">
    <w:abstractNumId w:val="4"/>
  </w:num>
  <w:num w:numId="12">
    <w:abstractNumId w:val="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rong Zhang">
    <w15:presenceInfo w15:providerId="AD" w15:userId="S::zhangxr@stanford.edu::cfea69cb-756e-4756-852f-8c75702e45be"/>
  </w15:person>
  <w15:person w15:author="Joanne Kimiko Liu [2]">
    <w15:presenceInfo w15:providerId="AD" w15:userId="S::joannekl@stanford.edu::7f179e67-cd76-4111-a7a8-703337675fdc"/>
  </w15:person>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38E1"/>
    <w:rsid w:val="00022014"/>
    <w:rsid w:val="0003020D"/>
    <w:rsid w:val="00044B59"/>
    <w:rsid w:val="00044C00"/>
    <w:rsid w:val="000452E0"/>
    <w:rsid w:val="00045675"/>
    <w:rsid w:val="00047FD5"/>
    <w:rsid w:val="000545B7"/>
    <w:rsid w:val="00055964"/>
    <w:rsid w:val="00055D28"/>
    <w:rsid w:val="000561B1"/>
    <w:rsid w:val="00057D40"/>
    <w:rsid w:val="00062715"/>
    <w:rsid w:val="00064D43"/>
    <w:rsid w:val="000655C7"/>
    <w:rsid w:val="00076A2C"/>
    <w:rsid w:val="00084832"/>
    <w:rsid w:val="000A464F"/>
    <w:rsid w:val="000A4672"/>
    <w:rsid w:val="000C35D1"/>
    <w:rsid w:val="000E1924"/>
    <w:rsid w:val="000F4930"/>
    <w:rsid w:val="000F56C8"/>
    <w:rsid w:val="00102FDB"/>
    <w:rsid w:val="00103507"/>
    <w:rsid w:val="00121ACF"/>
    <w:rsid w:val="00131181"/>
    <w:rsid w:val="00140871"/>
    <w:rsid w:val="00141736"/>
    <w:rsid w:val="0015182F"/>
    <w:rsid w:val="00153355"/>
    <w:rsid w:val="001546F0"/>
    <w:rsid w:val="00174CC5"/>
    <w:rsid w:val="00181A32"/>
    <w:rsid w:val="00181D03"/>
    <w:rsid w:val="001832C0"/>
    <w:rsid w:val="00183A38"/>
    <w:rsid w:val="001861D2"/>
    <w:rsid w:val="00186346"/>
    <w:rsid w:val="001A2892"/>
    <w:rsid w:val="001B1AD6"/>
    <w:rsid w:val="001D5793"/>
    <w:rsid w:val="001D60F4"/>
    <w:rsid w:val="001E006B"/>
    <w:rsid w:val="001E0695"/>
    <w:rsid w:val="001E22BF"/>
    <w:rsid w:val="0020175E"/>
    <w:rsid w:val="00205B8D"/>
    <w:rsid w:val="002075BA"/>
    <w:rsid w:val="0021068A"/>
    <w:rsid w:val="00210DF4"/>
    <w:rsid w:val="00216871"/>
    <w:rsid w:val="0022362E"/>
    <w:rsid w:val="0023742B"/>
    <w:rsid w:val="002419FC"/>
    <w:rsid w:val="0026073E"/>
    <w:rsid w:val="002762FB"/>
    <w:rsid w:val="00286130"/>
    <w:rsid w:val="002A71C5"/>
    <w:rsid w:val="002C0D88"/>
    <w:rsid w:val="002C64BB"/>
    <w:rsid w:val="002E4E10"/>
    <w:rsid w:val="002E7316"/>
    <w:rsid w:val="002F37D9"/>
    <w:rsid w:val="00301539"/>
    <w:rsid w:val="00310C8E"/>
    <w:rsid w:val="003138E3"/>
    <w:rsid w:val="00316CB3"/>
    <w:rsid w:val="00331D3E"/>
    <w:rsid w:val="003344BE"/>
    <w:rsid w:val="00334DB3"/>
    <w:rsid w:val="0034344A"/>
    <w:rsid w:val="003610A4"/>
    <w:rsid w:val="00371697"/>
    <w:rsid w:val="00375A96"/>
    <w:rsid w:val="0038341E"/>
    <w:rsid w:val="0039096F"/>
    <w:rsid w:val="003A37A6"/>
    <w:rsid w:val="003A63D6"/>
    <w:rsid w:val="003A640B"/>
    <w:rsid w:val="003A712C"/>
    <w:rsid w:val="003B203B"/>
    <w:rsid w:val="003B54DC"/>
    <w:rsid w:val="003B7EC7"/>
    <w:rsid w:val="003E07AE"/>
    <w:rsid w:val="003E5247"/>
    <w:rsid w:val="003E621E"/>
    <w:rsid w:val="003E6CF9"/>
    <w:rsid w:val="003F604D"/>
    <w:rsid w:val="00400CEF"/>
    <w:rsid w:val="004037F9"/>
    <w:rsid w:val="00412F21"/>
    <w:rsid w:val="0041383C"/>
    <w:rsid w:val="0043207D"/>
    <w:rsid w:val="00447F5F"/>
    <w:rsid w:val="004756FA"/>
    <w:rsid w:val="00491F3E"/>
    <w:rsid w:val="00492BBF"/>
    <w:rsid w:val="004A2F3A"/>
    <w:rsid w:val="004A7010"/>
    <w:rsid w:val="004D0389"/>
    <w:rsid w:val="004D6F02"/>
    <w:rsid w:val="004D6FC0"/>
    <w:rsid w:val="004E6EC9"/>
    <w:rsid w:val="004F25ED"/>
    <w:rsid w:val="005006C2"/>
    <w:rsid w:val="00535861"/>
    <w:rsid w:val="005411B1"/>
    <w:rsid w:val="00546723"/>
    <w:rsid w:val="00556AB4"/>
    <w:rsid w:val="0056539B"/>
    <w:rsid w:val="005716F9"/>
    <w:rsid w:val="00581C54"/>
    <w:rsid w:val="00583245"/>
    <w:rsid w:val="00583AEB"/>
    <w:rsid w:val="00584181"/>
    <w:rsid w:val="005947B3"/>
    <w:rsid w:val="005A0A1C"/>
    <w:rsid w:val="005A171F"/>
    <w:rsid w:val="005A696B"/>
    <w:rsid w:val="005B64C4"/>
    <w:rsid w:val="005C0E6D"/>
    <w:rsid w:val="005C3F34"/>
    <w:rsid w:val="005D7402"/>
    <w:rsid w:val="005F7839"/>
    <w:rsid w:val="0061263B"/>
    <w:rsid w:val="0061636B"/>
    <w:rsid w:val="0062246E"/>
    <w:rsid w:val="00628445"/>
    <w:rsid w:val="0063458E"/>
    <w:rsid w:val="00642B1E"/>
    <w:rsid w:val="00645343"/>
    <w:rsid w:val="006461E6"/>
    <w:rsid w:val="00672FD1"/>
    <w:rsid w:val="006854A3"/>
    <w:rsid w:val="006943DE"/>
    <w:rsid w:val="00695408"/>
    <w:rsid w:val="00695607"/>
    <w:rsid w:val="006972B8"/>
    <w:rsid w:val="00697E55"/>
    <w:rsid w:val="006A18A5"/>
    <w:rsid w:val="006A60D4"/>
    <w:rsid w:val="006B308A"/>
    <w:rsid w:val="006C3D69"/>
    <w:rsid w:val="006C51CE"/>
    <w:rsid w:val="007136B4"/>
    <w:rsid w:val="00714280"/>
    <w:rsid w:val="00717C63"/>
    <w:rsid w:val="00720BC4"/>
    <w:rsid w:val="0073070F"/>
    <w:rsid w:val="00737321"/>
    <w:rsid w:val="00740FCA"/>
    <w:rsid w:val="00741505"/>
    <w:rsid w:val="0074556D"/>
    <w:rsid w:val="00746E1D"/>
    <w:rsid w:val="00753071"/>
    <w:rsid w:val="00753ABF"/>
    <w:rsid w:val="00763A53"/>
    <w:rsid w:val="00764F47"/>
    <w:rsid w:val="007757E4"/>
    <w:rsid w:val="00781971"/>
    <w:rsid w:val="00786397"/>
    <w:rsid w:val="007A19A3"/>
    <w:rsid w:val="007B4F77"/>
    <w:rsid w:val="007C0890"/>
    <w:rsid w:val="007D0290"/>
    <w:rsid w:val="007D143C"/>
    <w:rsid w:val="007D1E43"/>
    <w:rsid w:val="007D4C5D"/>
    <w:rsid w:val="007D7663"/>
    <w:rsid w:val="007E2815"/>
    <w:rsid w:val="007F7B88"/>
    <w:rsid w:val="00807405"/>
    <w:rsid w:val="008177C2"/>
    <w:rsid w:val="00823EA6"/>
    <w:rsid w:val="00824B69"/>
    <w:rsid w:val="008408E0"/>
    <w:rsid w:val="0084557B"/>
    <w:rsid w:val="00845759"/>
    <w:rsid w:val="00883002"/>
    <w:rsid w:val="008A2B10"/>
    <w:rsid w:val="008A6CBE"/>
    <w:rsid w:val="008B3CA2"/>
    <w:rsid w:val="008B5CE4"/>
    <w:rsid w:val="008C076A"/>
    <w:rsid w:val="008C3F4A"/>
    <w:rsid w:val="008C52C2"/>
    <w:rsid w:val="008D0323"/>
    <w:rsid w:val="008F3EB5"/>
    <w:rsid w:val="00900522"/>
    <w:rsid w:val="00902243"/>
    <w:rsid w:val="0090304F"/>
    <w:rsid w:val="00903461"/>
    <w:rsid w:val="00910F83"/>
    <w:rsid w:val="00911FF5"/>
    <w:rsid w:val="00925293"/>
    <w:rsid w:val="00937551"/>
    <w:rsid w:val="00940076"/>
    <w:rsid w:val="00942B67"/>
    <w:rsid w:val="009578C0"/>
    <w:rsid w:val="00963A02"/>
    <w:rsid w:val="00970B1D"/>
    <w:rsid w:val="009948D8"/>
    <w:rsid w:val="00994D70"/>
    <w:rsid w:val="009A1AB6"/>
    <w:rsid w:val="009A3718"/>
    <w:rsid w:val="009B1B0F"/>
    <w:rsid w:val="009B4E21"/>
    <w:rsid w:val="009C1059"/>
    <w:rsid w:val="009C6AD4"/>
    <w:rsid w:val="009E4137"/>
    <w:rsid w:val="009E4C1E"/>
    <w:rsid w:val="009F3945"/>
    <w:rsid w:val="00A02E9B"/>
    <w:rsid w:val="00A053CD"/>
    <w:rsid w:val="00A066C1"/>
    <w:rsid w:val="00A157B9"/>
    <w:rsid w:val="00A218A7"/>
    <w:rsid w:val="00A229B8"/>
    <w:rsid w:val="00A256CC"/>
    <w:rsid w:val="00A3475F"/>
    <w:rsid w:val="00A45E70"/>
    <w:rsid w:val="00A57C21"/>
    <w:rsid w:val="00A636DF"/>
    <w:rsid w:val="00A659E5"/>
    <w:rsid w:val="00A71928"/>
    <w:rsid w:val="00A721E8"/>
    <w:rsid w:val="00A76864"/>
    <w:rsid w:val="00A771CC"/>
    <w:rsid w:val="00A82B37"/>
    <w:rsid w:val="00A86B19"/>
    <w:rsid w:val="00A90972"/>
    <w:rsid w:val="00A93FE2"/>
    <w:rsid w:val="00A972F3"/>
    <w:rsid w:val="00AA3CC2"/>
    <w:rsid w:val="00AA7A20"/>
    <w:rsid w:val="00AB2E9C"/>
    <w:rsid w:val="00AC3C45"/>
    <w:rsid w:val="00AC5C01"/>
    <w:rsid w:val="00AC70F4"/>
    <w:rsid w:val="00AD593D"/>
    <w:rsid w:val="00AD7750"/>
    <w:rsid w:val="00AE468F"/>
    <w:rsid w:val="00AE49D0"/>
    <w:rsid w:val="00AF023D"/>
    <w:rsid w:val="00AF126C"/>
    <w:rsid w:val="00AF22FA"/>
    <w:rsid w:val="00AF25E5"/>
    <w:rsid w:val="00B022EC"/>
    <w:rsid w:val="00B06DD9"/>
    <w:rsid w:val="00B10EB1"/>
    <w:rsid w:val="00B1614F"/>
    <w:rsid w:val="00B23E24"/>
    <w:rsid w:val="00B47C3A"/>
    <w:rsid w:val="00B64D8E"/>
    <w:rsid w:val="00B77B32"/>
    <w:rsid w:val="00B81CC0"/>
    <w:rsid w:val="00B85BDE"/>
    <w:rsid w:val="00B926CF"/>
    <w:rsid w:val="00B92AA7"/>
    <w:rsid w:val="00BA3400"/>
    <w:rsid w:val="00BB6A2C"/>
    <w:rsid w:val="00BC1D88"/>
    <w:rsid w:val="00BC665D"/>
    <w:rsid w:val="00BE0888"/>
    <w:rsid w:val="00BE44E6"/>
    <w:rsid w:val="00BF1B86"/>
    <w:rsid w:val="00C05337"/>
    <w:rsid w:val="00C16101"/>
    <w:rsid w:val="00C21382"/>
    <w:rsid w:val="00C26686"/>
    <w:rsid w:val="00C418E7"/>
    <w:rsid w:val="00C449E5"/>
    <w:rsid w:val="00C4533E"/>
    <w:rsid w:val="00C45DAC"/>
    <w:rsid w:val="00C86AD3"/>
    <w:rsid w:val="00CA7EE6"/>
    <w:rsid w:val="00CB3DA9"/>
    <w:rsid w:val="00CD02C8"/>
    <w:rsid w:val="00CD381E"/>
    <w:rsid w:val="00CD4308"/>
    <w:rsid w:val="00CD4E86"/>
    <w:rsid w:val="00CE2E32"/>
    <w:rsid w:val="00CE5087"/>
    <w:rsid w:val="00CE650D"/>
    <w:rsid w:val="00CE73EC"/>
    <w:rsid w:val="00CE796A"/>
    <w:rsid w:val="00CF3A1B"/>
    <w:rsid w:val="00CF4656"/>
    <w:rsid w:val="00CF560B"/>
    <w:rsid w:val="00CF6FAC"/>
    <w:rsid w:val="00D1010D"/>
    <w:rsid w:val="00D162A8"/>
    <w:rsid w:val="00D22E1B"/>
    <w:rsid w:val="00D27907"/>
    <w:rsid w:val="00D32891"/>
    <w:rsid w:val="00D33177"/>
    <w:rsid w:val="00D366AA"/>
    <w:rsid w:val="00D433D8"/>
    <w:rsid w:val="00D5559F"/>
    <w:rsid w:val="00D574DF"/>
    <w:rsid w:val="00D704F5"/>
    <w:rsid w:val="00D713CB"/>
    <w:rsid w:val="00D754BA"/>
    <w:rsid w:val="00D775A2"/>
    <w:rsid w:val="00D814F5"/>
    <w:rsid w:val="00D8787F"/>
    <w:rsid w:val="00D87B05"/>
    <w:rsid w:val="00D91075"/>
    <w:rsid w:val="00DA32BF"/>
    <w:rsid w:val="00DA606C"/>
    <w:rsid w:val="00DC4369"/>
    <w:rsid w:val="00DC7CAE"/>
    <w:rsid w:val="00DD2928"/>
    <w:rsid w:val="00DD6411"/>
    <w:rsid w:val="00DE2CE1"/>
    <w:rsid w:val="00DE6DD8"/>
    <w:rsid w:val="00DF0810"/>
    <w:rsid w:val="00E07D16"/>
    <w:rsid w:val="00E2529E"/>
    <w:rsid w:val="00E332FD"/>
    <w:rsid w:val="00E35028"/>
    <w:rsid w:val="00E46242"/>
    <w:rsid w:val="00E653C7"/>
    <w:rsid w:val="00E663A0"/>
    <w:rsid w:val="00E82AA2"/>
    <w:rsid w:val="00E84AD1"/>
    <w:rsid w:val="00E926D7"/>
    <w:rsid w:val="00EA0B73"/>
    <w:rsid w:val="00EA2AB4"/>
    <w:rsid w:val="00EB4B72"/>
    <w:rsid w:val="00ED2544"/>
    <w:rsid w:val="00ED37D4"/>
    <w:rsid w:val="00EE3A5E"/>
    <w:rsid w:val="00EE6E42"/>
    <w:rsid w:val="00EF3505"/>
    <w:rsid w:val="00EF5CB9"/>
    <w:rsid w:val="00F0292A"/>
    <w:rsid w:val="00F061F2"/>
    <w:rsid w:val="00F16FA5"/>
    <w:rsid w:val="00F1737E"/>
    <w:rsid w:val="00F2178C"/>
    <w:rsid w:val="00F22EED"/>
    <w:rsid w:val="00F3168B"/>
    <w:rsid w:val="00F376CA"/>
    <w:rsid w:val="00F46937"/>
    <w:rsid w:val="00F46B51"/>
    <w:rsid w:val="00F51D0F"/>
    <w:rsid w:val="00F53554"/>
    <w:rsid w:val="00F56E89"/>
    <w:rsid w:val="00F729E6"/>
    <w:rsid w:val="00F76CE2"/>
    <w:rsid w:val="00F944FE"/>
    <w:rsid w:val="00F96DD9"/>
    <w:rsid w:val="00FA0ECD"/>
    <w:rsid w:val="00FB7E3F"/>
    <w:rsid w:val="00FC63E7"/>
    <w:rsid w:val="020AC8BA"/>
    <w:rsid w:val="0242BCBC"/>
    <w:rsid w:val="03099F23"/>
    <w:rsid w:val="0424FE48"/>
    <w:rsid w:val="0456681B"/>
    <w:rsid w:val="05659669"/>
    <w:rsid w:val="05895591"/>
    <w:rsid w:val="06E7AAE2"/>
    <w:rsid w:val="07856D9A"/>
    <w:rsid w:val="078F7574"/>
    <w:rsid w:val="08299EDA"/>
    <w:rsid w:val="0898BBD2"/>
    <w:rsid w:val="08F8F9CC"/>
    <w:rsid w:val="09BB764F"/>
    <w:rsid w:val="09EFB4FC"/>
    <w:rsid w:val="09F321BD"/>
    <w:rsid w:val="0A28587D"/>
    <w:rsid w:val="0A4CECF0"/>
    <w:rsid w:val="0AE3949F"/>
    <w:rsid w:val="0DDDE8AE"/>
    <w:rsid w:val="0F130D8B"/>
    <w:rsid w:val="1001EE3A"/>
    <w:rsid w:val="104EEFA1"/>
    <w:rsid w:val="11407451"/>
    <w:rsid w:val="11609EFF"/>
    <w:rsid w:val="12AF2F44"/>
    <w:rsid w:val="13203301"/>
    <w:rsid w:val="1337F62F"/>
    <w:rsid w:val="1369BCDE"/>
    <w:rsid w:val="13799A25"/>
    <w:rsid w:val="138A64C1"/>
    <w:rsid w:val="13C2DE36"/>
    <w:rsid w:val="1410B8FD"/>
    <w:rsid w:val="144DE0CD"/>
    <w:rsid w:val="14711749"/>
    <w:rsid w:val="14F371A0"/>
    <w:rsid w:val="15C3DC53"/>
    <w:rsid w:val="15C7EC51"/>
    <w:rsid w:val="15CC1F5B"/>
    <w:rsid w:val="16726BC0"/>
    <w:rsid w:val="17804D77"/>
    <w:rsid w:val="17EC4E1B"/>
    <w:rsid w:val="182B865A"/>
    <w:rsid w:val="1862E045"/>
    <w:rsid w:val="187B0F17"/>
    <w:rsid w:val="1890523D"/>
    <w:rsid w:val="18F77B1C"/>
    <w:rsid w:val="194F12D4"/>
    <w:rsid w:val="1A3C3C74"/>
    <w:rsid w:val="1A6D5DD1"/>
    <w:rsid w:val="1BD3D1D0"/>
    <w:rsid w:val="1C5C0306"/>
    <w:rsid w:val="1CABF3BE"/>
    <w:rsid w:val="1CACDF65"/>
    <w:rsid w:val="1E026AE5"/>
    <w:rsid w:val="1F109294"/>
    <w:rsid w:val="1F422B6F"/>
    <w:rsid w:val="1F6FA9BE"/>
    <w:rsid w:val="1FAA36C5"/>
    <w:rsid w:val="20232AE9"/>
    <w:rsid w:val="208F7070"/>
    <w:rsid w:val="209CBB5F"/>
    <w:rsid w:val="20CDB36A"/>
    <w:rsid w:val="2144CB5B"/>
    <w:rsid w:val="21FEC4C5"/>
    <w:rsid w:val="222894B4"/>
    <w:rsid w:val="226AB9F8"/>
    <w:rsid w:val="22D12EF8"/>
    <w:rsid w:val="2313B4E1"/>
    <w:rsid w:val="235BDFB4"/>
    <w:rsid w:val="237A1545"/>
    <w:rsid w:val="23B4B790"/>
    <w:rsid w:val="24446FD0"/>
    <w:rsid w:val="24D0A102"/>
    <w:rsid w:val="256807AB"/>
    <w:rsid w:val="26521D36"/>
    <w:rsid w:val="2722E30D"/>
    <w:rsid w:val="277AFB34"/>
    <w:rsid w:val="27A94172"/>
    <w:rsid w:val="27F363B1"/>
    <w:rsid w:val="288C9384"/>
    <w:rsid w:val="290BEB72"/>
    <w:rsid w:val="29FFB3CA"/>
    <w:rsid w:val="2B08A518"/>
    <w:rsid w:val="2B6DCFE6"/>
    <w:rsid w:val="2C34D708"/>
    <w:rsid w:val="2C810CB1"/>
    <w:rsid w:val="2D19C48D"/>
    <w:rsid w:val="2D65E60D"/>
    <w:rsid w:val="2D804282"/>
    <w:rsid w:val="2E056CB6"/>
    <w:rsid w:val="2E237160"/>
    <w:rsid w:val="2E375AA4"/>
    <w:rsid w:val="2E9E299A"/>
    <w:rsid w:val="2EDDD262"/>
    <w:rsid w:val="2F35C10E"/>
    <w:rsid w:val="300D24F5"/>
    <w:rsid w:val="3224D635"/>
    <w:rsid w:val="323DA6B5"/>
    <w:rsid w:val="331D410E"/>
    <w:rsid w:val="3344D307"/>
    <w:rsid w:val="34BFB3D0"/>
    <w:rsid w:val="35D36E6D"/>
    <w:rsid w:val="362862DD"/>
    <w:rsid w:val="3674806D"/>
    <w:rsid w:val="36840630"/>
    <w:rsid w:val="36B01DCF"/>
    <w:rsid w:val="36F75394"/>
    <w:rsid w:val="380E5C6A"/>
    <w:rsid w:val="38A97CEA"/>
    <w:rsid w:val="38F90115"/>
    <w:rsid w:val="39A8A381"/>
    <w:rsid w:val="3AA9DB4E"/>
    <w:rsid w:val="3B9EF1C7"/>
    <w:rsid w:val="3C85328C"/>
    <w:rsid w:val="3CB5EE51"/>
    <w:rsid w:val="3D563319"/>
    <w:rsid w:val="3D5FB897"/>
    <w:rsid w:val="3EFB4435"/>
    <w:rsid w:val="3EFC2DF9"/>
    <w:rsid w:val="3FD443D1"/>
    <w:rsid w:val="3FE3A23F"/>
    <w:rsid w:val="4106FA77"/>
    <w:rsid w:val="41732F93"/>
    <w:rsid w:val="418A30E2"/>
    <w:rsid w:val="41F2D620"/>
    <w:rsid w:val="423AA4F3"/>
    <w:rsid w:val="440033CB"/>
    <w:rsid w:val="4482F7D4"/>
    <w:rsid w:val="4488CC42"/>
    <w:rsid w:val="45057A96"/>
    <w:rsid w:val="466DDCC3"/>
    <w:rsid w:val="46C51ECC"/>
    <w:rsid w:val="4753A249"/>
    <w:rsid w:val="492D0DB7"/>
    <w:rsid w:val="495279FD"/>
    <w:rsid w:val="49755E00"/>
    <w:rsid w:val="49850100"/>
    <w:rsid w:val="49A58F92"/>
    <w:rsid w:val="4C6938D1"/>
    <w:rsid w:val="4C777293"/>
    <w:rsid w:val="4CDBCCF0"/>
    <w:rsid w:val="4D003BC6"/>
    <w:rsid w:val="4D23A97C"/>
    <w:rsid w:val="4D666A07"/>
    <w:rsid w:val="4F35CB9B"/>
    <w:rsid w:val="4F77DF2E"/>
    <w:rsid w:val="4F7D22C8"/>
    <w:rsid w:val="50448BAA"/>
    <w:rsid w:val="509B0EFC"/>
    <w:rsid w:val="50BAD3AC"/>
    <w:rsid w:val="51CFA6DE"/>
    <w:rsid w:val="52331658"/>
    <w:rsid w:val="52422FCD"/>
    <w:rsid w:val="52BA8723"/>
    <w:rsid w:val="53288500"/>
    <w:rsid w:val="5384F06A"/>
    <w:rsid w:val="5407B6FA"/>
    <w:rsid w:val="568A0B0F"/>
    <w:rsid w:val="56B4FA4B"/>
    <w:rsid w:val="5766B4E3"/>
    <w:rsid w:val="5777492D"/>
    <w:rsid w:val="57CB5B4F"/>
    <w:rsid w:val="580E5A8B"/>
    <w:rsid w:val="58A38595"/>
    <w:rsid w:val="58B1C4FE"/>
    <w:rsid w:val="58B4AFCD"/>
    <w:rsid w:val="58BDD2A2"/>
    <w:rsid w:val="58DB46D3"/>
    <w:rsid w:val="58FF1943"/>
    <w:rsid w:val="592B19C5"/>
    <w:rsid w:val="595C537F"/>
    <w:rsid w:val="598FD3F4"/>
    <w:rsid w:val="59961667"/>
    <w:rsid w:val="59EA4023"/>
    <w:rsid w:val="59F33DA4"/>
    <w:rsid w:val="5A35FA5B"/>
    <w:rsid w:val="5A46B45F"/>
    <w:rsid w:val="5AF47AC5"/>
    <w:rsid w:val="5B65F480"/>
    <w:rsid w:val="5BA98D80"/>
    <w:rsid w:val="5C639482"/>
    <w:rsid w:val="5C72624B"/>
    <w:rsid w:val="5E63AAF5"/>
    <w:rsid w:val="5E6EEDA4"/>
    <w:rsid w:val="5E73522A"/>
    <w:rsid w:val="5EC52DF0"/>
    <w:rsid w:val="5FE991B6"/>
    <w:rsid w:val="601FB03F"/>
    <w:rsid w:val="6199548F"/>
    <w:rsid w:val="621F2DB3"/>
    <w:rsid w:val="62CA8B72"/>
    <w:rsid w:val="65C5EF80"/>
    <w:rsid w:val="6742647B"/>
    <w:rsid w:val="67B56CA2"/>
    <w:rsid w:val="68294695"/>
    <w:rsid w:val="690C8B6C"/>
    <w:rsid w:val="6993C7E5"/>
    <w:rsid w:val="69D40705"/>
    <w:rsid w:val="6BBC9301"/>
    <w:rsid w:val="6C3B794C"/>
    <w:rsid w:val="6C79B9EA"/>
    <w:rsid w:val="6D164417"/>
    <w:rsid w:val="6DC8D1A1"/>
    <w:rsid w:val="6E11A7EB"/>
    <w:rsid w:val="6EA9D08F"/>
    <w:rsid w:val="6F7E9CB9"/>
    <w:rsid w:val="705DB80B"/>
    <w:rsid w:val="72461836"/>
    <w:rsid w:val="728F61B3"/>
    <w:rsid w:val="7321C2D1"/>
    <w:rsid w:val="733A6F16"/>
    <w:rsid w:val="73FC8725"/>
    <w:rsid w:val="74014DEC"/>
    <w:rsid w:val="7498FDCE"/>
    <w:rsid w:val="74E85A4E"/>
    <w:rsid w:val="764950D6"/>
    <w:rsid w:val="771E6C04"/>
    <w:rsid w:val="775F4FDE"/>
    <w:rsid w:val="783E5895"/>
    <w:rsid w:val="784BE67C"/>
    <w:rsid w:val="79A236E4"/>
    <w:rsid w:val="79CAA17D"/>
    <w:rsid w:val="79F40E49"/>
    <w:rsid w:val="7A7AA7D1"/>
    <w:rsid w:val="7A846EBF"/>
    <w:rsid w:val="7AD62870"/>
    <w:rsid w:val="7AE68610"/>
    <w:rsid w:val="7BE81275"/>
    <w:rsid w:val="7D3BD5CB"/>
    <w:rsid w:val="7EF682EE"/>
    <w:rsid w:val="7FAB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1E"/>
    <w:pPr>
      <w:spacing w:after="160" w:line="278" w:lineRule="auto"/>
      <w:ind w:left="720"/>
      <w:contextualSpacing/>
    </w:pPr>
    <w:rPr>
      <w:rFonts w:eastAsiaTheme="minorEastAsia"/>
      <w:lang w:eastAsia="ja-JP"/>
    </w:rPr>
  </w:style>
  <w:style w:type="table" w:styleId="TableGrid">
    <w:name w:val="Table Grid"/>
    <w:basedOn w:val="TableNormal"/>
    <w:uiPriority w:val="39"/>
    <w:rsid w:val="0038341E"/>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6DF"/>
    <w:rPr>
      <w:b/>
      <w:bCs/>
    </w:rPr>
  </w:style>
  <w:style w:type="character" w:customStyle="1" w:styleId="CommentSubjectChar">
    <w:name w:val="Comment Subject Char"/>
    <w:basedOn w:val="CommentTextChar"/>
    <w:link w:val="CommentSubject"/>
    <w:uiPriority w:val="99"/>
    <w:semiHidden/>
    <w:rsid w:val="00A636DF"/>
    <w:rPr>
      <w:b/>
      <w:bCs/>
      <w:sz w:val="20"/>
      <w:szCs w:val="20"/>
    </w:rPr>
  </w:style>
  <w:style w:type="character" w:customStyle="1" w:styleId="Heading1Char">
    <w:name w:val="Heading 1 Char"/>
    <w:basedOn w:val="DefaultParagraphFont"/>
    <w:link w:val="Heading1"/>
    <w:uiPriority w:val="9"/>
    <w:rsid w:val="0090304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B5CE4"/>
    <w:rPr>
      <w:color w:val="0000FF"/>
      <w:u w:val="single"/>
    </w:rPr>
  </w:style>
  <w:style w:type="character" w:styleId="FollowedHyperlink">
    <w:name w:val="FollowedHyperlink"/>
    <w:basedOn w:val="DefaultParagraphFont"/>
    <w:uiPriority w:val="99"/>
    <w:semiHidden/>
    <w:unhideWhenUsed/>
    <w:rsid w:val="00375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7821">
      <w:bodyDiv w:val="1"/>
      <w:marLeft w:val="0"/>
      <w:marRight w:val="0"/>
      <w:marTop w:val="0"/>
      <w:marBottom w:val="0"/>
      <w:divBdr>
        <w:top w:val="none" w:sz="0" w:space="0" w:color="auto"/>
        <w:left w:val="none" w:sz="0" w:space="0" w:color="auto"/>
        <w:bottom w:val="none" w:sz="0" w:space="0" w:color="auto"/>
        <w:right w:val="none" w:sz="0" w:space="0" w:color="auto"/>
      </w:divBdr>
    </w:div>
    <w:div w:id="96759829">
      <w:bodyDiv w:val="1"/>
      <w:marLeft w:val="0"/>
      <w:marRight w:val="0"/>
      <w:marTop w:val="0"/>
      <w:marBottom w:val="0"/>
      <w:divBdr>
        <w:top w:val="none" w:sz="0" w:space="0" w:color="auto"/>
        <w:left w:val="none" w:sz="0" w:space="0" w:color="auto"/>
        <w:bottom w:val="none" w:sz="0" w:space="0" w:color="auto"/>
        <w:right w:val="none" w:sz="0" w:space="0" w:color="auto"/>
      </w:divBdr>
      <w:divsChild>
        <w:div w:id="1055009328">
          <w:marLeft w:val="0"/>
          <w:marRight w:val="0"/>
          <w:marTop w:val="0"/>
          <w:marBottom w:val="0"/>
          <w:divBdr>
            <w:top w:val="none" w:sz="0" w:space="0" w:color="auto"/>
            <w:left w:val="none" w:sz="0" w:space="0" w:color="auto"/>
            <w:bottom w:val="none" w:sz="0" w:space="0" w:color="auto"/>
            <w:right w:val="none" w:sz="0" w:space="0" w:color="auto"/>
          </w:divBdr>
        </w:div>
        <w:div w:id="433599090">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269001050">
          <w:marLeft w:val="0"/>
          <w:marRight w:val="0"/>
          <w:marTop w:val="0"/>
          <w:marBottom w:val="0"/>
          <w:divBdr>
            <w:top w:val="none" w:sz="0" w:space="0" w:color="auto"/>
            <w:left w:val="none" w:sz="0" w:space="0" w:color="auto"/>
            <w:bottom w:val="none" w:sz="0" w:space="0" w:color="auto"/>
            <w:right w:val="none" w:sz="0" w:space="0" w:color="auto"/>
          </w:divBdr>
        </w:div>
        <w:div w:id="227107885">
          <w:marLeft w:val="0"/>
          <w:marRight w:val="0"/>
          <w:marTop w:val="0"/>
          <w:marBottom w:val="0"/>
          <w:divBdr>
            <w:top w:val="none" w:sz="0" w:space="0" w:color="auto"/>
            <w:left w:val="none" w:sz="0" w:space="0" w:color="auto"/>
            <w:bottom w:val="none" w:sz="0" w:space="0" w:color="auto"/>
            <w:right w:val="none" w:sz="0" w:space="0" w:color="auto"/>
          </w:divBdr>
        </w:div>
        <w:div w:id="942153873">
          <w:marLeft w:val="0"/>
          <w:marRight w:val="0"/>
          <w:marTop w:val="0"/>
          <w:marBottom w:val="0"/>
          <w:divBdr>
            <w:top w:val="none" w:sz="0" w:space="0" w:color="auto"/>
            <w:left w:val="none" w:sz="0" w:space="0" w:color="auto"/>
            <w:bottom w:val="none" w:sz="0" w:space="0" w:color="auto"/>
            <w:right w:val="none" w:sz="0" w:space="0" w:color="auto"/>
          </w:divBdr>
        </w:div>
        <w:div w:id="1803189738">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598216853">
          <w:marLeft w:val="0"/>
          <w:marRight w:val="0"/>
          <w:marTop w:val="0"/>
          <w:marBottom w:val="0"/>
          <w:divBdr>
            <w:top w:val="none" w:sz="0" w:space="0" w:color="auto"/>
            <w:left w:val="none" w:sz="0" w:space="0" w:color="auto"/>
            <w:bottom w:val="none" w:sz="0" w:space="0" w:color="auto"/>
            <w:right w:val="none" w:sz="0" w:space="0" w:color="auto"/>
          </w:divBdr>
        </w:div>
        <w:div w:id="728193815">
          <w:marLeft w:val="0"/>
          <w:marRight w:val="0"/>
          <w:marTop w:val="0"/>
          <w:marBottom w:val="0"/>
          <w:divBdr>
            <w:top w:val="none" w:sz="0" w:space="0" w:color="auto"/>
            <w:left w:val="none" w:sz="0" w:space="0" w:color="auto"/>
            <w:bottom w:val="none" w:sz="0" w:space="0" w:color="auto"/>
            <w:right w:val="none" w:sz="0" w:space="0" w:color="auto"/>
          </w:divBdr>
        </w:div>
        <w:div w:id="457064928">
          <w:marLeft w:val="0"/>
          <w:marRight w:val="0"/>
          <w:marTop w:val="0"/>
          <w:marBottom w:val="0"/>
          <w:divBdr>
            <w:top w:val="none" w:sz="0" w:space="0" w:color="auto"/>
            <w:left w:val="none" w:sz="0" w:space="0" w:color="auto"/>
            <w:bottom w:val="none" w:sz="0" w:space="0" w:color="auto"/>
            <w:right w:val="none" w:sz="0" w:space="0" w:color="auto"/>
          </w:divBdr>
        </w:div>
        <w:div w:id="1222868014">
          <w:marLeft w:val="0"/>
          <w:marRight w:val="0"/>
          <w:marTop w:val="0"/>
          <w:marBottom w:val="0"/>
          <w:divBdr>
            <w:top w:val="none" w:sz="0" w:space="0" w:color="auto"/>
            <w:left w:val="none" w:sz="0" w:space="0" w:color="auto"/>
            <w:bottom w:val="none" w:sz="0" w:space="0" w:color="auto"/>
            <w:right w:val="none" w:sz="0" w:space="0" w:color="auto"/>
          </w:divBdr>
        </w:div>
        <w:div w:id="715857385">
          <w:marLeft w:val="0"/>
          <w:marRight w:val="0"/>
          <w:marTop w:val="0"/>
          <w:marBottom w:val="0"/>
          <w:divBdr>
            <w:top w:val="none" w:sz="0" w:space="0" w:color="auto"/>
            <w:left w:val="none" w:sz="0" w:space="0" w:color="auto"/>
            <w:bottom w:val="none" w:sz="0" w:space="0" w:color="auto"/>
            <w:right w:val="none" w:sz="0" w:space="0" w:color="auto"/>
          </w:divBdr>
        </w:div>
        <w:div w:id="369187565">
          <w:marLeft w:val="0"/>
          <w:marRight w:val="0"/>
          <w:marTop w:val="0"/>
          <w:marBottom w:val="0"/>
          <w:divBdr>
            <w:top w:val="none" w:sz="0" w:space="0" w:color="auto"/>
            <w:left w:val="none" w:sz="0" w:space="0" w:color="auto"/>
            <w:bottom w:val="none" w:sz="0" w:space="0" w:color="auto"/>
            <w:right w:val="none" w:sz="0" w:space="0" w:color="auto"/>
          </w:divBdr>
        </w:div>
        <w:div w:id="1787962818">
          <w:marLeft w:val="0"/>
          <w:marRight w:val="0"/>
          <w:marTop w:val="0"/>
          <w:marBottom w:val="0"/>
          <w:divBdr>
            <w:top w:val="none" w:sz="0" w:space="0" w:color="auto"/>
            <w:left w:val="none" w:sz="0" w:space="0" w:color="auto"/>
            <w:bottom w:val="none" w:sz="0" w:space="0" w:color="auto"/>
            <w:right w:val="none" w:sz="0" w:space="0" w:color="auto"/>
          </w:divBdr>
        </w:div>
        <w:div w:id="142549769">
          <w:marLeft w:val="0"/>
          <w:marRight w:val="0"/>
          <w:marTop w:val="0"/>
          <w:marBottom w:val="0"/>
          <w:divBdr>
            <w:top w:val="none" w:sz="0" w:space="0" w:color="auto"/>
            <w:left w:val="none" w:sz="0" w:space="0" w:color="auto"/>
            <w:bottom w:val="none" w:sz="0" w:space="0" w:color="auto"/>
            <w:right w:val="none" w:sz="0" w:space="0" w:color="auto"/>
          </w:divBdr>
        </w:div>
        <w:div w:id="262499012">
          <w:marLeft w:val="0"/>
          <w:marRight w:val="0"/>
          <w:marTop w:val="0"/>
          <w:marBottom w:val="0"/>
          <w:divBdr>
            <w:top w:val="none" w:sz="0" w:space="0" w:color="auto"/>
            <w:left w:val="none" w:sz="0" w:space="0" w:color="auto"/>
            <w:bottom w:val="none" w:sz="0" w:space="0" w:color="auto"/>
            <w:right w:val="none" w:sz="0" w:space="0" w:color="auto"/>
          </w:divBdr>
        </w:div>
        <w:div w:id="323362022">
          <w:marLeft w:val="0"/>
          <w:marRight w:val="0"/>
          <w:marTop w:val="0"/>
          <w:marBottom w:val="0"/>
          <w:divBdr>
            <w:top w:val="none" w:sz="0" w:space="0" w:color="auto"/>
            <w:left w:val="none" w:sz="0" w:space="0" w:color="auto"/>
            <w:bottom w:val="none" w:sz="0" w:space="0" w:color="auto"/>
            <w:right w:val="none" w:sz="0" w:space="0" w:color="auto"/>
          </w:divBdr>
        </w:div>
        <w:div w:id="808322182">
          <w:marLeft w:val="0"/>
          <w:marRight w:val="0"/>
          <w:marTop w:val="0"/>
          <w:marBottom w:val="0"/>
          <w:divBdr>
            <w:top w:val="none" w:sz="0" w:space="0" w:color="auto"/>
            <w:left w:val="none" w:sz="0" w:space="0" w:color="auto"/>
            <w:bottom w:val="none" w:sz="0" w:space="0" w:color="auto"/>
            <w:right w:val="none" w:sz="0" w:space="0" w:color="auto"/>
          </w:divBdr>
        </w:div>
        <w:div w:id="55326835">
          <w:marLeft w:val="0"/>
          <w:marRight w:val="0"/>
          <w:marTop w:val="0"/>
          <w:marBottom w:val="0"/>
          <w:divBdr>
            <w:top w:val="none" w:sz="0" w:space="0" w:color="auto"/>
            <w:left w:val="none" w:sz="0" w:space="0" w:color="auto"/>
            <w:bottom w:val="none" w:sz="0" w:space="0" w:color="auto"/>
            <w:right w:val="none" w:sz="0" w:space="0" w:color="auto"/>
          </w:divBdr>
        </w:div>
        <w:div w:id="857546560">
          <w:marLeft w:val="0"/>
          <w:marRight w:val="0"/>
          <w:marTop w:val="0"/>
          <w:marBottom w:val="0"/>
          <w:divBdr>
            <w:top w:val="none" w:sz="0" w:space="0" w:color="auto"/>
            <w:left w:val="none" w:sz="0" w:space="0" w:color="auto"/>
            <w:bottom w:val="none" w:sz="0" w:space="0" w:color="auto"/>
            <w:right w:val="none" w:sz="0" w:space="0" w:color="auto"/>
          </w:divBdr>
        </w:div>
      </w:divsChild>
    </w:div>
    <w:div w:id="112866425">
      <w:bodyDiv w:val="1"/>
      <w:marLeft w:val="0"/>
      <w:marRight w:val="0"/>
      <w:marTop w:val="0"/>
      <w:marBottom w:val="0"/>
      <w:divBdr>
        <w:top w:val="none" w:sz="0" w:space="0" w:color="auto"/>
        <w:left w:val="none" w:sz="0" w:space="0" w:color="auto"/>
        <w:bottom w:val="none" w:sz="0" w:space="0" w:color="auto"/>
        <w:right w:val="none" w:sz="0" w:space="0" w:color="auto"/>
      </w:divBdr>
    </w:div>
    <w:div w:id="282270297">
      <w:bodyDiv w:val="1"/>
      <w:marLeft w:val="0"/>
      <w:marRight w:val="0"/>
      <w:marTop w:val="0"/>
      <w:marBottom w:val="0"/>
      <w:divBdr>
        <w:top w:val="none" w:sz="0" w:space="0" w:color="auto"/>
        <w:left w:val="none" w:sz="0" w:space="0" w:color="auto"/>
        <w:bottom w:val="none" w:sz="0" w:space="0" w:color="auto"/>
        <w:right w:val="none" w:sz="0" w:space="0" w:color="auto"/>
      </w:divBdr>
    </w:div>
    <w:div w:id="535581389">
      <w:bodyDiv w:val="1"/>
      <w:marLeft w:val="0"/>
      <w:marRight w:val="0"/>
      <w:marTop w:val="0"/>
      <w:marBottom w:val="0"/>
      <w:divBdr>
        <w:top w:val="none" w:sz="0" w:space="0" w:color="auto"/>
        <w:left w:val="none" w:sz="0" w:space="0" w:color="auto"/>
        <w:bottom w:val="none" w:sz="0" w:space="0" w:color="auto"/>
        <w:right w:val="none" w:sz="0" w:space="0" w:color="auto"/>
      </w:divBdr>
      <w:divsChild>
        <w:div w:id="1402363501">
          <w:marLeft w:val="0"/>
          <w:marRight w:val="0"/>
          <w:marTop w:val="0"/>
          <w:marBottom w:val="0"/>
          <w:divBdr>
            <w:top w:val="none" w:sz="0" w:space="0" w:color="auto"/>
            <w:left w:val="none" w:sz="0" w:space="0" w:color="auto"/>
            <w:bottom w:val="none" w:sz="0" w:space="0" w:color="auto"/>
            <w:right w:val="none" w:sz="0" w:space="0" w:color="auto"/>
          </w:divBdr>
        </w:div>
        <w:div w:id="502403882">
          <w:marLeft w:val="0"/>
          <w:marRight w:val="0"/>
          <w:marTop w:val="0"/>
          <w:marBottom w:val="0"/>
          <w:divBdr>
            <w:top w:val="none" w:sz="0" w:space="0" w:color="auto"/>
            <w:left w:val="none" w:sz="0" w:space="0" w:color="auto"/>
            <w:bottom w:val="none" w:sz="0" w:space="0" w:color="auto"/>
            <w:right w:val="none" w:sz="0" w:space="0" w:color="auto"/>
          </w:divBdr>
        </w:div>
        <w:div w:id="1142579060">
          <w:marLeft w:val="0"/>
          <w:marRight w:val="0"/>
          <w:marTop w:val="0"/>
          <w:marBottom w:val="0"/>
          <w:divBdr>
            <w:top w:val="none" w:sz="0" w:space="0" w:color="auto"/>
            <w:left w:val="none" w:sz="0" w:space="0" w:color="auto"/>
            <w:bottom w:val="none" w:sz="0" w:space="0" w:color="auto"/>
            <w:right w:val="none" w:sz="0" w:space="0" w:color="auto"/>
          </w:divBdr>
        </w:div>
        <w:div w:id="2054846340">
          <w:marLeft w:val="0"/>
          <w:marRight w:val="0"/>
          <w:marTop w:val="0"/>
          <w:marBottom w:val="0"/>
          <w:divBdr>
            <w:top w:val="none" w:sz="0" w:space="0" w:color="auto"/>
            <w:left w:val="none" w:sz="0" w:space="0" w:color="auto"/>
            <w:bottom w:val="none" w:sz="0" w:space="0" w:color="auto"/>
            <w:right w:val="none" w:sz="0" w:space="0" w:color="auto"/>
          </w:divBdr>
        </w:div>
        <w:div w:id="836769970">
          <w:marLeft w:val="0"/>
          <w:marRight w:val="0"/>
          <w:marTop w:val="0"/>
          <w:marBottom w:val="0"/>
          <w:divBdr>
            <w:top w:val="none" w:sz="0" w:space="0" w:color="auto"/>
            <w:left w:val="none" w:sz="0" w:space="0" w:color="auto"/>
            <w:bottom w:val="none" w:sz="0" w:space="0" w:color="auto"/>
            <w:right w:val="none" w:sz="0" w:space="0" w:color="auto"/>
          </w:divBdr>
        </w:div>
        <w:div w:id="1864711482">
          <w:marLeft w:val="0"/>
          <w:marRight w:val="0"/>
          <w:marTop w:val="0"/>
          <w:marBottom w:val="0"/>
          <w:divBdr>
            <w:top w:val="none" w:sz="0" w:space="0" w:color="auto"/>
            <w:left w:val="none" w:sz="0" w:space="0" w:color="auto"/>
            <w:bottom w:val="none" w:sz="0" w:space="0" w:color="auto"/>
            <w:right w:val="none" w:sz="0" w:space="0" w:color="auto"/>
          </w:divBdr>
        </w:div>
        <w:div w:id="1876431659">
          <w:marLeft w:val="0"/>
          <w:marRight w:val="0"/>
          <w:marTop w:val="0"/>
          <w:marBottom w:val="0"/>
          <w:divBdr>
            <w:top w:val="none" w:sz="0" w:space="0" w:color="auto"/>
            <w:left w:val="none" w:sz="0" w:space="0" w:color="auto"/>
            <w:bottom w:val="none" w:sz="0" w:space="0" w:color="auto"/>
            <w:right w:val="none" w:sz="0" w:space="0" w:color="auto"/>
          </w:divBdr>
        </w:div>
        <w:div w:id="1621449489">
          <w:marLeft w:val="0"/>
          <w:marRight w:val="0"/>
          <w:marTop w:val="0"/>
          <w:marBottom w:val="0"/>
          <w:divBdr>
            <w:top w:val="none" w:sz="0" w:space="0" w:color="auto"/>
            <w:left w:val="none" w:sz="0" w:space="0" w:color="auto"/>
            <w:bottom w:val="none" w:sz="0" w:space="0" w:color="auto"/>
            <w:right w:val="none" w:sz="0" w:space="0" w:color="auto"/>
          </w:divBdr>
        </w:div>
        <w:div w:id="1053306836">
          <w:marLeft w:val="0"/>
          <w:marRight w:val="0"/>
          <w:marTop w:val="0"/>
          <w:marBottom w:val="0"/>
          <w:divBdr>
            <w:top w:val="none" w:sz="0" w:space="0" w:color="auto"/>
            <w:left w:val="none" w:sz="0" w:space="0" w:color="auto"/>
            <w:bottom w:val="none" w:sz="0" w:space="0" w:color="auto"/>
            <w:right w:val="none" w:sz="0" w:space="0" w:color="auto"/>
          </w:divBdr>
        </w:div>
        <w:div w:id="1568690614">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967852381">
          <w:marLeft w:val="0"/>
          <w:marRight w:val="0"/>
          <w:marTop w:val="0"/>
          <w:marBottom w:val="0"/>
          <w:divBdr>
            <w:top w:val="none" w:sz="0" w:space="0" w:color="auto"/>
            <w:left w:val="none" w:sz="0" w:space="0" w:color="auto"/>
            <w:bottom w:val="none" w:sz="0" w:space="0" w:color="auto"/>
            <w:right w:val="none" w:sz="0" w:space="0" w:color="auto"/>
          </w:divBdr>
        </w:div>
        <w:div w:id="407653656">
          <w:marLeft w:val="0"/>
          <w:marRight w:val="0"/>
          <w:marTop w:val="0"/>
          <w:marBottom w:val="0"/>
          <w:divBdr>
            <w:top w:val="none" w:sz="0" w:space="0" w:color="auto"/>
            <w:left w:val="none" w:sz="0" w:space="0" w:color="auto"/>
            <w:bottom w:val="none" w:sz="0" w:space="0" w:color="auto"/>
            <w:right w:val="none" w:sz="0" w:space="0" w:color="auto"/>
          </w:divBdr>
        </w:div>
        <w:div w:id="582419707">
          <w:marLeft w:val="0"/>
          <w:marRight w:val="0"/>
          <w:marTop w:val="0"/>
          <w:marBottom w:val="0"/>
          <w:divBdr>
            <w:top w:val="none" w:sz="0" w:space="0" w:color="auto"/>
            <w:left w:val="none" w:sz="0" w:space="0" w:color="auto"/>
            <w:bottom w:val="none" w:sz="0" w:space="0" w:color="auto"/>
            <w:right w:val="none" w:sz="0" w:space="0" w:color="auto"/>
          </w:divBdr>
        </w:div>
        <w:div w:id="487867738">
          <w:marLeft w:val="0"/>
          <w:marRight w:val="0"/>
          <w:marTop w:val="0"/>
          <w:marBottom w:val="0"/>
          <w:divBdr>
            <w:top w:val="none" w:sz="0" w:space="0" w:color="auto"/>
            <w:left w:val="none" w:sz="0" w:space="0" w:color="auto"/>
            <w:bottom w:val="none" w:sz="0" w:space="0" w:color="auto"/>
            <w:right w:val="none" w:sz="0" w:space="0" w:color="auto"/>
          </w:divBdr>
        </w:div>
        <w:div w:id="405880431">
          <w:marLeft w:val="0"/>
          <w:marRight w:val="0"/>
          <w:marTop w:val="0"/>
          <w:marBottom w:val="0"/>
          <w:divBdr>
            <w:top w:val="none" w:sz="0" w:space="0" w:color="auto"/>
            <w:left w:val="none" w:sz="0" w:space="0" w:color="auto"/>
            <w:bottom w:val="none" w:sz="0" w:space="0" w:color="auto"/>
            <w:right w:val="none" w:sz="0" w:space="0" w:color="auto"/>
          </w:divBdr>
        </w:div>
        <w:div w:id="1049915873">
          <w:marLeft w:val="0"/>
          <w:marRight w:val="0"/>
          <w:marTop w:val="0"/>
          <w:marBottom w:val="0"/>
          <w:divBdr>
            <w:top w:val="none" w:sz="0" w:space="0" w:color="auto"/>
            <w:left w:val="none" w:sz="0" w:space="0" w:color="auto"/>
            <w:bottom w:val="none" w:sz="0" w:space="0" w:color="auto"/>
            <w:right w:val="none" w:sz="0" w:space="0" w:color="auto"/>
          </w:divBdr>
        </w:div>
        <w:div w:id="2046322252">
          <w:marLeft w:val="0"/>
          <w:marRight w:val="0"/>
          <w:marTop w:val="0"/>
          <w:marBottom w:val="0"/>
          <w:divBdr>
            <w:top w:val="none" w:sz="0" w:space="0" w:color="auto"/>
            <w:left w:val="none" w:sz="0" w:space="0" w:color="auto"/>
            <w:bottom w:val="none" w:sz="0" w:space="0" w:color="auto"/>
            <w:right w:val="none" w:sz="0" w:space="0" w:color="auto"/>
          </w:divBdr>
        </w:div>
        <w:div w:id="135688532">
          <w:marLeft w:val="0"/>
          <w:marRight w:val="0"/>
          <w:marTop w:val="0"/>
          <w:marBottom w:val="0"/>
          <w:divBdr>
            <w:top w:val="none" w:sz="0" w:space="0" w:color="auto"/>
            <w:left w:val="none" w:sz="0" w:space="0" w:color="auto"/>
            <w:bottom w:val="none" w:sz="0" w:space="0" w:color="auto"/>
            <w:right w:val="none" w:sz="0" w:space="0" w:color="auto"/>
          </w:divBdr>
        </w:div>
        <w:div w:id="1507093683">
          <w:marLeft w:val="0"/>
          <w:marRight w:val="0"/>
          <w:marTop w:val="0"/>
          <w:marBottom w:val="0"/>
          <w:divBdr>
            <w:top w:val="none" w:sz="0" w:space="0" w:color="auto"/>
            <w:left w:val="none" w:sz="0" w:space="0" w:color="auto"/>
            <w:bottom w:val="none" w:sz="0" w:space="0" w:color="auto"/>
            <w:right w:val="none" w:sz="0" w:space="0" w:color="auto"/>
          </w:divBdr>
        </w:div>
        <w:div w:id="1117061515">
          <w:marLeft w:val="0"/>
          <w:marRight w:val="0"/>
          <w:marTop w:val="0"/>
          <w:marBottom w:val="0"/>
          <w:divBdr>
            <w:top w:val="none" w:sz="0" w:space="0" w:color="auto"/>
            <w:left w:val="none" w:sz="0" w:space="0" w:color="auto"/>
            <w:bottom w:val="none" w:sz="0" w:space="0" w:color="auto"/>
            <w:right w:val="none" w:sz="0" w:space="0" w:color="auto"/>
          </w:divBdr>
        </w:div>
        <w:div w:id="1106071949">
          <w:marLeft w:val="0"/>
          <w:marRight w:val="0"/>
          <w:marTop w:val="0"/>
          <w:marBottom w:val="0"/>
          <w:divBdr>
            <w:top w:val="none" w:sz="0" w:space="0" w:color="auto"/>
            <w:left w:val="none" w:sz="0" w:space="0" w:color="auto"/>
            <w:bottom w:val="none" w:sz="0" w:space="0" w:color="auto"/>
            <w:right w:val="none" w:sz="0" w:space="0" w:color="auto"/>
          </w:divBdr>
        </w:div>
      </w:divsChild>
    </w:div>
    <w:div w:id="625047566">
      <w:bodyDiv w:val="1"/>
      <w:marLeft w:val="0"/>
      <w:marRight w:val="0"/>
      <w:marTop w:val="0"/>
      <w:marBottom w:val="0"/>
      <w:divBdr>
        <w:top w:val="none" w:sz="0" w:space="0" w:color="auto"/>
        <w:left w:val="none" w:sz="0" w:space="0" w:color="auto"/>
        <w:bottom w:val="none" w:sz="0" w:space="0" w:color="auto"/>
        <w:right w:val="none" w:sz="0" w:space="0" w:color="auto"/>
      </w:divBdr>
    </w:div>
    <w:div w:id="665282402">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815881471">
      <w:bodyDiv w:val="1"/>
      <w:marLeft w:val="0"/>
      <w:marRight w:val="0"/>
      <w:marTop w:val="0"/>
      <w:marBottom w:val="0"/>
      <w:divBdr>
        <w:top w:val="none" w:sz="0" w:space="0" w:color="auto"/>
        <w:left w:val="none" w:sz="0" w:space="0" w:color="auto"/>
        <w:bottom w:val="none" w:sz="0" w:space="0" w:color="auto"/>
        <w:right w:val="none" w:sz="0" w:space="0" w:color="auto"/>
      </w:divBdr>
    </w:div>
    <w:div w:id="1129780428">
      <w:bodyDiv w:val="1"/>
      <w:marLeft w:val="0"/>
      <w:marRight w:val="0"/>
      <w:marTop w:val="0"/>
      <w:marBottom w:val="0"/>
      <w:divBdr>
        <w:top w:val="none" w:sz="0" w:space="0" w:color="auto"/>
        <w:left w:val="none" w:sz="0" w:space="0" w:color="auto"/>
        <w:bottom w:val="none" w:sz="0" w:space="0" w:color="auto"/>
        <w:right w:val="none" w:sz="0" w:space="0" w:color="auto"/>
      </w:divBdr>
    </w:div>
    <w:div w:id="1150440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articles/PMC10650854/" TargetMode="External"/><Relationship Id="rId13" Type="http://schemas.openxmlformats.org/officeDocument/2006/relationships/hyperlink" Target="https://acsjournals.onlinelibrary.wiley.com/doi/full/10.1002/cncr.29855" TargetMode="External"/><Relationship Id="rId3" Type="http://schemas.openxmlformats.org/officeDocument/2006/relationships/hyperlink" Target="https://pmc.ncbi.nlm.nih.gov/articles/PMC10230112/" TargetMode="External"/><Relationship Id="rId7" Type="http://schemas.openxmlformats.org/officeDocument/2006/relationships/hyperlink" Target="https://pubmed.ncbi.nlm.nih.gov/35513235/" TargetMode="External"/><Relationship Id="rId12" Type="http://schemas.openxmlformats.org/officeDocument/2006/relationships/hyperlink" Target="https://acsjournals.onlinelibrary.wiley.com/doi/full/10.1002/cncr.29855" TargetMode="External"/><Relationship Id="rId2" Type="http://schemas.openxmlformats.org/officeDocument/2006/relationships/hyperlink" Target="https://pmc.ncbi.nlm.nih.gov/articles/PMC6279617/" TargetMode="External"/><Relationship Id="rId1" Type="http://schemas.openxmlformats.org/officeDocument/2006/relationships/hyperlink" Target="https://www.nature.com/articles/s41575-020-00381-6" TargetMode="External"/><Relationship Id="rId6" Type="http://schemas.openxmlformats.org/officeDocument/2006/relationships/hyperlink" Target="https://pubmed.ncbi.nlm.nih.gov/20209604/" TargetMode="External"/><Relationship Id="rId11" Type="http://schemas.openxmlformats.org/officeDocument/2006/relationships/hyperlink" Target="https://pmc.ncbi.nlm.nih.gov/articles/PMC5013331/" TargetMode="External"/><Relationship Id="rId5" Type="http://schemas.openxmlformats.org/officeDocument/2006/relationships/hyperlink" Target="https://pmc.ncbi.nlm.nih.gov/articles/PMC11016479/" TargetMode="External"/><Relationship Id="rId10" Type="http://schemas.openxmlformats.org/officeDocument/2006/relationships/hyperlink" Target="https://acsjournals.onlinelibrary.wiley.com/doi/full/10.1002/cncr.10236" TargetMode="External"/><Relationship Id="rId4" Type="http://schemas.openxmlformats.org/officeDocument/2006/relationships/hyperlink" Target="https://bmjopengastro.bmj.com/content/3/1/e000107" TargetMode="External"/><Relationship Id="rId9" Type="http://schemas.openxmlformats.org/officeDocument/2006/relationships/hyperlink" Target="https://academic.oup.com/jnci/article/97/20/1532/252144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link.springer.com/article/10.1007/s12072-015-9679-0" TargetMode="External"/><Relationship Id="rId5" Type="http://schemas.openxmlformats.org/officeDocument/2006/relationships/webSettings" Target="webSettings.xml"/><Relationship Id="rId10" Type="http://schemas.openxmlformats.org/officeDocument/2006/relationships/hyperlink" Target="https://healthcaredelivery.cancer.gov/seermedicare/considerations/procedure_codes.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5B9A-24DB-411C-A009-CEBD5AA4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cp:lastModifiedBy>
  <cp:revision>479</cp:revision>
  <dcterms:created xsi:type="dcterms:W3CDTF">2024-10-30T18:51:00Z</dcterms:created>
  <dcterms:modified xsi:type="dcterms:W3CDTF">2024-11-08T19:56:00Z</dcterms:modified>
</cp:coreProperties>
</file>