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04B9" w14:textId="555DC2A1" w:rsidR="00B136D1" w:rsidRPr="00D27004" w:rsidRDefault="00B136D1" w:rsidP="00B136D1">
      <w:pPr>
        <w:pStyle w:val="paragraph"/>
        <w:spacing w:before="0" w:beforeAutospacing="0" w:after="0" w:afterAutospacing="0"/>
        <w:textAlignment w:val="baseline"/>
        <w:rPr>
          <w:rStyle w:val="normaltextrun"/>
          <w:rFonts w:ascii="Calibri" w:hAnsi="Calibri" w:cs="Calibri"/>
          <w:i/>
          <w:iCs/>
        </w:rPr>
      </w:pPr>
      <w:r w:rsidRPr="00E8634F">
        <w:rPr>
          <w:rStyle w:val="normaltextrun"/>
          <w:rFonts w:ascii="Calibri" w:hAnsi="Calibri" w:cs="Calibri"/>
          <w:b/>
          <w:bCs/>
        </w:rPr>
        <w:t>Table 1</w:t>
      </w:r>
      <w:r w:rsidR="00433382">
        <w:rPr>
          <w:rStyle w:val="normaltextrun"/>
          <w:rFonts w:ascii="Calibri" w:hAnsi="Calibri" w:cs="Calibri"/>
          <w:b/>
          <w:bCs/>
        </w:rPr>
        <w:t>A</w:t>
      </w:r>
      <w:r>
        <w:rPr>
          <w:rStyle w:val="normaltextrun"/>
          <w:rFonts w:ascii="Calibri" w:hAnsi="Calibri" w:cs="Calibri"/>
        </w:rPr>
        <w:t xml:space="preserve">: Model </w:t>
      </w:r>
      <w:r w:rsidR="000154C4">
        <w:rPr>
          <w:rStyle w:val="normaltextrun"/>
          <w:rFonts w:ascii="Calibri" w:hAnsi="Calibri" w:cs="Calibri"/>
        </w:rPr>
        <w:t>i</w:t>
      </w:r>
      <w:r>
        <w:rPr>
          <w:rStyle w:val="normaltextrun"/>
          <w:rFonts w:ascii="Calibri" w:hAnsi="Calibri" w:cs="Calibri"/>
        </w:rPr>
        <w:t xml:space="preserve">nput </w:t>
      </w:r>
      <w:r w:rsidR="000154C4">
        <w:rPr>
          <w:rStyle w:val="normaltextrun"/>
          <w:rFonts w:ascii="Calibri" w:hAnsi="Calibri" w:cs="Calibri"/>
        </w:rPr>
        <w:t>p</w:t>
      </w:r>
      <w:r>
        <w:rPr>
          <w:rStyle w:val="normaltextrun"/>
          <w:rFonts w:ascii="Calibri" w:hAnsi="Calibri" w:cs="Calibri"/>
        </w:rPr>
        <w:t>arameters</w:t>
      </w:r>
      <w:r w:rsidR="000154C4">
        <w:rPr>
          <w:rStyle w:val="normaltextrun"/>
          <w:rFonts w:ascii="Calibri" w:hAnsi="Calibri" w:cs="Calibri"/>
        </w:rPr>
        <w:t xml:space="preserve"> for base case analysis</w:t>
      </w:r>
      <w:r w:rsidR="00742D70">
        <w:rPr>
          <w:rStyle w:val="normaltextrun"/>
          <w:rFonts w:ascii="Calibri" w:hAnsi="Calibri" w:cs="Calibri"/>
        </w:rPr>
        <w:t xml:space="preserve">. The base case value is derived by averaging the values reported in the references unless specified otherwise. </w:t>
      </w:r>
    </w:p>
    <w:tbl>
      <w:tblPr>
        <w:tblStyle w:val="TableGrid"/>
        <w:tblW w:w="0" w:type="auto"/>
        <w:tblLook w:val="04A0" w:firstRow="1" w:lastRow="0" w:firstColumn="1" w:lastColumn="0" w:noHBand="0" w:noVBand="1"/>
      </w:tblPr>
      <w:tblGrid>
        <w:gridCol w:w="3116"/>
        <w:gridCol w:w="3117"/>
        <w:gridCol w:w="3117"/>
      </w:tblGrid>
      <w:tr w:rsidR="00B136D1" w14:paraId="30A928FE" w14:textId="77777777" w:rsidTr="005A0450">
        <w:tc>
          <w:tcPr>
            <w:tcW w:w="3116" w:type="dxa"/>
          </w:tcPr>
          <w:p w14:paraId="65BA10B6"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2E1FF859"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1B874D32"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B136D1" w14:paraId="6BFF3507" w14:textId="77777777" w:rsidTr="005A0450">
        <w:tc>
          <w:tcPr>
            <w:tcW w:w="3116" w:type="dxa"/>
          </w:tcPr>
          <w:p w14:paraId="64966A18" w14:textId="150A9CA0" w:rsidR="00B136D1" w:rsidRDefault="000154C4" w:rsidP="005A0450">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7971020B" w14:textId="02091EE2" w:rsidR="00B136D1" w:rsidRPr="005B571A" w:rsidRDefault="00B136D1" w:rsidP="005A0450">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22.4% (19%-50.0%)</w:t>
            </w:r>
          </w:p>
          <w:p w14:paraId="7F684C57" w14:textId="77777777" w:rsidR="00B136D1" w:rsidRPr="005B571A" w:rsidRDefault="00B136D1" w:rsidP="005A0450">
            <w:pPr>
              <w:pStyle w:val="paragraph"/>
              <w:spacing w:before="0" w:beforeAutospacing="0" w:after="0" w:afterAutospacing="0"/>
              <w:textAlignment w:val="baseline"/>
              <w:rPr>
                <w:rStyle w:val="normaltextrun"/>
                <w:rFonts w:ascii="Calibri" w:hAnsi="Calibri" w:cs="Calibri"/>
                <w:i/>
                <w:iCs/>
              </w:rPr>
            </w:pPr>
          </w:p>
        </w:tc>
        <w:tc>
          <w:tcPr>
            <w:tcW w:w="3117" w:type="dxa"/>
          </w:tcPr>
          <w:p w14:paraId="5F45989E" w14:textId="77777777" w:rsidR="00B136D1" w:rsidRDefault="00B136D1" w:rsidP="005A0450">
            <w:pPr>
              <w:pStyle w:val="paragraph"/>
              <w:spacing w:before="0" w:beforeAutospacing="0" w:after="0" w:afterAutospacing="0"/>
              <w:textAlignment w:val="baseline"/>
              <w:rPr>
                <w:rFonts w:ascii="Calibri" w:eastAsia="Calibri" w:hAnsi="Calibri" w:cs="Calibri"/>
                <w:color w:val="000000" w:themeColor="text1"/>
              </w:rPr>
            </w:pPr>
            <w:r>
              <w:rPr>
                <w:rFonts w:asciiTheme="minorHAnsi" w:eastAsiaTheme="minorHAnsi" w:hAnsiTheme="minorHAnsi" w:cstheme="minorBidi"/>
              </w:rPr>
              <w:t xml:space="preserve">a. </w:t>
            </w:r>
            <w:hyperlink r:id="rId5" w:history="1">
              <w:r w:rsidRPr="008C58C0">
                <w:rPr>
                  <w:rStyle w:val="Hyperlink"/>
                  <w:rFonts w:ascii="Calibri" w:eastAsia="Calibri" w:hAnsi="Calibri" w:cs="Calibri"/>
                </w:rPr>
                <w:t>Singal 2012</w:t>
              </w:r>
            </w:hyperlink>
            <w:r w:rsidRPr="008C58C0">
              <w:rPr>
                <w:rFonts w:ascii="Calibri" w:eastAsia="Calibri" w:hAnsi="Calibri" w:cs="Calibri"/>
                <w:color w:val="000000" w:themeColor="text1"/>
              </w:rPr>
              <w:t xml:space="preserve"> </w:t>
            </w:r>
          </w:p>
          <w:p w14:paraId="0BFCDEB6" w14:textId="77777777" w:rsidR="00B136D1" w:rsidRPr="005B571A" w:rsidRDefault="00B136D1" w:rsidP="005A0450">
            <w:pPr>
              <w:pStyle w:val="paragraph"/>
              <w:spacing w:before="0" w:beforeAutospacing="0" w:after="0" w:afterAutospacing="0"/>
              <w:textAlignment w:val="baseline"/>
              <w:rPr>
                <w:rFonts w:asciiTheme="minorHAnsi" w:eastAsia="Calibri" w:hAnsiTheme="minorHAnsi" w:cstheme="minorHAnsi"/>
                <w:color w:val="000000" w:themeColor="text1"/>
              </w:rPr>
            </w:pPr>
            <w:r w:rsidRPr="005B571A">
              <w:rPr>
                <w:rFonts w:asciiTheme="minorHAnsi" w:hAnsiTheme="minorHAnsi" w:cstheme="minorHAnsi"/>
              </w:rPr>
              <w:t xml:space="preserve">b. </w:t>
            </w:r>
            <w:hyperlink r:id="rId6" w:history="1">
              <w:r w:rsidRPr="005B571A">
                <w:rPr>
                  <w:rStyle w:val="Hyperlink"/>
                  <w:rFonts w:asciiTheme="minorHAnsi" w:eastAsia="Calibri" w:hAnsiTheme="minorHAnsi" w:cstheme="minorHAnsi"/>
                </w:rPr>
                <w:t>Walker 2016</w:t>
              </w:r>
            </w:hyperlink>
          </w:p>
          <w:p w14:paraId="7EF8A283" w14:textId="77777777" w:rsidR="00B136D1" w:rsidRPr="005B571A" w:rsidRDefault="00B136D1" w:rsidP="005A0450">
            <w:pPr>
              <w:pStyle w:val="paragraph"/>
              <w:spacing w:before="0" w:beforeAutospacing="0" w:after="0" w:afterAutospacing="0"/>
              <w:textAlignment w:val="baseline"/>
              <w:rPr>
                <w:rFonts w:asciiTheme="minorHAnsi" w:eastAsia="Calibri" w:hAnsiTheme="minorHAnsi" w:cstheme="minorHAnsi"/>
                <w:color w:val="000000" w:themeColor="text1"/>
              </w:rPr>
            </w:pPr>
            <w:r w:rsidRPr="005B571A">
              <w:rPr>
                <w:rFonts w:asciiTheme="minorHAnsi" w:hAnsiTheme="minorHAnsi" w:cstheme="minorHAnsi"/>
              </w:rPr>
              <w:t xml:space="preserve">c. </w:t>
            </w:r>
            <w:hyperlink r:id="rId7" w:history="1">
              <w:r w:rsidRPr="005B571A">
                <w:rPr>
                  <w:rStyle w:val="Hyperlink"/>
                  <w:rFonts w:asciiTheme="minorHAnsi" w:eastAsia="Calibri" w:hAnsiTheme="minorHAnsi" w:cstheme="minorHAnsi"/>
                </w:rPr>
                <w:t>Fujimoto 2008</w:t>
              </w:r>
            </w:hyperlink>
            <w:r w:rsidRPr="005B571A">
              <w:rPr>
                <w:rFonts w:asciiTheme="minorHAnsi" w:eastAsia="Calibri" w:hAnsiTheme="minorHAnsi" w:cstheme="minorHAnsi"/>
                <w:color w:val="000000" w:themeColor="text1"/>
              </w:rPr>
              <w:t xml:space="preserve"> </w:t>
            </w:r>
          </w:p>
          <w:p w14:paraId="237F76D9" w14:textId="1A21A31B" w:rsidR="00B136D1" w:rsidRPr="005B571A" w:rsidRDefault="00B136D1" w:rsidP="005A0450">
            <w:pPr>
              <w:pStyle w:val="paragraph"/>
              <w:spacing w:before="0" w:beforeAutospacing="0" w:after="0" w:afterAutospacing="0"/>
              <w:textAlignment w:val="baseline"/>
              <w:rPr>
                <w:rStyle w:val="normaltextrun"/>
                <w:rFonts w:ascii="Calibri" w:eastAsia="Calibri" w:hAnsi="Calibri" w:cs="Calibri"/>
                <w:color w:val="000000" w:themeColor="text1"/>
              </w:rPr>
            </w:pPr>
            <w:r w:rsidRPr="005B571A">
              <w:rPr>
                <w:rFonts w:asciiTheme="minorHAnsi" w:hAnsiTheme="minorHAnsi" w:cstheme="minorHAnsi"/>
              </w:rPr>
              <w:t xml:space="preserve">d. </w:t>
            </w:r>
            <w:hyperlink r:id="rId8" w:history="1">
              <w:r w:rsidRPr="005B571A">
                <w:rPr>
                  <w:rStyle w:val="Hyperlink"/>
                  <w:rFonts w:asciiTheme="minorHAnsi" w:eastAsia="Calibri" w:hAnsiTheme="minorHAnsi" w:cstheme="minorHAnsi"/>
                </w:rPr>
                <w:t>Guss 2018</w:t>
              </w:r>
            </w:hyperlink>
            <w:r w:rsidR="000154C4">
              <w:rPr>
                <w:rStyle w:val="normaltextrun"/>
                <w:rFonts w:ascii="Calibri" w:hAnsi="Calibri" w:cs="Calibri"/>
                <w:vertAlign w:val="superscript"/>
              </w:rPr>
              <w:t xml:space="preserve"> a</w:t>
            </w:r>
            <w:r w:rsidRPr="008C58C0">
              <w:rPr>
                <w:rFonts w:ascii="Calibri" w:eastAsia="Calibri" w:hAnsi="Calibri" w:cs="Calibri"/>
                <w:color w:val="000000" w:themeColor="text1"/>
              </w:rPr>
              <w:t xml:space="preserve"> </w:t>
            </w:r>
          </w:p>
        </w:tc>
      </w:tr>
      <w:tr w:rsidR="00D76D58" w14:paraId="435FFF0D" w14:textId="77777777" w:rsidTr="005A0450">
        <w:tc>
          <w:tcPr>
            <w:tcW w:w="3116" w:type="dxa"/>
          </w:tcPr>
          <w:p w14:paraId="2A98177B" w14:textId="4DB32D04" w:rsidR="00D76D58" w:rsidRDefault="00D76D58" w:rsidP="00D76D58">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Screening adherence rate</w:t>
            </w:r>
          </w:p>
        </w:tc>
        <w:tc>
          <w:tcPr>
            <w:tcW w:w="3117" w:type="dxa"/>
          </w:tcPr>
          <w:p w14:paraId="27C982DC" w14:textId="4D357CD4" w:rsidR="00D76D58" w:rsidRPr="00E510A7" w:rsidRDefault="00E510A7" w:rsidP="00D76D58">
            <w:pPr>
              <w:pStyle w:val="paragraph"/>
              <w:spacing w:before="0" w:beforeAutospacing="0" w:after="0" w:afterAutospacing="0"/>
              <w:textAlignment w:val="baseline"/>
              <w:rPr>
                <w:rStyle w:val="normaltextrun"/>
                <w:rFonts w:asciiTheme="minorHAnsi" w:hAnsiTheme="minorHAnsi" w:cstheme="minorHAnsi"/>
              </w:rPr>
            </w:pPr>
            <w:r w:rsidRPr="00E510A7">
              <w:rPr>
                <w:rStyle w:val="normaltextrun"/>
                <w:rFonts w:asciiTheme="minorHAnsi" w:hAnsiTheme="minorHAnsi" w:cstheme="minorHAnsi"/>
              </w:rPr>
              <w:t>60% (10-100%)</w:t>
            </w:r>
          </w:p>
        </w:tc>
        <w:tc>
          <w:tcPr>
            <w:tcW w:w="3117" w:type="dxa"/>
          </w:tcPr>
          <w:p w14:paraId="78ADECBD" w14:textId="1712D2E8" w:rsidR="00E510A7" w:rsidRPr="00E510A7" w:rsidRDefault="00E510A7" w:rsidP="00D76D58">
            <w:pPr>
              <w:pStyle w:val="paragraph"/>
              <w:spacing w:before="0" w:beforeAutospacing="0" w:after="0" w:afterAutospacing="0"/>
              <w:textAlignment w:val="baseline"/>
              <w:rPr>
                <w:rFonts w:asciiTheme="minorHAnsi" w:eastAsiaTheme="minorHAnsi" w:hAnsiTheme="minorHAnsi" w:cstheme="minorHAnsi"/>
              </w:rPr>
            </w:pPr>
            <w:hyperlink r:id="rId9" w:history="1">
              <w:r w:rsidRPr="00E510A7">
                <w:rPr>
                  <w:rStyle w:val="Hyperlink"/>
                  <w:rFonts w:asciiTheme="minorHAnsi" w:hAnsiTheme="minorHAnsi" w:cstheme="minorHAnsi"/>
                </w:rPr>
                <w:t>Singal 2024</w:t>
              </w:r>
            </w:hyperlink>
          </w:p>
        </w:tc>
      </w:tr>
      <w:tr w:rsidR="00161C02" w14:paraId="64883B7B" w14:textId="77777777" w:rsidTr="005A0450">
        <w:tc>
          <w:tcPr>
            <w:tcW w:w="3116" w:type="dxa"/>
          </w:tcPr>
          <w:p w14:paraId="38A23159" w14:textId="77777777" w:rsidR="00161C02" w:rsidRPr="002150F1" w:rsidRDefault="00161C02" w:rsidP="00161C02">
            <w:pPr>
              <w:pStyle w:val="paragraph"/>
              <w:spacing w:before="0" w:beforeAutospacing="0" w:after="0" w:afterAutospacing="0"/>
              <w:textAlignment w:val="baseline"/>
              <w:rPr>
                <w:rStyle w:val="normaltextrun"/>
                <w:rFonts w:ascii="Calibri" w:hAnsi="Calibri" w:cs="Calibri"/>
                <w:b/>
                <w:bCs/>
              </w:rPr>
            </w:pPr>
            <w:r w:rsidRPr="002150F1">
              <w:rPr>
                <w:rStyle w:val="normaltextrun"/>
                <w:rFonts w:ascii="Calibri" w:hAnsi="Calibri" w:cs="Calibri"/>
                <w:b/>
                <w:bCs/>
              </w:rPr>
              <w:t xml:space="preserve">Annual transition probabilities </w:t>
            </w:r>
          </w:p>
        </w:tc>
        <w:tc>
          <w:tcPr>
            <w:tcW w:w="3117" w:type="dxa"/>
          </w:tcPr>
          <w:p w14:paraId="414BFB13"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1AEBD64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r>
      <w:tr w:rsidR="00161C02" w14:paraId="4A97DAB4" w14:textId="77777777" w:rsidTr="005A0450">
        <w:tc>
          <w:tcPr>
            <w:tcW w:w="3116" w:type="dxa"/>
          </w:tcPr>
          <w:p w14:paraId="595EC7C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2423254A"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0.528% (0.124%-1.09%)</w:t>
            </w:r>
          </w:p>
        </w:tc>
        <w:tc>
          <w:tcPr>
            <w:tcW w:w="3117" w:type="dxa"/>
          </w:tcPr>
          <w:p w14:paraId="735A555B" w14:textId="77777777" w:rsidR="00161C02" w:rsidRPr="002150F1" w:rsidRDefault="00161C02" w:rsidP="00161C02">
            <w:pPr>
              <w:pStyle w:val="paragraph"/>
              <w:spacing w:before="0" w:beforeAutospacing="0" w:after="0" w:afterAutospacing="0"/>
              <w:textAlignment w:val="baseline"/>
              <w:rPr>
                <w:rFonts w:ascii="Calibri" w:hAnsi="Calibri" w:cs="Calibri"/>
                <w:u w:val="single"/>
              </w:rPr>
            </w:pPr>
            <w:r w:rsidRPr="002150F1">
              <w:rPr>
                <w:rFonts w:ascii="Calibri" w:hAnsi="Calibri" w:cs="Calibri"/>
              </w:rPr>
              <w:t xml:space="preserve">a. </w:t>
            </w:r>
            <w:hyperlink r:id="rId10">
              <w:r w:rsidRPr="002150F1">
                <w:rPr>
                  <w:rStyle w:val="Hyperlink"/>
                  <w:rFonts w:ascii="Calibri" w:hAnsi="Calibri" w:cs="Calibri"/>
                </w:rPr>
                <w:t>Le 2024</w:t>
              </w:r>
            </w:hyperlink>
            <w:r w:rsidRPr="002150F1">
              <w:rPr>
                <w:rFonts w:ascii="Calibri" w:hAnsi="Calibri" w:cs="Calibri"/>
                <w:u w:val="single"/>
              </w:rPr>
              <w:t xml:space="preserve"> </w:t>
            </w:r>
          </w:p>
          <w:p w14:paraId="6B897D37" w14:textId="77777777" w:rsidR="00161C02" w:rsidRPr="002150F1" w:rsidRDefault="00161C02" w:rsidP="00161C02">
            <w:pPr>
              <w:pStyle w:val="paragraph"/>
              <w:spacing w:before="0" w:beforeAutospacing="0" w:after="0" w:afterAutospacing="0"/>
              <w:textAlignment w:val="baseline"/>
              <w:rPr>
                <w:rFonts w:ascii="Calibri" w:hAnsi="Calibri" w:cs="Calibri"/>
              </w:rPr>
            </w:pPr>
            <w:r w:rsidRPr="002150F1">
              <w:rPr>
                <w:rFonts w:ascii="Calibri" w:hAnsi="Calibri" w:cs="Calibri"/>
              </w:rPr>
              <w:t xml:space="preserve">b. </w:t>
            </w:r>
            <w:hyperlink r:id="rId11" w:history="1">
              <w:r w:rsidRPr="002150F1">
                <w:rPr>
                  <w:rStyle w:val="Hyperlink"/>
                  <w:rFonts w:ascii="Calibri" w:hAnsi="Calibri" w:cs="Calibri"/>
                </w:rPr>
                <w:t>Lee 2024</w:t>
              </w:r>
            </w:hyperlink>
            <w:r w:rsidRPr="002150F1">
              <w:rPr>
                <w:rFonts w:ascii="Calibri" w:hAnsi="Calibri" w:cs="Calibri"/>
                <w:u w:val="single"/>
              </w:rPr>
              <w:t xml:space="preserve"> </w:t>
            </w:r>
          </w:p>
          <w:p w14:paraId="14959C3F"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sidRPr="002150F1">
              <w:rPr>
                <w:rFonts w:ascii="Calibri" w:hAnsi="Calibri" w:cs="Calibri"/>
              </w:rPr>
              <w:t xml:space="preserve">c. </w:t>
            </w:r>
            <w:hyperlink r:id="rId12" w:history="1">
              <w:r w:rsidRPr="002150F1">
                <w:rPr>
                  <w:rStyle w:val="Hyperlink"/>
                  <w:rFonts w:ascii="Calibri" w:hAnsi="Calibri" w:cs="Calibri"/>
                </w:rPr>
                <w:t>Yeoh 2024</w:t>
              </w:r>
            </w:hyperlink>
            <w:r w:rsidRPr="002150F1">
              <w:rPr>
                <w:rFonts w:ascii="Calibri" w:hAnsi="Calibri" w:cs="Calibri"/>
              </w:rPr>
              <w:t xml:space="preserve"> </w:t>
            </w:r>
          </w:p>
        </w:tc>
      </w:tr>
      <w:tr w:rsidR="00161C02" w14:paraId="013183B2" w14:textId="77777777" w:rsidTr="005A0450">
        <w:tc>
          <w:tcPr>
            <w:tcW w:w="3116" w:type="dxa"/>
          </w:tcPr>
          <w:p w14:paraId="3EADFF9C"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Non-cirrhotic MASLD</w:t>
            </w:r>
            <w:r w:rsidRPr="002150F1">
              <w:rPr>
                <w:rStyle w:val="normaltextrun"/>
                <w:rFonts w:ascii="Calibri" w:hAnsi="Calibri" w:cs="Calibri"/>
              </w:rPr>
              <w:t xml:space="preserve"> to </w:t>
            </w:r>
            <w:proofErr w:type="spellStart"/>
            <w:r>
              <w:rPr>
                <w:rStyle w:val="normaltextrun"/>
                <w:rFonts w:ascii="Calibri" w:hAnsi="Calibri" w:cs="Calibri"/>
              </w:rPr>
              <w:t>HCC</w:t>
            </w:r>
            <w:r>
              <w:rPr>
                <w:rStyle w:val="normaltextrun"/>
                <w:rFonts w:ascii="Calibri" w:hAnsi="Calibri" w:cs="Calibri"/>
                <w:vertAlign w:val="superscript"/>
              </w:rPr>
              <w:t>b</w:t>
            </w:r>
            <w:proofErr w:type="spellEnd"/>
          </w:p>
        </w:tc>
        <w:tc>
          <w:tcPr>
            <w:tcW w:w="3117" w:type="dxa"/>
          </w:tcPr>
          <w:p w14:paraId="3433E3CE" w14:textId="77777777" w:rsidR="00161C02" w:rsidRDefault="00161C02" w:rsidP="00161C02">
            <w:pPr>
              <w:pStyle w:val="paragraph"/>
              <w:tabs>
                <w:tab w:val="left" w:pos="2055"/>
              </w:tabs>
              <w:spacing w:before="0" w:beforeAutospacing="0" w:after="0" w:afterAutospacing="0"/>
              <w:jc w:val="both"/>
              <w:textAlignment w:val="baseline"/>
              <w:rPr>
                <w:rStyle w:val="normaltextrun"/>
                <w:rFonts w:ascii="Calibri" w:hAnsi="Calibri" w:cs="Calibri"/>
              </w:rPr>
            </w:pPr>
            <w:r>
              <w:rPr>
                <w:rStyle w:val="normaltextrun"/>
                <w:rFonts w:ascii="Calibri" w:hAnsi="Calibri" w:cs="Calibri"/>
              </w:rPr>
              <w:t>0.051% (0.008%-0.529%)</w:t>
            </w:r>
          </w:p>
        </w:tc>
        <w:tc>
          <w:tcPr>
            <w:tcW w:w="3117" w:type="dxa"/>
          </w:tcPr>
          <w:p w14:paraId="45B73166" w14:textId="77777777" w:rsidR="00161C02" w:rsidRPr="00D27004" w:rsidRDefault="00161C02" w:rsidP="00161C02">
            <w:pPr>
              <w:rPr>
                <w:rFonts w:cstheme="minorHAnsi"/>
              </w:rPr>
            </w:pPr>
            <w:r w:rsidRPr="00D27004">
              <w:rPr>
                <w:rFonts w:cstheme="minorHAnsi"/>
              </w:rPr>
              <w:t xml:space="preserve">a. </w:t>
            </w:r>
            <w:hyperlink r:id="rId13" w:anchor=":~:text=The%20annual%20incidence%20of%20HCC%20in%20patients%20with,and%200.7%20per%201000%20person-years%20with%20FIB-4%20%3C1.30.">
              <w:r w:rsidRPr="00D27004">
                <w:rPr>
                  <w:rStyle w:val="Hyperlink"/>
                  <w:rFonts w:cstheme="minorHAnsi"/>
                </w:rPr>
                <w:t>Behari 2023</w:t>
              </w:r>
            </w:hyperlink>
          </w:p>
          <w:p w14:paraId="1FEEEE8C" w14:textId="77777777" w:rsidR="00161C02" w:rsidRPr="00D27004" w:rsidRDefault="00161C02" w:rsidP="00161C02">
            <w:pPr>
              <w:rPr>
                <w:rFonts w:eastAsia="Calibri" w:cstheme="minorHAnsi"/>
              </w:rPr>
            </w:pPr>
            <w:r w:rsidRPr="00D27004">
              <w:rPr>
                <w:rFonts w:cstheme="minorHAnsi"/>
              </w:rPr>
              <w:t xml:space="preserve">b. </w:t>
            </w:r>
            <w:hyperlink r:id="rId14">
              <w:proofErr w:type="spellStart"/>
              <w:r w:rsidRPr="00D27004">
                <w:rPr>
                  <w:rStyle w:val="Hyperlink"/>
                  <w:rFonts w:eastAsia="Calibri" w:cstheme="minorHAnsi"/>
                </w:rPr>
                <w:t>Younossi</w:t>
              </w:r>
              <w:proofErr w:type="spellEnd"/>
              <w:r w:rsidRPr="00D27004">
                <w:rPr>
                  <w:rStyle w:val="Hyperlink"/>
                  <w:rFonts w:eastAsia="Calibri" w:cstheme="minorHAnsi"/>
                </w:rPr>
                <w:t xml:space="preserve"> 2016</w:t>
              </w:r>
            </w:hyperlink>
            <w:r w:rsidRPr="00D27004">
              <w:rPr>
                <w:rFonts w:eastAsia="Calibri" w:cstheme="minorHAnsi"/>
              </w:rPr>
              <w:t xml:space="preserve"> </w:t>
            </w:r>
          </w:p>
          <w:p w14:paraId="2C423831" w14:textId="77777777" w:rsidR="00161C02" w:rsidRPr="00D27004" w:rsidRDefault="00161C02" w:rsidP="00161C02">
            <w:pPr>
              <w:rPr>
                <w:rStyle w:val="Hyperlink"/>
                <w:rFonts w:eastAsia="Calibri" w:cstheme="minorHAnsi"/>
              </w:rPr>
            </w:pPr>
            <w:r w:rsidRPr="00D27004">
              <w:rPr>
                <w:rFonts w:eastAsia="Calibri" w:cstheme="minorHAnsi"/>
              </w:rPr>
              <w:t xml:space="preserve">c. </w:t>
            </w:r>
            <w:hyperlink r:id="rId15" w:history="1">
              <w:r w:rsidRPr="00D27004">
                <w:rPr>
                  <w:rStyle w:val="Hyperlink"/>
                  <w:rFonts w:eastAsia="Calibri" w:cstheme="minorHAnsi"/>
                </w:rPr>
                <w:t>Kawamura 2012</w:t>
              </w:r>
            </w:hyperlink>
          </w:p>
          <w:p w14:paraId="037286A6" w14:textId="77777777" w:rsidR="00161C02" w:rsidRPr="00D27004" w:rsidRDefault="00161C02" w:rsidP="00161C02">
            <w:pPr>
              <w:rPr>
                <w:rStyle w:val="Hyperlink"/>
                <w:rFonts w:cstheme="minorHAnsi"/>
              </w:rPr>
            </w:pPr>
            <w:r w:rsidRPr="00D27004">
              <w:rPr>
                <w:rFonts w:cstheme="minorHAnsi"/>
              </w:rPr>
              <w:t xml:space="preserve">d. </w:t>
            </w:r>
            <w:hyperlink r:id="rId16" w:anchor="S20" w:history="1">
              <w:r w:rsidRPr="00D27004">
                <w:rPr>
                  <w:rStyle w:val="Hyperlink"/>
                  <w:rFonts w:cstheme="minorHAnsi"/>
                </w:rPr>
                <w:t>Kanwal 2018</w:t>
              </w:r>
            </w:hyperlink>
            <w:r w:rsidRPr="00D27004">
              <w:rPr>
                <w:rStyle w:val="Hyperlink"/>
                <w:rFonts w:cstheme="minorHAnsi"/>
              </w:rPr>
              <w:t xml:space="preserve"> </w:t>
            </w:r>
          </w:p>
          <w:p w14:paraId="5BA42F6C" w14:textId="77777777" w:rsidR="00161C02" w:rsidRPr="00D27004" w:rsidRDefault="00161C02" w:rsidP="00161C02">
            <w:pPr>
              <w:rPr>
                <w:rStyle w:val="Hyperlink"/>
                <w:rFonts w:eastAsia="Calibri" w:cstheme="minorHAnsi"/>
              </w:rPr>
            </w:pPr>
            <w:r w:rsidRPr="00D27004">
              <w:rPr>
                <w:rFonts w:eastAsia="Calibri" w:cstheme="minorHAnsi"/>
              </w:rPr>
              <w:t xml:space="preserve">e. </w:t>
            </w:r>
            <w:hyperlink r:id="rId17">
              <w:proofErr w:type="spellStart"/>
              <w:r w:rsidRPr="00D27004">
                <w:rPr>
                  <w:rStyle w:val="Hyperlink"/>
                  <w:rFonts w:eastAsia="Calibri" w:cstheme="minorHAnsi"/>
                </w:rPr>
                <w:t>Orci</w:t>
              </w:r>
              <w:proofErr w:type="spellEnd"/>
              <w:r w:rsidRPr="00D27004">
                <w:rPr>
                  <w:rStyle w:val="Hyperlink"/>
                  <w:rFonts w:eastAsia="Calibri" w:cstheme="minorHAnsi"/>
                </w:rPr>
                <w:t xml:space="preserve"> 2022</w:t>
              </w:r>
            </w:hyperlink>
          </w:p>
          <w:p w14:paraId="44BC2703"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sidRPr="00D27004">
              <w:rPr>
                <w:rFonts w:asciiTheme="minorHAnsi" w:hAnsiTheme="minorHAnsi" w:cstheme="minorHAnsi"/>
              </w:rPr>
              <w:t xml:space="preserve">f. </w:t>
            </w:r>
            <w:hyperlink r:id="rId18" w:history="1">
              <w:r w:rsidRPr="00D27004">
                <w:rPr>
                  <w:rStyle w:val="Hyperlink"/>
                  <w:rFonts w:asciiTheme="minorHAnsi" w:hAnsiTheme="minorHAnsi" w:cstheme="minorHAnsi"/>
                </w:rPr>
                <w:t>Yeoh 2024</w:t>
              </w:r>
            </w:hyperlink>
          </w:p>
        </w:tc>
      </w:tr>
      <w:tr w:rsidR="00161C02" w14:paraId="4ABF3A50" w14:textId="77777777" w:rsidTr="005A0450">
        <w:tc>
          <w:tcPr>
            <w:tcW w:w="3116" w:type="dxa"/>
          </w:tcPr>
          <w:p w14:paraId="639602D4"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 xml:space="preserve">(Undiagnosed) cirrhosis with MASLD to </w:t>
            </w:r>
            <w:proofErr w:type="spellStart"/>
            <w:r>
              <w:rPr>
                <w:rStyle w:val="normaltextrun"/>
                <w:rFonts w:ascii="Calibri" w:hAnsi="Calibri" w:cs="Calibri"/>
              </w:rPr>
              <w:t>HCC</w:t>
            </w:r>
            <w:r>
              <w:rPr>
                <w:rStyle w:val="normaltextrun"/>
                <w:rFonts w:ascii="Calibri" w:hAnsi="Calibri" w:cs="Calibri"/>
                <w:vertAlign w:val="superscript"/>
              </w:rPr>
              <w:t>b</w:t>
            </w:r>
            <w:proofErr w:type="spellEnd"/>
          </w:p>
        </w:tc>
        <w:tc>
          <w:tcPr>
            <w:tcW w:w="3117" w:type="dxa"/>
          </w:tcPr>
          <w:p w14:paraId="0CF75D94" w14:textId="77777777"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r>
              <w:rPr>
                <w:rStyle w:val="normaltextrun"/>
                <w:rFonts w:ascii="Calibri" w:hAnsi="Calibri" w:cs="Calibri"/>
              </w:rPr>
              <w:t>2.45% (1.06%-4.62%)</w:t>
            </w:r>
          </w:p>
        </w:tc>
        <w:tc>
          <w:tcPr>
            <w:tcW w:w="3117" w:type="dxa"/>
          </w:tcPr>
          <w:p w14:paraId="08CDBE8D" w14:textId="77777777" w:rsidR="00161C02" w:rsidRPr="00825460" w:rsidRDefault="00161C02" w:rsidP="00161C02">
            <w:pPr>
              <w:rPr>
                <w:rFonts w:cstheme="minorHAnsi"/>
              </w:rPr>
            </w:pPr>
            <w:r w:rsidRPr="00825460">
              <w:rPr>
                <w:rFonts w:cstheme="minorHAnsi"/>
              </w:rPr>
              <w:t xml:space="preserve">a. </w:t>
            </w:r>
            <w:hyperlink r:id="rId19">
              <w:proofErr w:type="spellStart"/>
              <w:r w:rsidRPr="00825460">
                <w:rPr>
                  <w:rStyle w:val="Hyperlink"/>
                  <w:rFonts w:cstheme="minorHAnsi"/>
                </w:rPr>
                <w:t>Ascha</w:t>
              </w:r>
              <w:proofErr w:type="spellEnd"/>
              <w:r w:rsidRPr="00825460">
                <w:rPr>
                  <w:rStyle w:val="Hyperlink"/>
                  <w:rFonts w:cstheme="minorHAnsi"/>
                </w:rPr>
                <w:t xml:space="preserve"> 2010</w:t>
              </w:r>
            </w:hyperlink>
          </w:p>
          <w:p w14:paraId="5813DB26" w14:textId="77777777" w:rsidR="00161C02" w:rsidRPr="00825460" w:rsidRDefault="00161C02" w:rsidP="00161C02">
            <w:pPr>
              <w:rPr>
                <w:rStyle w:val="Hyperlink"/>
                <w:rFonts w:eastAsia="Calibri" w:cstheme="minorHAnsi"/>
              </w:rPr>
            </w:pPr>
            <w:r w:rsidRPr="00825460">
              <w:rPr>
                <w:rFonts w:eastAsia="Calibri" w:cstheme="minorHAnsi"/>
              </w:rPr>
              <w:t xml:space="preserve">b. </w:t>
            </w:r>
            <w:hyperlink r:id="rId20">
              <w:proofErr w:type="spellStart"/>
              <w:r w:rsidRPr="00825460">
                <w:rPr>
                  <w:rStyle w:val="Hyperlink"/>
                  <w:rFonts w:eastAsia="Calibri" w:cstheme="minorHAnsi"/>
                </w:rPr>
                <w:t>Orci</w:t>
              </w:r>
              <w:proofErr w:type="spellEnd"/>
              <w:r w:rsidRPr="00825460">
                <w:rPr>
                  <w:rStyle w:val="Hyperlink"/>
                  <w:rFonts w:eastAsia="Calibri" w:cstheme="minorHAnsi"/>
                </w:rPr>
                <w:t xml:space="preserve"> 2022</w:t>
              </w:r>
            </w:hyperlink>
          </w:p>
          <w:p w14:paraId="0CCB15ED" w14:textId="77777777" w:rsidR="00161C02" w:rsidRPr="00825460" w:rsidRDefault="00161C02" w:rsidP="00161C02">
            <w:pPr>
              <w:rPr>
                <w:rStyle w:val="Hyperlink"/>
                <w:rFonts w:cstheme="minorHAnsi"/>
              </w:rPr>
            </w:pPr>
            <w:r w:rsidRPr="00825460">
              <w:rPr>
                <w:rFonts w:cstheme="minorHAnsi"/>
              </w:rPr>
              <w:t xml:space="preserve">c. </w:t>
            </w:r>
            <w:hyperlink r:id="rId21" w:anchor=":~:text=The%20annual%20incidence%20of%20HCC%20in%20patients%20with,and%200.7%20per%201000%20person-years%20with%20FIB-4%20%3C1.30.">
              <w:r w:rsidRPr="00825460">
                <w:rPr>
                  <w:rStyle w:val="Hyperlink"/>
                  <w:rFonts w:cstheme="minorHAnsi"/>
                </w:rPr>
                <w:t>Behari 2023</w:t>
              </w:r>
            </w:hyperlink>
          </w:p>
          <w:p w14:paraId="6614E5C2" w14:textId="77777777"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 xml:space="preserve">d. </w:t>
            </w:r>
            <w:hyperlink r:id="rId22" w:anchor="S20" w:history="1">
              <w:r w:rsidRPr="00825460">
                <w:rPr>
                  <w:rStyle w:val="Hyperlink"/>
                  <w:rFonts w:asciiTheme="minorHAnsi" w:hAnsiTheme="minorHAnsi" w:cstheme="minorHAnsi"/>
                </w:rPr>
                <w:t>Kanwal 2018</w:t>
              </w:r>
            </w:hyperlink>
          </w:p>
        </w:tc>
      </w:tr>
      <w:tr w:rsidR="00161C02" w14:paraId="2B213B5D" w14:textId="77777777" w:rsidTr="005A0450">
        <w:tc>
          <w:tcPr>
            <w:tcW w:w="3116" w:type="dxa"/>
          </w:tcPr>
          <w:p w14:paraId="2101F97A" w14:textId="0C9C0E9E"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MASLD (non-cirrhotic or with undiagnosed cirrhosis) to false positive HCC</w:t>
            </w:r>
          </w:p>
        </w:tc>
        <w:tc>
          <w:tcPr>
            <w:tcW w:w="3117" w:type="dxa"/>
          </w:tcPr>
          <w:p w14:paraId="63CC74B1" w14:textId="3863B932"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r>
              <w:rPr>
                <w:rStyle w:val="normaltextrun"/>
                <w:rFonts w:ascii="Calibri" w:hAnsi="Calibri" w:cs="Calibri"/>
              </w:rPr>
              <w:t>15% (7%-27%)</w:t>
            </w:r>
          </w:p>
        </w:tc>
        <w:tc>
          <w:tcPr>
            <w:tcW w:w="3117" w:type="dxa"/>
          </w:tcPr>
          <w:p w14:paraId="6F130D7C" w14:textId="48F94A0E" w:rsidR="00161C02" w:rsidRDefault="00161C02" w:rsidP="00161C02">
            <w:pPr>
              <w:rPr>
                <w:rFonts w:cstheme="minorHAnsi"/>
              </w:rPr>
            </w:pPr>
            <w:hyperlink r:id="rId23" w:history="1">
              <w:r>
                <w:rPr>
                  <w:rStyle w:val="Hyperlink"/>
                </w:rPr>
                <w:t>Colli 2021</w:t>
              </w:r>
            </w:hyperlink>
          </w:p>
          <w:p w14:paraId="35A58D0F" w14:textId="431A9D58" w:rsidR="00161C02" w:rsidRPr="00742D70" w:rsidRDefault="00161C02" w:rsidP="00161C02">
            <w:pPr>
              <w:ind w:firstLine="720"/>
              <w:rPr>
                <w:rFonts w:cstheme="minorHAnsi"/>
              </w:rPr>
            </w:pPr>
          </w:p>
        </w:tc>
      </w:tr>
      <w:tr w:rsidR="00161C02" w14:paraId="15551B71" w14:textId="77777777" w:rsidTr="005A0450">
        <w:tc>
          <w:tcPr>
            <w:tcW w:w="3116" w:type="dxa"/>
          </w:tcPr>
          <w:p w14:paraId="0704C0F7" w14:textId="3A99DA31"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Non-cirrhotic MASLD to death </w:t>
            </w:r>
          </w:p>
        </w:tc>
        <w:tc>
          <w:tcPr>
            <w:tcW w:w="3117" w:type="dxa"/>
          </w:tcPr>
          <w:p w14:paraId="5C6B752F" w14:textId="2BADB0F7"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r w:rsidRPr="00742D70">
              <w:rPr>
                <w:rStyle w:val="normaltextrun"/>
                <w:rFonts w:ascii="Calibri" w:hAnsi="Calibri" w:cs="Calibri"/>
              </w:rPr>
              <w:t>0.450% (0.03%-1.18%)</w:t>
            </w:r>
          </w:p>
        </w:tc>
        <w:tc>
          <w:tcPr>
            <w:tcW w:w="3117" w:type="dxa"/>
          </w:tcPr>
          <w:p w14:paraId="66280D0A" w14:textId="77777777" w:rsidR="00161C02" w:rsidRPr="00F51D0F" w:rsidRDefault="00161C02" w:rsidP="00161C02">
            <w:r>
              <w:rPr>
                <w:rFonts w:ascii="Calibri" w:eastAsia="Calibri" w:hAnsi="Calibri" w:cs="Calibri"/>
              </w:rPr>
              <w:t>a</w:t>
            </w:r>
            <w:r w:rsidRPr="06C2198C">
              <w:rPr>
                <w:rFonts w:ascii="Calibri" w:eastAsia="Calibri" w:hAnsi="Calibri" w:cs="Calibri"/>
              </w:rPr>
              <w:t xml:space="preserve">. </w:t>
            </w:r>
            <w:hyperlink r:id="rId24">
              <w:proofErr w:type="spellStart"/>
              <w:r w:rsidRPr="06C2198C">
                <w:rPr>
                  <w:rStyle w:val="Hyperlink"/>
                  <w:rFonts w:ascii="Calibri" w:eastAsia="Calibri" w:hAnsi="Calibri" w:cs="Calibri"/>
                </w:rPr>
                <w:t>Dulai</w:t>
              </w:r>
              <w:proofErr w:type="spellEnd"/>
              <w:r w:rsidRPr="06C2198C">
                <w:rPr>
                  <w:rStyle w:val="Hyperlink"/>
                  <w:rFonts w:ascii="Calibri" w:eastAsia="Calibri" w:hAnsi="Calibri" w:cs="Calibri"/>
                </w:rPr>
                <w:t xml:space="preserve"> 2018</w:t>
              </w:r>
            </w:hyperlink>
          </w:p>
          <w:p w14:paraId="298935EA" w14:textId="77777777" w:rsidR="00161C02" w:rsidRPr="00F51D0F" w:rsidRDefault="00161C02" w:rsidP="00161C02">
            <w:pPr>
              <w:rPr>
                <w:highlight w:val="yellow"/>
              </w:rPr>
            </w:pPr>
            <w:r>
              <w:rPr>
                <w:rFonts w:ascii="Calibri" w:eastAsia="Calibri" w:hAnsi="Calibri" w:cs="Calibri"/>
              </w:rPr>
              <w:t>b</w:t>
            </w:r>
            <w:r w:rsidRPr="06C2198C">
              <w:rPr>
                <w:rFonts w:ascii="Calibri" w:eastAsia="Calibri" w:hAnsi="Calibri" w:cs="Calibri"/>
              </w:rPr>
              <w:t xml:space="preserve">. </w:t>
            </w:r>
            <w:hyperlink r:id="rId25">
              <w:proofErr w:type="spellStart"/>
              <w:r w:rsidRPr="06C2198C">
                <w:rPr>
                  <w:rStyle w:val="Hyperlink"/>
                </w:rPr>
                <w:t>Younossi</w:t>
              </w:r>
              <w:proofErr w:type="spellEnd"/>
              <w:r w:rsidRPr="06C2198C">
                <w:rPr>
                  <w:rStyle w:val="Hyperlink"/>
                </w:rPr>
                <w:t xml:space="preserve"> 2016</w:t>
              </w:r>
            </w:hyperlink>
          </w:p>
          <w:p w14:paraId="217B616B" w14:textId="0FE62076" w:rsidR="00161C02" w:rsidRPr="00825460" w:rsidRDefault="00161C02" w:rsidP="00161C02">
            <w:pPr>
              <w:rPr>
                <w:rFonts w:cstheme="minorHAnsi"/>
              </w:rPr>
            </w:pPr>
            <w:r>
              <w:rPr>
                <w:rFonts w:ascii="Calibri" w:eastAsia="Calibri" w:hAnsi="Calibri" w:cs="Calibri"/>
              </w:rPr>
              <w:t>c</w:t>
            </w:r>
            <w:r w:rsidRPr="06C2198C">
              <w:rPr>
                <w:rFonts w:ascii="Calibri" w:eastAsia="Calibri" w:hAnsi="Calibri" w:cs="Calibri"/>
              </w:rPr>
              <w:t xml:space="preserve">. </w:t>
            </w:r>
            <w:hyperlink r:id="rId26" w:anchor="sec12">
              <w:proofErr w:type="spellStart"/>
              <w:r w:rsidRPr="06C2198C">
                <w:rPr>
                  <w:rStyle w:val="Hyperlink"/>
                  <w:rFonts w:ascii="Calibri" w:eastAsia="Calibri" w:hAnsi="Calibri" w:cs="Calibri"/>
                </w:rPr>
                <w:t>Younossi</w:t>
              </w:r>
              <w:proofErr w:type="spellEnd"/>
              <w:r w:rsidRPr="06C2198C">
                <w:rPr>
                  <w:rStyle w:val="Hyperlink"/>
                  <w:rFonts w:ascii="Calibri" w:eastAsia="Calibri" w:hAnsi="Calibri" w:cs="Calibri"/>
                </w:rPr>
                <w:t xml:space="preserve"> 2023</w:t>
              </w:r>
            </w:hyperlink>
          </w:p>
        </w:tc>
      </w:tr>
      <w:tr w:rsidR="00161C02" w14:paraId="0D0617E2" w14:textId="77777777" w:rsidTr="005A0450">
        <w:tc>
          <w:tcPr>
            <w:tcW w:w="3116" w:type="dxa"/>
          </w:tcPr>
          <w:p w14:paraId="031B38C4" w14:textId="4C193C9A"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(Undiagnosed cirrhosis with MASLD) to death </w:t>
            </w:r>
          </w:p>
        </w:tc>
        <w:tc>
          <w:tcPr>
            <w:tcW w:w="3117" w:type="dxa"/>
          </w:tcPr>
          <w:p w14:paraId="465D5EC4" w14:textId="38AEEE8D"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r>
              <w:rPr>
                <w:rStyle w:val="normaltextrun"/>
                <w:rFonts w:ascii="Calibri" w:hAnsi="Calibri" w:cs="Calibri"/>
              </w:rPr>
              <w:t>0.5% (0.3%-0.7%)</w:t>
            </w:r>
          </w:p>
        </w:tc>
        <w:tc>
          <w:tcPr>
            <w:tcW w:w="3117" w:type="dxa"/>
          </w:tcPr>
          <w:p w14:paraId="183F3F26" w14:textId="77777777" w:rsidR="00161C02" w:rsidRPr="00883002" w:rsidRDefault="00161C02" w:rsidP="00161C02">
            <w:pPr>
              <w:rPr>
                <w:highlight w:val="yellow"/>
              </w:rPr>
            </w:pPr>
            <w:r>
              <w:t xml:space="preserve">a. </w:t>
            </w:r>
            <w:hyperlink r:id="rId27">
              <w:r w:rsidRPr="06C2198C">
                <w:rPr>
                  <w:rStyle w:val="Hyperlink"/>
                </w:rPr>
                <w:t>Cheng 2023</w:t>
              </w:r>
            </w:hyperlink>
            <w:r>
              <w:t xml:space="preserve"> </w:t>
            </w:r>
          </w:p>
          <w:p w14:paraId="07095B74" w14:textId="4D664B6D" w:rsidR="00161C02" w:rsidRPr="00825460" w:rsidRDefault="00161C02" w:rsidP="00161C02">
            <w:pPr>
              <w:rPr>
                <w:rFonts w:cstheme="minorHAnsi"/>
              </w:rPr>
            </w:pPr>
            <w:r>
              <w:t xml:space="preserve">b. </w:t>
            </w:r>
            <w:hyperlink r:id="rId28">
              <w:r w:rsidRPr="06C2198C">
                <w:rPr>
                  <w:rStyle w:val="Hyperlink"/>
                </w:rPr>
                <w:t>Wang 2023</w:t>
              </w:r>
            </w:hyperlink>
          </w:p>
        </w:tc>
      </w:tr>
      <w:tr w:rsidR="00161C02" w14:paraId="748F8CBB" w14:textId="77777777" w:rsidTr="005A0450">
        <w:tc>
          <w:tcPr>
            <w:tcW w:w="3116" w:type="dxa"/>
          </w:tcPr>
          <w:p w14:paraId="59DA282F" w14:textId="53C2904C" w:rsidR="00161C02" w:rsidRDefault="00161C02" w:rsidP="00161C02">
            <w:pPr>
              <w:pStyle w:val="paragraph"/>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Early stage</w:t>
            </w:r>
            <w:proofErr w:type="gramEnd"/>
            <w:r>
              <w:rPr>
                <w:rStyle w:val="normaltextrun"/>
                <w:rFonts w:ascii="Calibri" w:hAnsi="Calibri" w:cs="Calibri"/>
              </w:rPr>
              <w:t xml:space="preserve"> HCC to treatment</w:t>
            </w:r>
          </w:p>
        </w:tc>
        <w:tc>
          <w:tcPr>
            <w:tcW w:w="3117" w:type="dxa"/>
          </w:tcPr>
          <w:p w14:paraId="21447BE7" w14:textId="400EAAC9" w:rsidR="00161C02" w:rsidRPr="00C30F55" w:rsidRDefault="00161C02" w:rsidP="00161C02">
            <w:pPr>
              <w:pStyle w:val="paragraph"/>
              <w:tabs>
                <w:tab w:val="left" w:pos="1965"/>
              </w:tabs>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47.1% (37.1%-57.1</w:t>
            </w:r>
            <w:proofErr w:type="gramStart"/>
            <w:r>
              <w:rPr>
                <w:rStyle w:val="normaltextrun"/>
                <w:rFonts w:ascii="Calibri" w:hAnsi="Calibri" w:cs="Calibri"/>
              </w:rPr>
              <w:t>%)</w:t>
            </w:r>
            <w:r>
              <w:rPr>
                <w:rStyle w:val="normaltextrun"/>
                <w:rFonts w:ascii="Calibri" w:hAnsi="Calibri" w:cs="Calibri"/>
                <w:vertAlign w:val="superscript"/>
              </w:rPr>
              <w:t>c</w:t>
            </w:r>
            <w:proofErr w:type="gramEnd"/>
          </w:p>
        </w:tc>
        <w:tc>
          <w:tcPr>
            <w:tcW w:w="3117" w:type="dxa"/>
          </w:tcPr>
          <w:p w14:paraId="5B5204D0" w14:textId="2E4E84A4" w:rsidR="00161C02" w:rsidRDefault="00161C02" w:rsidP="00161C02">
            <w:r>
              <w:t>Derived from SEER-Medicare database</w:t>
            </w:r>
          </w:p>
        </w:tc>
      </w:tr>
      <w:tr w:rsidR="00161C02" w14:paraId="4034B228" w14:textId="77777777" w:rsidTr="005A0450">
        <w:tc>
          <w:tcPr>
            <w:tcW w:w="3116" w:type="dxa"/>
          </w:tcPr>
          <w:p w14:paraId="7B4D9EF9" w14:textId="64D95D44" w:rsidR="00161C02" w:rsidRDefault="00161C02" w:rsidP="00161C02">
            <w:pPr>
              <w:pStyle w:val="paragraph"/>
              <w:spacing w:before="0" w:beforeAutospacing="0" w:after="0" w:afterAutospacing="0"/>
              <w:textAlignment w:val="baseline"/>
              <w:rPr>
                <w:rStyle w:val="normaltextrun"/>
                <w:rFonts w:ascii="Calibri" w:hAnsi="Calibri" w:cs="Calibri"/>
              </w:rPr>
            </w:pPr>
            <w:r w:rsidRPr="009518A5">
              <w:rPr>
                <w:rStyle w:val="normaltextrun"/>
                <w:rFonts w:ascii="Calibri" w:hAnsi="Calibri" w:cs="Calibri"/>
                <w:highlight w:val="yellow"/>
              </w:rPr>
              <w:t xml:space="preserve">Treated </w:t>
            </w:r>
            <w:proofErr w:type="gramStart"/>
            <w:r w:rsidRPr="009518A5">
              <w:rPr>
                <w:rStyle w:val="normaltextrun"/>
                <w:rFonts w:ascii="Calibri" w:hAnsi="Calibri" w:cs="Calibri"/>
                <w:highlight w:val="yellow"/>
              </w:rPr>
              <w:t>early stage</w:t>
            </w:r>
            <w:proofErr w:type="gramEnd"/>
            <w:r w:rsidRPr="009518A5">
              <w:rPr>
                <w:rStyle w:val="normaltextrun"/>
                <w:rFonts w:ascii="Calibri" w:hAnsi="Calibri" w:cs="Calibri"/>
                <w:highlight w:val="yellow"/>
              </w:rPr>
              <w:t xml:space="preserve"> HCC to death</w:t>
            </w:r>
            <w:r>
              <w:rPr>
                <w:rStyle w:val="normaltextrun"/>
                <w:rFonts w:ascii="Calibri" w:hAnsi="Calibri" w:cs="Calibri"/>
              </w:rPr>
              <w:t xml:space="preserve"> </w:t>
            </w:r>
          </w:p>
        </w:tc>
        <w:tc>
          <w:tcPr>
            <w:tcW w:w="3117" w:type="dxa"/>
          </w:tcPr>
          <w:p w14:paraId="6BD8B9BB" w14:textId="4F950C4D" w:rsidR="00161C02" w:rsidRPr="00C30F55" w:rsidRDefault="00161C02" w:rsidP="00161C02">
            <w:pPr>
              <w:pStyle w:val="paragraph"/>
              <w:tabs>
                <w:tab w:val="left" w:pos="1965"/>
              </w:tabs>
              <w:spacing w:before="0" w:beforeAutospacing="0" w:after="0" w:afterAutospacing="0"/>
              <w:textAlignment w:val="baseline"/>
              <w:rPr>
                <w:rStyle w:val="normaltextrun"/>
                <w:rFonts w:ascii="Calibri" w:hAnsi="Calibri" w:cs="Calibri"/>
                <w:vertAlign w:val="superscript"/>
              </w:rPr>
            </w:pPr>
            <w:proofErr w:type="gramStart"/>
            <w:r>
              <w:rPr>
                <w:rStyle w:val="normaltextrun"/>
                <w:rFonts w:ascii="Calibri" w:hAnsi="Calibri" w:cs="Calibri"/>
              </w:rPr>
              <w:t>()</w:t>
            </w:r>
            <w:r>
              <w:rPr>
                <w:rStyle w:val="normaltextrun"/>
                <w:rFonts w:ascii="Calibri" w:hAnsi="Calibri" w:cs="Calibri"/>
                <w:vertAlign w:val="superscript"/>
              </w:rPr>
              <w:t>c</w:t>
            </w:r>
            <w:proofErr w:type="gramEnd"/>
          </w:p>
        </w:tc>
        <w:tc>
          <w:tcPr>
            <w:tcW w:w="3117" w:type="dxa"/>
          </w:tcPr>
          <w:p w14:paraId="745A1DC3" w14:textId="5E535D2D" w:rsidR="00161C02" w:rsidRDefault="00161C02" w:rsidP="00161C02">
            <w:r>
              <w:t xml:space="preserve">Derived by weighed survival across various treatment types, see Supplemental Methods </w:t>
            </w:r>
          </w:p>
        </w:tc>
      </w:tr>
      <w:tr w:rsidR="00161C02" w14:paraId="5DCF3801" w14:textId="77777777" w:rsidTr="005A0450">
        <w:tc>
          <w:tcPr>
            <w:tcW w:w="3116" w:type="dxa"/>
          </w:tcPr>
          <w:p w14:paraId="76FDBAFA" w14:textId="74AE82C4"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Untreated early-stage HCC to death </w:t>
            </w:r>
          </w:p>
        </w:tc>
        <w:tc>
          <w:tcPr>
            <w:tcW w:w="3117" w:type="dxa"/>
          </w:tcPr>
          <w:p w14:paraId="7EFAFCF5" w14:textId="77E76B50" w:rsidR="00161C02" w:rsidRPr="00C30F55"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35.7%</w:t>
            </w:r>
            <w:r>
              <w:rPr>
                <w:rFonts w:asciiTheme="minorHAnsi" w:hAnsiTheme="minorHAnsi" w:cstheme="minorHAnsi"/>
              </w:rPr>
              <w:t xml:space="preserve"> (25.7%-45.7</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tcPr>
          <w:p w14:paraId="7DC731D2" w14:textId="73108403" w:rsidR="00161C02" w:rsidRDefault="00161C02" w:rsidP="00161C02">
            <w:hyperlink r:id="rId29" w:history="1">
              <w:r w:rsidRPr="00AF634C">
                <w:rPr>
                  <w:rStyle w:val="Hyperlink"/>
                </w:rPr>
                <w:t>Khalaf 2017</w:t>
              </w:r>
            </w:hyperlink>
          </w:p>
        </w:tc>
      </w:tr>
      <w:tr w:rsidR="00161C02" w14:paraId="788F13B2" w14:textId="77777777" w:rsidTr="005A0450">
        <w:tc>
          <w:tcPr>
            <w:tcW w:w="3116" w:type="dxa"/>
          </w:tcPr>
          <w:p w14:paraId="5D09321C" w14:textId="4582106D"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Intermediate stage HCC to treatment </w:t>
            </w:r>
          </w:p>
        </w:tc>
        <w:tc>
          <w:tcPr>
            <w:tcW w:w="3117" w:type="dxa"/>
          </w:tcPr>
          <w:p w14:paraId="44D45328" w14:textId="35ADD7BE" w:rsidR="00161C02" w:rsidRPr="00C30F55" w:rsidRDefault="00161C02" w:rsidP="00161C02">
            <w:pPr>
              <w:pStyle w:val="paragraph"/>
              <w:tabs>
                <w:tab w:val="left" w:pos="1965"/>
              </w:tabs>
              <w:spacing w:before="0" w:beforeAutospacing="0" w:after="0" w:afterAutospacing="0"/>
              <w:textAlignment w:val="baseline"/>
              <w:rPr>
                <w:rFonts w:asciiTheme="minorHAnsi" w:hAnsiTheme="minorHAnsi" w:cstheme="minorHAnsi"/>
                <w:vertAlign w:val="superscript"/>
              </w:rPr>
            </w:pPr>
            <w:r>
              <w:rPr>
                <w:rFonts w:asciiTheme="minorHAnsi" w:hAnsiTheme="minorHAnsi" w:cstheme="minorHAnsi"/>
              </w:rPr>
              <w:t>47.9% (37.9%-57.9</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tcPr>
          <w:p w14:paraId="20871075" w14:textId="64195E4C" w:rsidR="00161C02" w:rsidRDefault="00161C02" w:rsidP="00161C02">
            <w:r>
              <w:t>Derived from SEER-Medicare database</w:t>
            </w:r>
          </w:p>
        </w:tc>
      </w:tr>
      <w:tr w:rsidR="00161C02" w14:paraId="113E6D12" w14:textId="77777777" w:rsidTr="005A0450">
        <w:tc>
          <w:tcPr>
            <w:tcW w:w="3116" w:type="dxa"/>
          </w:tcPr>
          <w:p w14:paraId="332FCA20" w14:textId="6A94A996" w:rsidR="00161C02" w:rsidRDefault="00161C02" w:rsidP="00161C02">
            <w:pPr>
              <w:pStyle w:val="paragraph"/>
              <w:spacing w:before="0" w:beforeAutospacing="0" w:after="0" w:afterAutospacing="0"/>
              <w:textAlignment w:val="baseline"/>
              <w:rPr>
                <w:rStyle w:val="normaltextrun"/>
                <w:rFonts w:ascii="Calibri" w:hAnsi="Calibri" w:cs="Calibri"/>
              </w:rPr>
            </w:pPr>
            <w:r w:rsidRPr="009518A5">
              <w:rPr>
                <w:rStyle w:val="normaltextrun"/>
                <w:rFonts w:ascii="Calibri" w:hAnsi="Calibri" w:cs="Calibri"/>
                <w:highlight w:val="yellow"/>
              </w:rPr>
              <w:t>Treated intermediate stage HCC to death</w:t>
            </w:r>
            <w:r>
              <w:rPr>
                <w:rStyle w:val="normaltextrun"/>
                <w:rFonts w:ascii="Calibri" w:hAnsi="Calibri" w:cs="Calibri"/>
              </w:rPr>
              <w:t xml:space="preserve"> </w:t>
            </w:r>
          </w:p>
        </w:tc>
        <w:tc>
          <w:tcPr>
            <w:tcW w:w="3117" w:type="dxa"/>
          </w:tcPr>
          <w:p w14:paraId="4B69FD59" w14:textId="6F0AE546" w:rsidR="00161C02" w:rsidRPr="00742D70"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rPr>
            </w:pPr>
            <w:proofErr w:type="gramStart"/>
            <w:r>
              <w:rPr>
                <w:rStyle w:val="normaltextrun"/>
                <w:rFonts w:ascii="Calibri" w:hAnsi="Calibri" w:cs="Calibri"/>
              </w:rPr>
              <w:t>()</w:t>
            </w:r>
            <w:r>
              <w:rPr>
                <w:rStyle w:val="normaltextrun"/>
                <w:rFonts w:ascii="Calibri" w:hAnsi="Calibri" w:cs="Calibri"/>
                <w:vertAlign w:val="superscript"/>
              </w:rPr>
              <w:t>c</w:t>
            </w:r>
            <w:proofErr w:type="gramEnd"/>
          </w:p>
        </w:tc>
        <w:tc>
          <w:tcPr>
            <w:tcW w:w="3117" w:type="dxa"/>
          </w:tcPr>
          <w:p w14:paraId="3C29235D" w14:textId="1C8B9D82" w:rsidR="00161C02" w:rsidRDefault="00161C02" w:rsidP="00161C02">
            <w:r>
              <w:t xml:space="preserve">Derived by weighed survival across various treatment </w:t>
            </w:r>
            <w:r>
              <w:lastRenderedPageBreak/>
              <w:t xml:space="preserve">types, see Supplemental Methods </w:t>
            </w:r>
          </w:p>
        </w:tc>
      </w:tr>
      <w:tr w:rsidR="00161C02" w14:paraId="30B39B7A" w14:textId="77777777" w:rsidTr="005A0450">
        <w:tc>
          <w:tcPr>
            <w:tcW w:w="3116" w:type="dxa"/>
          </w:tcPr>
          <w:p w14:paraId="347C5E17" w14:textId="2357ACDC"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lastRenderedPageBreak/>
              <w:t xml:space="preserve">Untreated intermediate stage HCC to death </w:t>
            </w:r>
          </w:p>
        </w:tc>
        <w:tc>
          <w:tcPr>
            <w:tcW w:w="3117" w:type="dxa"/>
          </w:tcPr>
          <w:p w14:paraId="223272A5" w14:textId="4FAC69F1" w:rsidR="00161C02" w:rsidRPr="00C30F55"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63.2%</w:t>
            </w:r>
            <w:r>
              <w:rPr>
                <w:rFonts w:asciiTheme="minorHAnsi" w:hAnsiTheme="minorHAnsi" w:cstheme="minorHAnsi"/>
              </w:rPr>
              <w:t xml:space="preserve"> (53.2%-73.2</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tcPr>
          <w:p w14:paraId="0464F910" w14:textId="7CF864BB" w:rsidR="00161C02" w:rsidRDefault="00161C02" w:rsidP="00161C02">
            <w:hyperlink r:id="rId30" w:history="1">
              <w:r w:rsidRPr="00AF634C">
                <w:rPr>
                  <w:rStyle w:val="Hyperlink"/>
                </w:rPr>
                <w:t>Khalaf 2017</w:t>
              </w:r>
            </w:hyperlink>
          </w:p>
        </w:tc>
      </w:tr>
      <w:tr w:rsidR="00161C02" w14:paraId="68479721" w14:textId="77777777" w:rsidTr="005A0450">
        <w:tc>
          <w:tcPr>
            <w:tcW w:w="3116" w:type="dxa"/>
          </w:tcPr>
          <w:p w14:paraId="0BF7341A" w14:textId="29882937" w:rsidR="00161C02" w:rsidRDefault="00161C02" w:rsidP="00161C02">
            <w:pPr>
              <w:pStyle w:val="paragraph"/>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Late stage</w:t>
            </w:r>
            <w:proofErr w:type="gramEnd"/>
            <w:r>
              <w:rPr>
                <w:rStyle w:val="normaltextrun"/>
                <w:rFonts w:ascii="Calibri" w:hAnsi="Calibri" w:cs="Calibri"/>
              </w:rPr>
              <w:t xml:space="preserve"> HCC to treatment </w:t>
            </w:r>
          </w:p>
        </w:tc>
        <w:tc>
          <w:tcPr>
            <w:tcW w:w="3117" w:type="dxa"/>
          </w:tcPr>
          <w:p w14:paraId="25968E15" w14:textId="31F2EE4A" w:rsidR="00161C02" w:rsidRPr="00C30F55" w:rsidRDefault="00161C02" w:rsidP="00161C02">
            <w:pPr>
              <w:pStyle w:val="paragraph"/>
              <w:tabs>
                <w:tab w:val="left" w:pos="1965"/>
              </w:tabs>
              <w:spacing w:before="0" w:beforeAutospacing="0" w:after="0" w:afterAutospacing="0"/>
              <w:textAlignment w:val="baseline"/>
              <w:rPr>
                <w:rFonts w:asciiTheme="minorHAnsi" w:hAnsiTheme="minorHAnsi" w:cstheme="minorHAnsi"/>
                <w:vertAlign w:val="superscript"/>
              </w:rPr>
            </w:pPr>
            <w:r>
              <w:rPr>
                <w:rFonts w:asciiTheme="minorHAnsi" w:hAnsiTheme="minorHAnsi" w:cstheme="minorHAnsi"/>
              </w:rPr>
              <w:t>37.6% (27.6%-47.6</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tcPr>
          <w:p w14:paraId="1BD57DCB" w14:textId="50124BA1" w:rsidR="00161C02" w:rsidRDefault="00161C02" w:rsidP="00161C02">
            <w:r>
              <w:t>Derived from SEER-Medicare database</w:t>
            </w:r>
          </w:p>
        </w:tc>
      </w:tr>
      <w:tr w:rsidR="00161C02" w14:paraId="20824EE9" w14:textId="77777777" w:rsidTr="005A0450">
        <w:tc>
          <w:tcPr>
            <w:tcW w:w="3116" w:type="dxa"/>
          </w:tcPr>
          <w:p w14:paraId="5A7281D6" w14:textId="2AC0C379" w:rsidR="00161C02" w:rsidRDefault="00161C02" w:rsidP="00161C02">
            <w:pPr>
              <w:pStyle w:val="paragraph"/>
              <w:spacing w:before="0" w:beforeAutospacing="0" w:after="0" w:afterAutospacing="0"/>
              <w:textAlignment w:val="baseline"/>
              <w:rPr>
                <w:rStyle w:val="normaltextrun"/>
                <w:rFonts w:ascii="Calibri" w:hAnsi="Calibri" w:cs="Calibri"/>
              </w:rPr>
            </w:pPr>
            <w:r w:rsidRPr="009518A5">
              <w:rPr>
                <w:rStyle w:val="normaltextrun"/>
                <w:rFonts w:ascii="Calibri" w:hAnsi="Calibri" w:cs="Calibri"/>
                <w:highlight w:val="yellow"/>
              </w:rPr>
              <w:t xml:space="preserve">Treated </w:t>
            </w:r>
            <w:proofErr w:type="gramStart"/>
            <w:r w:rsidRPr="009518A5">
              <w:rPr>
                <w:rStyle w:val="normaltextrun"/>
                <w:rFonts w:ascii="Calibri" w:hAnsi="Calibri" w:cs="Calibri"/>
                <w:highlight w:val="yellow"/>
              </w:rPr>
              <w:t>late stage</w:t>
            </w:r>
            <w:proofErr w:type="gramEnd"/>
            <w:r w:rsidRPr="009518A5">
              <w:rPr>
                <w:rStyle w:val="normaltextrun"/>
                <w:rFonts w:ascii="Calibri" w:hAnsi="Calibri" w:cs="Calibri"/>
                <w:highlight w:val="yellow"/>
              </w:rPr>
              <w:t xml:space="preserve"> HCC to death</w:t>
            </w:r>
            <w:r>
              <w:rPr>
                <w:rStyle w:val="normaltextrun"/>
                <w:rFonts w:ascii="Calibri" w:hAnsi="Calibri" w:cs="Calibri"/>
              </w:rPr>
              <w:t xml:space="preserve"> </w:t>
            </w:r>
          </w:p>
        </w:tc>
        <w:tc>
          <w:tcPr>
            <w:tcW w:w="3117" w:type="dxa"/>
          </w:tcPr>
          <w:p w14:paraId="75EBCF8C" w14:textId="100AA831" w:rsidR="00161C02" w:rsidRPr="00742D70"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rPr>
            </w:pPr>
            <w:proofErr w:type="gramStart"/>
            <w:r>
              <w:rPr>
                <w:rStyle w:val="normaltextrun"/>
                <w:rFonts w:ascii="Calibri" w:hAnsi="Calibri" w:cs="Calibri"/>
              </w:rPr>
              <w:t>()</w:t>
            </w:r>
            <w:r>
              <w:rPr>
                <w:rStyle w:val="normaltextrun"/>
                <w:rFonts w:ascii="Calibri" w:hAnsi="Calibri" w:cs="Calibri"/>
                <w:vertAlign w:val="superscript"/>
              </w:rPr>
              <w:t>c</w:t>
            </w:r>
            <w:proofErr w:type="gramEnd"/>
          </w:p>
        </w:tc>
        <w:tc>
          <w:tcPr>
            <w:tcW w:w="3117" w:type="dxa"/>
          </w:tcPr>
          <w:p w14:paraId="72862D3C" w14:textId="431F4219" w:rsidR="00161C02" w:rsidRDefault="00161C02" w:rsidP="00161C02">
            <w:r>
              <w:t xml:space="preserve">Derived by weighed survival across various treatment types, see Supplemental Methods </w:t>
            </w:r>
          </w:p>
        </w:tc>
      </w:tr>
      <w:tr w:rsidR="00161C02" w14:paraId="6AE3835C" w14:textId="77777777" w:rsidTr="005A0450">
        <w:tc>
          <w:tcPr>
            <w:tcW w:w="3116" w:type="dxa"/>
          </w:tcPr>
          <w:p w14:paraId="4B6858A1" w14:textId="6CFCAE12"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Untreated </w:t>
            </w:r>
            <w:proofErr w:type="gramStart"/>
            <w:r>
              <w:rPr>
                <w:rStyle w:val="normaltextrun"/>
                <w:rFonts w:ascii="Calibri" w:hAnsi="Calibri" w:cs="Calibri"/>
              </w:rPr>
              <w:t>late stage</w:t>
            </w:r>
            <w:proofErr w:type="gramEnd"/>
            <w:r>
              <w:rPr>
                <w:rStyle w:val="normaltextrun"/>
                <w:rFonts w:ascii="Calibri" w:hAnsi="Calibri" w:cs="Calibri"/>
              </w:rPr>
              <w:t xml:space="preserve"> HCC to death </w:t>
            </w:r>
          </w:p>
        </w:tc>
        <w:tc>
          <w:tcPr>
            <w:tcW w:w="3117" w:type="dxa"/>
          </w:tcPr>
          <w:p w14:paraId="7D1CF612" w14:textId="2CD2E6F4" w:rsidR="00161C02" w:rsidRPr="00C30F55"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87.2%</w:t>
            </w:r>
            <w:r>
              <w:rPr>
                <w:rFonts w:asciiTheme="minorHAnsi" w:hAnsiTheme="minorHAnsi" w:cstheme="minorHAnsi"/>
              </w:rPr>
              <w:t xml:space="preserve"> (77.2%-97.2</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tcPr>
          <w:p w14:paraId="5B190BB8" w14:textId="49532C50" w:rsidR="00161C02" w:rsidRDefault="00161C02" w:rsidP="00161C02">
            <w:hyperlink r:id="rId31" w:history="1">
              <w:r w:rsidRPr="00AF634C">
                <w:rPr>
                  <w:rStyle w:val="Hyperlink"/>
                </w:rPr>
                <w:t>Khalaf 2017</w:t>
              </w:r>
            </w:hyperlink>
          </w:p>
        </w:tc>
      </w:tr>
      <w:tr w:rsidR="00161C02" w14:paraId="7AEC68A0" w14:textId="77777777" w:rsidTr="005A0450">
        <w:tc>
          <w:tcPr>
            <w:tcW w:w="3116" w:type="dxa"/>
          </w:tcPr>
          <w:p w14:paraId="252CEC0D" w14:textId="4E5212CF" w:rsidR="00161C02" w:rsidRPr="0055759A" w:rsidRDefault="00161C02" w:rsidP="00161C02">
            <w:pPr>
              <w:pStyle w:val="paragraph"/>
              <w:spacing w:before="0" w:beforeAutospacing="0" w:after="0" w:afterAutospacing="0"/>
              <w:textAlignment w:val="baseline"/>
              <w:rPr>
                <w:rStyle w:val="normaltextrun"/>
                <w:rFonts w:ascii="Calibri" w:hAnsi="Calibri" w:cs="Calibri"/>
                <w:b/>
                <w:bCs/>
                <w:vertAlign w:val="superscript"/>
              </w:rPr>
            </w:pPr>
            <w:r>
              <w:rPr>
                <w:rStyle w:val="normaltextrun"/>
                <w:rFonts w:ascii="Calibri" w:hAnsi="Calibri" w:cs="Calibri"/>
                <w:b/>
                <w:bCs/>
              </w:rPr>
              <w:t>HCC Stage Upon Diagnosis</w:t>
            </w:r>
          </w:p>
        </w:tc>
        <w:tc>
          <w:tcPr>
            <w:tcW w:w="3117" w:type="dxa"/>
          </w:tcPr>
          <w:p w14:paraId="4768722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0CF054A8" w14:textId="7B77C9E6" w:rsidR="00FA727A" w:rsidRPr="00FA727A" w:rsidRDefault="00161C02" w:rsidP="00161C02">
            <w:pPr>
              <w:pStyle w:val="paragraph"/>
              <w:spacing w:before="0" w:beforeAutospacing="0" w:after="0" w:afterAutospacing="0"/>
              <w:textAlignment w:val="baseline"/>
              <w:rPr>
                <w:rStyle w:val="normaltextrun"/>
              </w:rPr>
            </w:pPr>
            <w:hyperlink r:id="rId32" w:history="1">
              <w:r w:rsidRPr="00825460">
                <w:rPr>
                  <w:rStyle w:val="Hyperlink"/>
                  <w:rFonts w:ascii="Calibri" w:hAnsi="Calibri" w:cs="Calibri"/>
                </w:rPr>
                <w:t>Daher 2024</w:t>
              </w:r>
            </w:hyperlink>
          </w:p>
        </w:tc>
      </w:tr>
      <w:tr w:rsidR="00161C02" w14:paraId="73D75A03" w14:textId="77777777" w:rsidTr="005A0450">
        <w:tc>
          <w:tcPr>
            <w:tcW w:w="3116" w:type="dxa"/>
          </w:tcPr>
          <w:p w14:paraId="5A76B9C9" w14:textId="27B72702" w:rsidR="00161C02" w:rsidRPr="00825460" w:rsidRDefault="00161C02" w:rsidP="00161C02">
            <w:pPr>
              <w:pStyle w:val="paragraph"/>
              <w:spacing w:before="0" w:beforeAutospacing="0" w:after="0" w:afterAutospacing="0"/>
              <w:textAlignment w:val="baseline"/>
              <w:rPr>
                <w:rStyle w:val="normaltextrun"/>
                <w:rFonts w:ascii="Calibri" w:hAnsi="Calibri" w:cs="Calibri"/>
              </w:rPr>
            </w:pPr>
            <w:r w:rsidRPr="00825460">
              <w:rPr>
                <w:rStyle w:val="normaltextrun"/>
                <w:rFonts w:ascii="Calibri" w:hAnsi="Calibri" w:cs="Calibri"/>
              </w:rPr>
              <w:t>Control</w:t>
            </w:r>
          </w:p>
        </w:tc>
        <w:tc>
          <w:tcPr>
            <w:tcW w:w="3117" w:type="dxa"/>
          </w:tcPr>
          <w:p w14:paraId="17C23102"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0FDEDD2A"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r>
      <w:tr w:rsidR="00161C02" w14:paraId="744C9CFF" w14:textId="77777777" w:rsidTr="005A0450">
        <w:tc>
          <w:tcPr>
            <w:tcW w:w="3116" w:type="dxa"/>
          </w:tcPr>
          <w:p w14:paraId="27A5296A" w14:textId="77777777" w:rsidR="00161C02" w:rsidRDefault="00161C02" w:rsidP="00161C02">
            <w:pPr>
              <w:pStyle w:val="paragraph"/>
              <w:spacing w:before="0" w:beforeAutospacing="0" w:after="0" w:afterAutospacing="0"/>
              <w:jc w:val="right"/>
              <w:textAlignment w:val="baseline"/>
              <w:rPr>
                <w:rStyle w:val="normaltextrun"/>
                <w:rFonts w:ascii="Calibri" w:hAnsi="Calibri" w:cs="Calibri"/>
                <w:b/>
                <w:bCs/>
              </w:rPr>
            </w:pPr>
            <w:r w:rsidRPr="00825460">
              <w:rPr>
                <w:rStyle w:val="normaltextrun"/>
                <w:rFonts w:ascii="Calibri" w:hAnsi="Calibri" w:cs="Calibri"/>
              </w:rPr>
              <w:t>Early</w:t>
            </w:r>
          </w:p>
        </w:tc>
        <w:tc>
          <w:tcPr>
            <w:tcW w:w="3117" w:type="dxa"/>
          </w:tcPr>
          <w:p w14:paraId="063298F5" w14:textId="3DA86BD0" w:rsidR="00161C02" w:rsidRPr="009518A5" w:rsidRDefault="00161C02" w:rsidP="00161C02">
            <w:pPr>
              <w:pStyle w:val="paragraph"/>
              <w:spacing w:before="0" w:beforeAutospacing="0" w:after="0" w:afterAutospacing="0"/>
              <w:textAlignment w:val="baseline"/>
              <w:rPr>
                <w:rStyle w:val="normaltextrun"/>
                <w:rFonts w:asciiTheme="minorHAnsi" w:hAnsiTheme="minorHAnsi" w:cstheme="minorHAnsi"/>
                <w:i/>
                <w:iCs/>
              </w:rPr>
            </w:pPr>
            <w:r w:rsidRPr="00825460">
              <w:rPr>
                <w:rFonts w:asciiTheme="minorHAnsi" w:hAnsiTheme="minorHAnsi" w:cstheme="minorHAnsi"/>
              </w:rPr>
              <w:t xml:space="preserve">45.7% </w:t>
            </w:r>
            <w:r>
              <w:rPr>
                <w:rFonts w:asciiTheme="minorHAnsi" w:hAnsiTheme="minorHAnsi" w:cstheme="minorHAnsi"/>
              </w:rPr>
              <w:t>(35%-55</w:t>
            </w:r>
            <w:proofErr w:type="gramStart"/>
            <w:r>
              <w:rPr>
                <w:rFonts w:asciiTheme="minorHAnsi" w:hAnsiTheme="minorHAnsi" w:cstheme="minorHAnsi"/>
              </w:rPr>
              <w:t>%)</w:t>
            </w:r>
            <w:r w:rsidR="00634904">
              <w:rPr>
                <w:rStyle w:val="normaltextrun"/>
                <w:rFonts w:ascii="Calibri" w:hAnsi="Calibri" w:cs="Calibri"/>
                <w:b/>
                <w:bCs/>
                <w:vertAlign w:val="superscript"/>
              </w:rPr>
              <w:t>d</w:t>
            </w:r>
            <w:proofErr w:type="gramEnd"/>
          </w:p>
        </w:tc>
        <w:tc>
          <w:tcPr>
            <w:tcW w:w="3117" w:type="dxa"/>
          </w:tcPr>
          <w:p w14:paraId="5E22B37D" w14:textId="6093E71A" w:rsidR="00161C02" w:rsidRDefault="00161C02" w:rsidP="00161C02">
            <w:pPr>
              <w:pStyle w:val="paragraph"/>
              <w:spacing w:before="0" w:beforeAutospacing="0" w:after="0" w:afterAutospacing="0"/>
              <w:textAlignment w:val="baseline"/>
              <w:rPr>
                <w:rStyle w:val="normaltextrun"/>
                <w:rFonts w:ascii="Calibri" w:hAnsi="Calibri" w:cs="Calibri"/>
              </w:rPr>
            </w:pPr>
          </w:p>
        </w:tc>
      </w:tr>
      <w:tr w:rsidR="00161C02" w14:paraId="500608A3" w14:textId="77777777" w:rsidTr="005A0450">
        <w:tc>
          <w:tcPr>
            <w:tcW w:w="3116" w:type="dxa"/>
          </w:tcPr>
          <w:p w14:paraId="3A2FD3A1" w14:textId="77777777" w:rsidR="00161C02" w:rsidRPr="00825460" w:rsidRDefault="00161C02"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Intermediate</w:t>
            </w:r>
          </w:p>
        </w:tc>
        <w:tc>
          <w:tcPr>
            <w:tcW w:w="3117" w:type="dxa"/>
          </w:tcPr>
          <w:p w14:paraId="57D69E08" w14:textId="77777777"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23.0%</w:t>
            </w:r>
          </w:p>
        </w:tc>
        <w:tc>
          <w:tcPr>
            <w:tcW w:w="3117" w:type="dxa"/>
          </w:tcPr>
          <w:p w14:paraId="5F796AE0"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r>
      <w:tr w:rsidR="00161C02" w:rsidRPr="00825460" w14:paraId="3BF002A7" w14:textId="77777777" w:rsidTr="005A0450">
        <w:tc>
          <w:tcPr>
            <w:tcW w:w="3116" w:type="dxa"/>
          </w:tcPr>
          <w:p w14:paraId="12863952" w14:textId="77777777" w:rsidR="00161C02" w:rsidRPr="00825460" w:rsidRDefault="00161C02"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Late</w:t>
            </w:r>
          </w:p>
        </w:tc>
        <w:tc>
          <w:tcPr>
            <w:tcW w:w="3117" w:type="dxa"/>
          </w:tcPr>
          <w:p w14:paraId="4251CC0A" w14:textId="26644243"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31.3%</w:t>
            </w:r>
            <w:r>
              <w:rPr>
                <w:rFonts w:asciiTheme="minorHAnsi" w:hAnsiTheme="minorHAnsi" w:cstheme="minorHAnsi"/>
              </w:rPr>
              <w:t xml:space="preserve"> (45%-65</w:t>
            </w:r>
            <w:proofErr w:type="gramStart"/>
            <w:r>
              <w:rPr>
                <w:rFonts w:asciiTheme="minorHAnsi" w:hAnsiTheme="minorHAnsi" w:cstheme="minorHAnsi"/>
              </w:rPr>
              <w:t>%)</w:t>
            </w:r>
            <w:r w:rsidR="00634904">
              <w:rPr>
                <w:rStyle w:val="normaltextrun"/>
                <w:rFonts w:ascii="Calibri" w:hAnsi="Calibri" w:cs="Calibri"/>
                <w:b/>
                <w:bCs/>
                <w:vertAlign w:val="superscript"/>
              </w:rPr>
              <w:t>d</w:t>
            </w:r>
            <w:proofErr w:type="gramEnd"/>
          </w:p>
        </w:tc>
        <w:tc>
          <w:tcPr>
            <w:tcW w:w="3117" w:type="dxa"/>
          </w:tcPr>
          <w:p w14:paraId="570D7FE3"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r>
      <w:tr w:rsidR="00161C02" w:rsidRPr="00825460" w14:paraId="37DAF17C" w14:textId="77777777" w:rsidTr="005A0450">
        <w:tc>
          <w:tcPr>
            <w:tcW w:w="3116" w:type="dxa"/>
          </w:tcPr>
          <w:p w14:paraId="01A29CAF"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r w:rsidRPr="00825460">
              <w:rPr>
                <w:rStyle w:val="normaltextrun"/>
                <w:rFonts w:ascii="Calibri" w:hAnsi="Calibri" w:cs="Calibri"/>
              </w:rPr>
              <w:t>Intervention</w:t>
            </w:r>
          </w:p>
        </w:tc>
        <w:tc>
          <w:tcPr>
            <w:tcW w:w="3117" w:type="dxa"/>
          </w:tcPr>
          <w:p w14:paraId="56619B26"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7989D5C5"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r>
      <w:tr w:rsidR="00161C02" w:rsidRPr="00825460" w14:paraId="3A74E6C7" w14:textId="77777777" w:rsidTr="005A0450">
        <w:tc>
          <w:tcPr>
            <w:tcW w:w="3116" w:type="dxa"/>
          </w:tcPr>
          <w:p w14:paraId="656EF2E4" w14:textId="77777777" w:rsidR="00161C02" w:rsidRPr="00825460" w:rsidRDefault="00161C02"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Early</w:t>
            </w:r>
          </w:p>
        </w:tc>
        <w:tc>
          <w:tcPr>
            <w:tcW w:w="3117" w:type="dxa"/>
          </w:tcPr>
          <w:p w14:paraId="6C6914A7" w14:textId="6F4EC872"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70.7%</w:t>
            </w:r>
            <w:r>
              <w:rPr>
                <w:rFonts w:asciiTheme="minorHAnsi" w:hAnsiTheme="minorHAnsi" w:cstheme="minorHAnsi"/>
              </w:rPr>
              <w:t xml:space="preserve"> (60%-80</w:t>
            </w:r>
            <w:proofErr w:type="gramStart"/>
            <w:r>
              <w:rPr>
                <w:rFonts w:asciiTheme="minorHAnsi" w:hAnsiTheme="minorHAnsi" w:cstheme="minorHAnsi"/>
              </w:rPr>
              <w:t>%)</w:t>
            </w:r>
            <w:r w:rsidR="00634904">
              <w:rPr>
                <w:rStyle w:val="normaltextrun"/>
                <w:rFonts w:ascii="Calibri" w:hAnsi="Calibri" w:cs="Calibri"/>
                <w:b/>
                <w:bCs/>
                <w:vertAlign w:val="superscript"/>
              </w:rPr>
              <w:t>d</w:t>
            </w:r>
            <w:proofErr w:type="gramEnd"/>
          </w:p>
        </w:tc>
        <w:tc>
          <w:tcPr>
            <w:tcW w:w="3117" w:type="dxa"/>
          </w:tcPr>
          <w:p w14:paraId="164A463A"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r>
      <w:tr w:rsidR="00161C02" w:rsidRPr="00825460" w14:paraId="0F8DACA0" w14:textId="77777777" w:rsidTr="005A0450">
        <w:tc>
          <w:tcPr>
            <w:tcW w:w="3116" w:type="dxa"/>
          </w:tcPr>
          <w:p w14:paraId="31C6339D" w14:textId="77777777" w:rsidR="00161C02" w:rsidRPr="00825460" w:rsidRDefault="00161C02"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Intermediate</w:t>
            </w:r>
          </w:p>
        </w:tc>
        <w:tc>
          <w:tcPr>
            <w:tcW w:w="3117" w:type="dxa"/>
          </w:tcPr>
          <w:p w14:paraId="1BB6E747" w14:textId="77777777"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15.6%</w:t>
            </w:r>
          </w:p>
        </w:tc>
        <w:tc>
          <w:tcPr>
            <w:tcW w:w="3117" w:type="dxa"/>
          </w:tcPr>
          <w:p w14:paraId="52D34F15"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r>
      <w:tr w:rsidR="00161C02" w:rsidRPr="00825460" w14:paraId="1BCFABE3" w14:textId="77777777" w:rsidTr="005A0450">
        <w:tc>
          <w:tcPr>
            <w:tcW w:w="3116" w:type="dxa"/>
          </w:tcPr>
          <w:p w14:paraId="4924415A" w14:textId="77777777" w:rsidR="00161C02" w:rsidRPr="00825460" w:rsidRDefault="00161C02"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Late</w:t>
            </w:r>
          </w:p>
        </w:tc>
        <w:tc>
          <w:tcPr>
            <w:tcW w:w="3117" w:type="dxa"/>
          </w:tcPr>
          <w:p w14:paraId="0EEC01A0" w14:textId="3C6CC1E3"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13.7%</w:t>
            </w:r>
            <w:r>
              <w:rPr>
                <w:rFonts w:asciiTheme="minorHAnsi" w:hAnsiTheme="minorHAnsi" w:cstheme="minorHAnsi"/>
              </w:rPr>
              <w:t xml:space="preserve"> (20%-40</w:t>
            </w:r>
            <w:proofErr w:type="gramStart"/>
            <w:r>
              <w:rPr>
                <w:rFonts w:asciiTheme="minorHAnsi" w:hAnsiTheme="minorHAnsi" w:cstheme="minorHAnsi"/>
              </w:rPr>
              <w:t>%)</w:t>
            </w:r>
            <w:r w:rsidR="00634904">
              <w:rPr>
                <w:rStyle w:val="normaltextrun"/>
                <w:rFonts w:ascii="Calibri" w:hAnsi="Calibri" w:cs="Calibri"/>
                <w:b/>
                <w:bCs/>
                <w:vertAlign w:val="superscript"/>
              </w:rPr>
              <w:t>d</w:t>
            </w:r>
            <w:proofErr w:type="gramEnd"/>
          </w:p>
        </w:tc>
        <w:tc>
          <w:tcPr>
            <w:tcW w:w="3117" w:type="dxa"/>
          </w:tcPr>
          <w:p w14:paraId="0F070822"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rPr>
            </w:pPr>
          </w:p>
        </w:tc>
      </w:tr>
    </w:tbl>
    <w:p w14:paraId="0901EB66" w14:textId="13AA7DAA" w:rsidR="00B136D1" w:rsidRDefault="00B136D1" w:rsidP="00B136D1">
      <w:pPr>
        <w:pStyle w:val="paragraph"/>
        <w:spacing w:before="0" w:beforeAutospacing="0" w:after="0" w:afterAutospacing="0"/>
        <w:textAlignment w:val="baseline"/>
        <w:rPr>
          <w:rStyle w:val="normaltextrun"/>
          <w:rFonts w:ascii="Calibri" w:hAnsi="Calibri" w:cs="Calibri"/>
          <w:i/>
          <w:iCs/>
          <w:sz w:val="20"/>
          <w:szCs w:val="20"/>
        </w:rPr>
      </w:pPr>
      <w:r w:rsidRPr="00825460">
        <w:rPr>
          <w:rStyle w:val="normaltextrun"/>
          <w:rFonts w:ascii="Calibri" w:hAnsi="Calibri" w:cs="Calibri"/>
          <w:vertAlign w:val="superscript"/>
        </w:rPr>
        <w:t xml:space="preserve">a </w:t>
      </w:r>
      <w:r w:rsidRPr="005B571A">
        <w:rPr>
          <w:rStyle w:val="normaltextrun"/>
          <w:rFonts w:ascii="Calibri" w:hAnsi="Calibri" w:cs="Calibri"/>
          <w:i/>
          <w:iCs/>
          <w:sz w:val="20"/>
          <w:szCs w:val="20"/>
        </w:rPr>
        <w:t>Data from reference d</w:t>
      </w:r>
      <w:r>
        <w:rPr>
          <w:rStyle w:val="normaltextrun"/>
          <w:rFonts w:ascii="Calibri" w:hAnsi="Calibri" w:cs="Calibri"/>
          <w:i/>
          <w:iCs/>
          <w:sz w:val="20"/>
          <w:szCs w:val="20"/>
        </w:rPr>
        <w:t xml:space="preserve"> (Guss 2018)</w:t>
      </w:r>
      <w:r w:rsidRPr="005B571A">
        <w:rPr>
          <w:rStyle w:val="normaltextrun"/>
          <w:rFonts w:ascii="Calibri" w:hAnsi="Calibri" w:cs="Calibri"/>
          <w:i/>
          <w:iCs/>
          <w:sz w:val="20"/>
          <w:szCs w:val="20"/>
        </w:rPr>
        <w:t xml:space="preserve"> was</w:t>
      </w:r>
      <w:r w:rsidR="000154C4">
        <w:rPr>
          <w:rStyle w:val="normaltextrun"/>
          <w:rFonts w:ascii="Calibri" w:hAnsi="Calibri" w:cs="Calibri"/>
          <w:i/>
          <w:iCs/>
          <w:sz w:val="20"/>
          <w:szCs w:val="20"/>
        </w:rPr>
        <w:t xml:space="preserve"> included in the range but not included in calculating the average due to its unusually higher value and small sample size.</w:t>
      </w:r>
    </w:p>
    <w:p w14:paraId="29B069EB" w14:textId="77777777" w:rsidR="00B136D1" w:rsidRDefault="00B136D1" w:rsidP="00B136D1">
      <w:pPr>
        <w:pStyle w:val="paragraph"/>
        <w:spacing w:before="0" w:beforeAutospacing="0" w:after="0" w:afterAutospacing="0"/>
        <w:textAlignment w:val="baseline"/>
        <w:rPr>
          <w:rStyle w:val="normaltextrun"/>
          <w:rFonts w:ascii="Calibri" w:hAnsi="Calibri" w:cs="Calibri"/>
          <w:i/>
          <w:iCs/>
          <w:sz w:val="20"/>
          <w:szCs w:val="20"/>
        </w:rPr>
      </w:pPr>
      <w:r>
        <w:rPr>
          <w:rStyle w:val="normaltextrun"/>
          <w:rFonts w:ascii="Calibri" w:hAnsi="Calibri" w:cs="Calibri"/>
          <w:i/>
          <w:iCs/>
          <w:sz w:val="20"/>
          <w:szCs w:val="20"/>
          <w:vertAlign w:val="superscript"/>
        </w:rPr>
        <w:t>b</w:t>
      </w:r>
      <w:r>
        <w:rPr>
          <w:rStyle w:val="normaltextrun"/>
          <w:rFonts w:ascii="Calibri" w:hAnsi="Calibri" w:cs="Calibri"/>
          <w:i/>
          <w:iCs/>
          <w:sz w:val="20"/>
          <w:szCs w:val="20"/>
        </w:rPr>
        <w:t xml:space="preserve"> </w:t>
      </w:r>
      <w:proofErr w:type="gramStart"/>
      <w:r>
        <w:rPr>
          <w:rStyle w:val="normaltextrun"/>
          <w:rFonts w:ascii="Calibri" w:hAnsi="Calibri" w:cs="Calibri"/>
          <w:i/>
          <w:iCs/>
          <w:sz w:val="20"/>
          <w:szCs w:val="20"/>
        </w:rPr>
        <w:t>The</w:t>
      </w:r>
      <w:proofErr w:type="gramEnd"/>
      <w:r>
        <w:rPr>
          <w:rStyle w:val="normaltextrun"/>
          <w:rFonts w:ascii="Calibri" w:hAnsi="Calibri" w:cs="Calibri"/>
          <w:i/>
          <w:iCs/>
          <w:sz w:val="20"/>
          <w:szCs w:val="20"/>
        </w:rPr>
        <w:t xml:space="preserve"> overall transition rate from MASLD to HCC used in the model is the combination of HCC incidence in patients with MASLD without cirrhosis or with undiagnosed cirrhosis, weighed using the percentage of undiagnosed cirrhosis. </w:t>
      </w:r>
    </w:p>
    <w:p w14:paraId="6FDC293F" w14:textId="41E38973" w:rsidR="00B136D1" w:rsidRDefault="00C30F55" w:rsidP="00B136D1">
      <w:pPr>
        <w:pStyle w:val="paragraph"/>
        <w:spacing w:before="0" w:beforeAutospacing="0" w:after="0" w:afterAutospacing="0"/>
        <w:textAlignment w:val="baseline"/>
        <w:rPr>
          <w:rFonts w:ascii="Calibri" w:eastAsia="Calibri" w:hAnsi="Calibri"/>
          <w:i/>
          <w:iCs/>
          <w:sz w:val="20"/>
          <w:szCs w:val="20"/>
        </w:rPr>
      </w:pPr>
      <w:r>
        <w:rPr>
          <w:rStyle w:val="normaltextrun"/>
          <w:rFonts w:ascii="Calibri" w:hAnsi="Calibri" w:cs="Calibri"/>
          <w:i/>
          <w:iCs/>
          <w:sz w:val="20"/>
          <w:szCs w:val="20"/>
          <w:vertAlign w:val="superscript"/>
        </w:rPr>
        <w:t xml:space="preserve">c </w:t>
      </w:r>
      <w:r w:rsidRPr="00C30F55">
        <w:rPr>
          <w:rFonts w:ascii="Calibri" w:eastAsia="Calibri" w:hAnsi="Calibri"/>
          <w:i/>
          <w:iCs/>
          <w:sz w:val="20"/>
          <w:szCs w:val="20"/>
        </w:rPr>
        <w:t>Range chosen from reasonable assumption</w:t>
      </w:r>
      <w:r w:rsidR="0055759A">
        <w:rPr>
          <w:rFonts w:ascii="Calibri" w:eastAsia="Calibri" w:hAnsi="Calibri"/>
          <w:i/>
          <w:iCs/>
          <w:sz w:val="20"/>
          <w:szCs w:val="20"/>
        </w:rPr>
        <w:t>.</w:t>
      </w:r>
    </w:p>
    <w:p w14:paraId="511CDAFE" w14:textId="1F5C0739" w:rsidR="0055759A" w:rsidRPr="00C30F55" w:rsidRDefault="0055759A" w:rsidP="00B136D1">
      <w:pPr>
        <w:pStyle w:val="paragraph"/>
        <w:spacing w:before="0" w:beforeAutospacing="0" w:after="0" w:afterAutospacing="0"/>
        <w:textAlignment w:val="baseline"/>
        <w:rPr>
          <w:rStyle w:val="normaltextrun"/>
          <w:rFonts w:ascii="Calibri" w:hAnsi="Calibri" w:cs="Calibri"/>
          <w:i/>
          <w:iCs/>
          <w:sz w:val="20"/>
          <w:szCs w:val="20"/>
          <w:vertAlign w:val="superscript"/>
        </w:rPr>
      </w:pPr>
      <w:r>
        <w:rPr>
          <w:rFonts w:ascii="Calibri" w:eastAsia="Calibri" w:hAnsi="Calibri"/>
          <w:i/>
          <w:iCs/>
          <w:sz w:val="20"/>
          <w:szCs w:val="20"/>
          <w:vertAlign w:val="superscript"/>
        </w:rPr>
        <w:t xml:space="preserve">d </w:t>
      </w:r>
      <w:r>
        <w:rPr>
          <w:rFonts w:ascii="Calibri" w:eastAsia="Calibri" w:hAnsi="Calibri"/>
          <w:i/>
          <w:iCs/>
          <w:sz w:val="20"/>
          <w:szCs w:val="20"/>
        </w:rPr>
        <w:t xml:space="preserve">Range was chosen from reasonable assumption for the percent diagnosed with </w:t>
      </w:r>
      <w:proofErr w:type="gramStart"/>
      <w:r>
        <w:rPr>
          <w:rFonts w:ascii="Calibri" w:eastAsia="Calibri" w:hAnsi="Calibri"/>
          <w:i/>
          <w:iCs/>
          <w:sz w:val="20"/>
          <w:szCs w:val="20"/>
        </w:rPr>
        <w:t>early stage</w:t>
      </w:r>
      <w:proofErr w:type="gramEnd"/>
      <w:r>
        <w:rPr>
          <w:rFonts w:ascii="Calibri" w:eastAsia="Calibri" w:hAnsi="Calibri"/>
          <w:i/>
          <w:iCs/>
          <w:sz w:val="20"/>
          <w:szCs w:val="20"/>
        </w:rPr>
        <w:t xml:space="preserve"> HCC. Accordingly, the range for </w:t>
      </w:r>
      <w:proofErr w:type="gramStart"/>
      <w:r>
        <w:rPr>
          <w:rFonts w:ascii="Calibri" w:eastAsia="Calibri" w:hAnsi="Calibri"/>
          <w:i/>
          <w:iCs/>
          <w:sz w:val="20"/>
          <w:szCs w:val="20"/>
        </w:rPr>
        <w:t>late stage</w:t>
      </w:r>
      <w:proofErr w:type="gramEnd"/>
      <w:r>
        <w:rPr>
          <w:rFonts w:ascii="Calibri" w:eastAsia="Calibri" w:hAnsi="Calibri"/>
          <w:i/>
          <w:iCs/>
          <w:sz w:val="20"/>
          <w:szCs w:val="20"/>
        </w:rPr>
        <w:t xml:space="preserve"> HCC was set as the minimum and maximum percent possible for the total percent to be between 0 and 100%. The range for the intermediate stage will be adjusted accordingly to fit within 0-100% total. </w:t>
      </w:r>
    </w:p>
    <w:p w14:paraId="65FFDB4D" w14:textId="77777777" w:rsidR="00433382" w:rsidRDefault="00433382" w:rsidP="00433382">
      <w:pPr>
        <w:spacing w:after="160" w:line="259" w:lineRule="auto"/>
        <w:rPr>
          <w:rStyle w:val="normaltextrun"/>
          <w:rFonts w:ascii="Calibri" w:hAnsi="Calibri" w:cs="Calibri"/>
          <w:b/>
          <w:bCs/>
        </w:rPr>
      </w:pPr>
    </w:p>
    <w:p w14:paraId="2691CE8B" w14:textId="4DE5050E" w:rsidR="00433382" w:rsidRPr="00433382" w:rsidRDefault="00433382" w:rsidP="00433382">
      <w:pPr>
        <w:spacing w:after="160" w:line="259" w:lineRule="auto"/>
        <w:rPr>
          <w:rStyle w:val="normaltextrun"/>
          <w:rFonts w:ascii="Calibri" w:hAnsi="Calibri" w:cs="Calibri"/>
          <w:b/>
          <w:bCs/>
        </w:rPr>
      </w:pPr>
      <w:r w:rsidRPr="00E8634F">
        <w:rPr>
          <w:rStyle w:val="normaltextrun"/>
          <w:rFonts w:ascii="Calibri" w:hAnsi="Calibri" w:cs="Calibri"/>
          <w:b/>
          <w:bCs/>
        </w:rPr>
        <w:t xml:space="preserve">Table </w:t>
      </w:r>
      <w:r>
        <w:rPr>
          <w:rStyle w:val="normaltextrun"/>
          <w:rFonts w:ascii="Calibri" w:hAnsi="Calibri" w:cs="Calibri"/>
          <w:b/>
          <w:bCs/>
        </w:rPr>
        <w:t>1B</w:t>
      </w:r>
      <w:r>
        <w:rPr>
          <w:rStyle w:val="normaltextrun"/>
          <w:rFonts w:ascii="Calibri" w:hAnsi="Calibri" w:cs="Calibri"/>
        </w:rPr>
        <w:t xml:space="preserve">: Utilities for base case analysis. The base case value is derived by averaging the values reported in the references unless specified otherwise. </w:t>
      </w:r>
    </w:p>
    <w:tbl>
      <w:tblPr>
        <w:tblStyle w:val="TableGrid"/>
        <w:tblW w:w="9345" w:type="dxa"/>
        <w:tblLook w:val="04A0" w:firstRow="1" w:lastRow="0" w:firstColumn="1" w:lastColumn="0" w:noHBand="0" w:noVBand="1"/>
      </w:tblPr>
      <w:tblGrid>
        <w:gridCol w:w="3227"/>
        <w:gridCol w:w="3277"/>
        <w:gridCol w:w="2841"/>
      </w:tblGrid>
      <w:tr w:rsidR="00433382" w14:paraId="3E992FEB" w14:textId="77777777" w:rsidTr="00433382">
        <w:trPr>
          <w:trHeight w:val="191"/>
        </w:trPr>
        <w:tc>
          <w:tcPr>
            <w:tcW w:w="3227" w:type="dxa"/>
            <w:tcBorders>
              <w:top w:val="single" w:sz="4" w:space="0" w:color="auto"/>
              <w:left w:val="single" w:sz="4" w:space="0" w:color="auto"/>
              <w:bottom w:val="single" w:sz="4" w:space="0" w:color="auto"/>
              <w:right w:val="single" w:sz="4" w:space="0" w:color="auto"/>
            </w:tcBorders>
            <w:hideMark/>
          </w:tcPr>
          <w:p w14:paraId="3C4178B5" w14:textId="77777777" w:rsidR="00433382" w:rsidRDefault="00433382" w:rsidP="00433382">
            <w:pPr>
              <w:rPr>
                <w:b/>
                <w:bCs/>
              </w:rPr>
            </w:pPr>
            <w:r>
              <w:rPr>
                <w:b/>
                <w:bCs/>
              </w:rPr>
              <w:t>Health State</w:t>
            </w:r>
          </w:p>
        </w:tc>
        <w:tc>
          <w:tcPr>
            <w:tcW w:w="3277" w:type="dxa"/>
            <w:tcBorders>
              <w:top w:val="single" w:sz="4" w:space="0" w:color="auto"/>
              <w:left w:val="single" w:sz="4" w:space="0" w:color="auto"/>
              <w:bottom w:val="single" w:sz="4" w:space="0" w:color="auto"/>
              <w:right w:val="single" w:sz="4" w:space="0" w:color="auto"/>
            </w:tcBorders>
            <w:hideMark/>
          </w:tcPr>
          <w:p w14:paraId="146A8839" w14:textId="3DB6C0F9" w:rsidR="00433382" w:rsidRDefault="00433382" w:rsidP="00433382">
            <w:pPr>
              <w:rPr>
                <w:b/>
                <w:bCs/>
              </w:rPr>
            </w:pPr>
            <w:r>
              <w:rPr>
                <w:rStyle w:val="normaltextrun"/>
                <w:rFonts w:ascii="Calibri" w:hAnsi="Calibri" w:cs="Calibri"/>
                <w:b/>
                <w:bCs/>
              </w:rPr>
              <w:t>Base-Case Value and Range</w:t>
            </w:r>
          </w:p>
        </w:tc>
        <w:tc>
          <w:tcPr>
            <w:tcW w:w="2841" w:type="dxa"/>
            <w:tcBorders>
              <w:top w:val="single" w:sz="4" w:space="0" w:color="auto"/>
              <w:left w:val="single" w:sz="4" w:space="0" w:color="auto"/>
              <w:bottom w:val="single" w:sz="4" w:space="0" w:color="auto"/>
              <w:right w:val="single" w:sz="4" w:space="0" w:color="auto"/>
            </w:tcBorders>
            <w:hideMark/>
          </w:tcPr>
          <w:p w14:paraId="55F8A32F" w14:textId="77777777" w:rsidR="00433382" w:rsidRDefault="00433382" w:rsidP="00433382">
            <w:pPr>
              <w:rPr>
                <w:b/>
                <w:bCs/>
              </w:rPr>
            </w:pPr>
            <w:r w:rsidRPr="59961667">
              <w:rPr>
                <w:b/>
                <w:bCs/>
              </w:rPr>
              <w:t xml:space="preserve">Reference </w:t>
            </w:r>
          </w:p>
        </w:tc>
      </w:tr>
      <w:tr w:rsidR="00433382" w14:paraId="74F1B53A" w14:textId="77777777" w:rsidTr="00433382">
        <w:trPr>
          <w:trHeight w:val="682"/>
        </w:trPr>
        <w:tc>
          <w:tcPr>
            <w:tcW w:w="3227" w:type="dxa"/>
            <w:tcBorders>
              <w:top w:val="single" w:sz="4" w:space="0" w:color="auto"/>
              <w:left w:val="single" w:sz="4" w:space="0" w:color="auto"/>
              <w:bottom w:val="single" w:sz="4" w:space="0" w:color="auto"/>
              <w:right w:val="single" w:sz="4" w:space="0" w:color="auto"/>
            </w:tcBorders>
            <w:hideMark/>
          </w:tcPr>
          <w:p w14:paraId="15D02F27" w14:textId="77777777" w:rsidR="00433382" w:rsidRPr="00F376CA" w:rsidRDefault="00433382" w:rsidP="00DD356B">
            <w:r w:rsidRPr="00F376CA">
              <w:t>MASLD without cirrhosis</w:t>
            </w:r>
          </w:p>
        </w:tc>
        <w:tc>
          <w:tcPr>
            <w:tcW w:w="3277" w:type="dxa"/>
            <w:tcBorders>
              <w:top w:val="single" w:sz="4" w:space="0" w:color="auto"/>
              <w:left w:val="single" w:sz="4" w:space="0" w:color="auto"/>
              <w:bottom w:val="single" w:sz="4" w:space="0" w:color="auto"/>
              <w:right w:val="single" w:sz="4" w:space="0" w:color="auto"/>
            </w:tcBorders>
          </w:tcPr>
          <w:p w14:paraId="176F3D50" w14:textId="77777777" w:rsidR="00433382" w:rsidRPr="00F376CA" w:rsidRDefault="00433382" w:rsidP="00DD356B">
            <w:pPr>
              <w:rPr>
                <w:color w:val="FF0000"/>
              </w:rPr>
            </w:pPr>
            <w:r w:rsidRPr="00F376CA">
              <w:t>0.88</w:t>
            </w:r>
            <w:r>
              <w:t>0 (0.773-0.987)</w:t>
            </w:r>
          </w:p>
        </w:tc>
        <w:tc>
          <w:tcPr>
            <w:tcW w:w="2841" w:type="dxa"/>
            <w:tcBorders>
              <w:top w:val="single" w:sz="4" w:space="0" w:color="auto"/>
              <w:left w:val="single" w:sz="4" w:space="0" w:color="auto"/>
              <w:bottom w:val="single" w:sz="4" w:space="0" w:color="auto"/>
              <w:right w:val="single" w:sz="4" w:space="0" w:color="auto"/>
            </w:tcBorders>
          </w:tcPr>
          <w:p w14:paraId="218FDE56" w14:textId="6F055CD2" w:rsidR="00433382" w:rsidRDefault="00433382" w:rsidP="00DD356B">
            <w:r>
              <w:t xml:space="preserve">Derived from </w:t>
            </w:r>
            <w:hyperlink r:id="rId33" w:history="1">
              <w:proofErr w:type="spellStart"/>
              <w:r w:rsidRPr="00AF634C">
                <w:rPr>
                  <w:rStyle w:val="Hyperlink"/>
                </w:rPr>
                <w:t>Sayiner</w:t>
              </w:r>
              <w:proofErr w:type="spellEnd"/>
              <w:r w:rsidRPr="00AF634C">
                <w:rPr>
                  <w:rStyle w:val="Hyperlink"/>
                </w:rPr>
                <w:t xml:space="preserve"> 2016</w:t>
              </w:r>
            </w:hyperlink>
          </w:p>
          <w:p w14:paraId="27514C88" w14:textId="77777777" w:rsidR="00433382" w:rsidRPr="00A053CD" w:rsidRDefault="00433382" w:rsidP="00DD356B">
            <w:hyperlink r:id="rId34" w:history="1">
              <w:proofErr w:type="spellStart"/>
              <w:r>
                <w:rPr>
                  <w:rStyle w:val="Hyperlink"/>
                </w:rPr>
                <w:t>Kowada</w:t>
              </w:r>
              <w:proofErr w:type="spellEnd"/>
              <w:r>
                <w:rPr>
                  <w:rStyle w:val="Hyperlink"/>
                </w:rPr>
                <w:t xml:space="preserve"> 2024</w:t>
              </w:r>
            </w:hyperlink>
          </w:p>
        </w:tc>
      </w:tr>
      <w:tr w:rsidR="00433382" w14:paraId="10132092" w14:textId="77777777" w:rsidTr="00433382">
        <w:trPr>
          <w:trHeight w:val="918"/>
        </w:trPr>
        <w:tc>
          <w:tcPr>
            <w:tcW w:w="3227" w:type="dxa"/>
            <w:tcBorders>
              <w:top w:val="single" w:sz="4" w:space="0" w:color="auto"/>
              <w:left w:val="single" w:sz="4" w:space="0" w:color="auto"/>
              <w:bottom w:val="single" w:sz="4" w:space="0" w:color="auto"/>
              <w:right w:val="single" w:sz="4" w:space="0" w:color="auto"/>
            </w:tcBorders>
            <w:hideMark/>
          </w:tcPr>
          <w:p w14:paraId="77C25845" w14:textId="77777777" w:rsidR="00433382" w:rsidRDefault="00433382" w:rsidP="00DD356B">
            <w:r>
              <w:t>False positive HCC</w:t>
            </w:r>
          </w:p>
        </w:tc>
        <w:tc>
          <w:tcPr>
            <w:tcW w:w="3277" w:type="dxa"/>
            <w:tcBorders>
              <w:top w:val="single" w:sz="4" w:space="0" w:color="auto"/>
              <w:left w:val="single" w:sz="4" w:space="0" w:color="auto"/>
              <w:bottom w:val="single" w:sz="4" w:space="0" w:color="auto"/>
              <w:right w:val="single" w:sz="4" w:space="0" w:color="auto"/>
            </w:tcBorders>
          </w:tcPr>
          <w:p w14:paraId="12A66BDA" w14:textId="1B1F17CE" w:rsidR="00433382" w:rsidRDefault="00433382" w:rsidP="00DD356B">
            <w:r>
              <w:t>Same as the weighed HCC utility derived from utilities by HCC stage as below</w:t>
            </w:r>
          </w:p>
        </w:tc>
        <w:tc>
          <w:tcPr>
            <w:tcW w:w="2841" w:type="dxa"/>
            <w:tcBorders>
              <w:top w:val="single" w:sz="4" w:space="0" w:color="auto"/>
              <w:left w:val="single" w:sz="4" w:space="0" w:color="auto"/>
              <w:bottom w:val="single" w:sz="4" w:space="0" w:color="auto"/>
              <w:right w:val="single" w:sz="4" w:space="0" w:color="auto"/>
            </w:tcBorders>
          </w:tcPr>
          <w:p w14:paraId="1584508E" w14:textId="77777777" w:rsidR="00433382" w:rsidRDefault="00433382" w:rsidP="00DD356B"/>
        </w:tc>
      </w:tr>
      <w:tr w:rsidR="00433382" w14:paraId="7AA1F4F6" w14:textId="77777777" w:rsidTr="00433382">
        <w:trPr>
          <w:trHeight w:val="223"/>
        </w:trPr>
        <w:tc>
          <w:tcPr>
            <w:tcW w:w="3227" w:type="dxa"/>
            <w:tcBorders>
              <w:top w:val="single" w:sz="4" w:space="0" w:color="auto"/>
              <w:left w:val="single" w:sz="4" w:space="0" w:color="auto"/>
              <w:bottom w:val="single" w:sz="4" w:space="0" w:color="auto"/>
              <w:right w:val="single" w:sz="4" w:space="0" w:color="auto"/>
            </w:tcBorders>
            <w:hideMark/>
          </w:tcPr>
          <w:p w14:paraId="48D5315E" w14:textId="77777777" w:rsidR="00433382" w:rsidRDefault="00433382" w:rsidP="00DD356B">
            <w:proofErr w:type="gramStart"/>
            <w:r>
              <w:t>Early stage</w:t>
            </w:r>
            <w:proofErr w:type="gramEnd"/>
            <w:r>
              <w:t xml:space="preserve"> HCC</w:t>
            </w:r>
          </w:p>
        </w:tc>
        <w:tc>
          <w:tcPr>
            <w:tcW w:w="3277" w:type="dxa"/>
            <w:tcBorders>
              <w:top w:val="single" w:sz="4" w:space="0" w:color="auto"/>
              <w:left w:val="single" w:sz="4" w:space="0" w:color="auto"/>
              <w:bottom w:val="single" w:sz="4" w:space="0" w:color="auto"/>
              <w:right w:val="single" w:sz="4" w:space="0" w:color="auto"/>
            </w:tcBorders>
          </w:tcPr>
          <w:p w14:paraId="17EEDD1C" w14:textId="77777777" w:rsidR="00433382" w:rsidRDefault="00433382" w:rsidP="00DD356B">
            <w:r w:rsidRPr="00A76864">
              <w:t>0.72</w:t>
            </w:r>
            <w:r>
              <w:t xml:space="preserve"> (</w:t>
            </w:r>
            <w:r w:rsidRPr="008B111F">
              <w:t>0.62–0.82</w:t>
            </w:r>
            <w:r>
              <w:t>)</w:t>
            </w:r>
          </w:p>
        </w:tc>
        <w:tc>
          <w:tcPr>
            <w:tcW w:w="2841" w:type="dxa"/>
            <w:tcBorders>
              <w:top w:val="single" w:sz="4" w:space="0" w:color="auto"/>
              <w:left w:val="single" w:sz="4" w:space="0" w:color="auto"/>
              <w:bottom w:val="single" w:sz="4" w:space="0" w:color="auto"/>
              <w:right w:val="single" w:sz="4" w:space="0" w:color="auto"/>
            </w:tcBorders>
          </w:tcPr>
          <w:p w14:paraId="41A539AA" w14:textId="77777777" w:rsidR="00433382" w:rsidRDefault="00433382" w:rsidP="00DD356B">
            <w:hyperlink r:id="rId35" w:anchor="S11" w:history="1">
              <w:r w:rsidRPr="008E772A">
                <w:rPr>
                  <w:rStyle w:val="Hyperlink"/>
                </w:rPr>
                <w:t>Singal 2024</w:t>
              </w:r>
            </w:hyperlink>
          </w:p>
        </w:tc>
      </w:tr>
      <w:tr w:rsidR="00433382" w14:paraId="7C03CD29" w14:textId="77777777" w:rsidTr="00433382">
        <w:trPr>
          <w:trHeight w:val="458"/>
        </w:trPr>
        <w:tc>
          <w:tcPr>
            <w:tcW w:w="3227" w:type="dxa"/>
            <w:tcBorders>
              <w:top w:val="single" w:sz="4" w:space="0" w:color="auto"/>
              <w:left w:val="single" w:sz="4" w:space="0" w:color="auto"/>
              <w:bottom w:val="single" w:sz="4" w:space="0" w:color="auto"/>
              <w:right w:val="single" w:sz="4" w:space="0" w:color="auto"/>
            </w:tcBorders>
            <w:hideMark/>
          </w:tcPr>
          <w:p w14:paraId="323F8923" w14:textId="77777777" w:rsidR="00433382" w:rsidRDefault="00433382" w:rsidP="00DD356B">
            <w:r>
              <w:t>Intermediate stage HCC</w:t>
            </w:r>
          </w:p>
        </w:tc>
        <w:tc>
          <w:tcPr>
            <w:tcW w:w="3277" w:type="dxa"/>
            <w:tcBorders>
              <w:top w:val="single" w:sz="4" w:space="0" w:color="auto"/>
              <w:left w:val="single" w:sz="4" w:space="0" w:color="auto"/>
              <w:bottom w:val="single" w:sz="4" w:space="0" w:color="auto"/>
              <w:right w:val="single" w:sz="4" w:space="0" w:color="auto"/>
            </w:tcBorders>
          </w:tcPr>
          <w:p w14:paraId="340FD977" w14:textId="77777777" w:rsidR="00433382" w:rsidRDefault="00433382" w:rsidP="00DD356B">
            <w:r w:rsidRPr="00A76864">
              <w:t>0.69</w:t>
            </w:r>
            <w:r>
              <w:t xml:space="preserve"> (0.62-0.78)</w:t>
            </w:r>
          </w:p>
        </w:tc>
        <w:tc>
          <w:tcPr>
            <w:tcW w:w="2841" w:type="dxa"/>
            <w:tcBorders>
              <w:top w:val="single" w:sz="4" w:space="0" w:color="auto"/>
              <w:left w:val="single" w:sz="4" w:space="0" w:color="auto"/>
              <w:bottom w:val="single" w:sz="4" w:space="0" w:color="auto"/>
              <w:right w:val="single" w:sz="4" w:space="0" w:color="auto"/>
            </w:tcBorders>
          </w:tcPr>
          <w:p w14:paraId="5F1677EE" w14:textId="77777777" w:rsidR="00433382" w:rsidRDefault="00433382" w:rsidP="00DD356B">
            <w:hyperlink r:id="rId36" w:anchor="S11" w:history="1">
              <w:r w:rsidRPr="008E772A">
                <w:rPr>
                  <w:rStyle w:val="Hyperlink"/>
                </w:rPr>
                <w:t>Singal 2024</w:t>
              </w:r>
            </w:hyperlink>
          </w:p>
        </w:tc>
      </w:tr>
      <w:tr w:rsidR="00433382" w14:paraId="3081DB67" w14:textId="77777777" w:rsidTr="00433382">
        <w:trPr>
          <w:trHeight w:val="446"/>
        </w:trPr>
        <w:tc>
          <w:tcPr>
            <w:tcW w:w="3227" w:type="dxa"/>
            <w:tcBorders>
              <w:top w:val="single" w:sz="4" w:space="0" w:color="auto"/>
              <w:left w:val="single" w:sz="4" w:space="0" w:color="auto"/>
              <w:bottom w:val="single" w:sz="4" w:space="0" w:color="auto"/>
              <w:right w:val="single" w:sz="4" w:space="0" w:color="auto"/>
            </w:tcBorders>
            <w:hideMark/>
          </w:tcPr>
          <w:p w14:paraId="38E286B8" w14:textId="77777777" w:rsidR="00433382" w:rsidRDefault="00433382" w:rsidP="00DD356B">
            <w:proofErr w:type="gramStart"/>
            <w:r>
              <w:lastRenderedPageBreak/>
              <w:t>Late stage</w:t>
            </w:r>
            <w:proofErr w:type="gramEnd"/>
            <w:r>
              <w:t xml:space="preserve"> HCC </w:t>
            </w:r>
          </w:p>
        </w:tc>
        <w:tc>
          <w:tcPr>
            <w:tcW w:w="3277" w:type="dxa"/>
            <w:tcBorders>
              <w:top w:val="single" w:sz="4" w:space="0" w:color="auto"/>
              <w:left w:val="single" w:sz="4" w:space="0" w:color="auto"/>
              <w:bottom w:val="single" w:sz="4" w:space="0" w:color="auto"/>
              <w:right w:val="single" w:sz="4" w:space="0" w:color="auto"/>
            </w:tcBorders>
          </w:tcPr>
          <w:p w14:paraId="61FD84B7" w14:textId="77777777" w:rsidR="00433382" w:rsidRPr="00333C8F" w:rsidRDefault="00433382" w:rsidP="00DD356B">
            <w:pPr>
              <w:rPr>
                <w:highlight w:val="yellow"/>
              </w:rPr>
            </w:pPr>
            <w:r w:rsidRPr="00686610">
              <w:t>0.53 (0.4-0.65)</w:t>
            </w:r>
          </w:p>
        </w:tc>
        <w:tc>
          <w:tcPr>
            <w:tcW w:w="2841" w:type="dxa"/>
            <w:tcBorders>
              <w:top w:val="single" w:sz="4" w:space="0" w:color="auto"/>
              <w:left w:val="single" w:sz="4" w:space="0" w:color="auto"/>
              <w:bottom w:val="single" w:sz="4" w:space="0" w:color="auto"/>
              <w:right w:val="single" w:sz="4" w:space="0" w:color="auto"/>
            </w:tcBorders>
          </w:tcPr>
          <w:p w14:paraId="55D9452F" w14:textId="77777777" w:rsidR="00433382" w:rsidRDefault="00433382" w:rsidP="00DD356B">
            <w:pPr>
              <w:rPr>
                <w:rStyle w:val="Hyperlink"/>
              </w:rPr>
            </w:pPr>
            <w:r>
              <w:t xml:space="preserve">a. </w:t>
            </w:r>
            <w:hyperlink r:id="rId37" w:anchor="S11" w:history="1">
              <w:r w:rsidRPr="008E772A">
                <w:rPr>
                  <w:rStyle w:val="Hyperlink"/>
                </w:rPr>
                <w:t>Singal 2024</w:t>
              </w:r>
            </w:hyperlink>
          </w:p>
          <w:p w14:paraId="0B3FFAB6" w14:textId="77777777" w:rsidR="00433382" w:rsidRDefault="00433382" w:rsidP="00DD356B">
            <w:r>
              <w:t xml:space="preserve">b. </w:t>
            </w:r>
            <w:hyperlink r:id="rId38" w:history="1">
              <w:r>
                <w:rPr>
                  <w:rStyle w:val="Hyperlink"/>
                </w:rPr>
                <w:t>Bremner 2007</w:t>
              </w:r>
            </w:hyperlink>
          </w:p>
        </w:tc>
      </w:tr>
    </w:tbl>
    <w:p w14:paraId="6D68CA30" w14:textId="2B8D06D9" w:rsidR="00742D70" w:rsidRDefault="00742D70" w:rsidP="00B136D1">
      <w:pPr>
        <w:rPr>
          <w:rStyle w:val="normaltextrun"/>
          <w:rFonts w:ascii="Calibri" w:hAnsi="Calibri" w:cs="Calibri"/>
          <w:b/>
          <w:bCs/>
          <w:i/>
          <w:iCs/>
        </w:rPr>
      </w:pPr>
    </w:p>
    <w:p w14:paraId="5C4C6C00" w14:textId="5458B2FA" w:rsidR="00433382" w:rsidRPr="00433382" w:rsidRDefault="00433382" w:rsidP="00433382">
      <w:pPr>
        <w:pStyle w:val="paragraph"/>
        <w:spacing w:before="0" w:beforeAutospacing="0" w:after="0" w:afterAutospacing="0"/>
        <w:textAlignment w:val="baseline"/>
        <w:rPr>
          <w:rStyle w:val="normaltextrun"/>
          <w:rFonts w:ascii="Calibri" w:hAnsi="Calibri" w:cs="Calibri"/>
          <w:i/>
          <w:iCs/>
        </w:rPr>
      </w:pPr>
      <w:r w:rsidRPr="00E8634F">
        <w:rPr>
          <w:rStyle w:val="normaltextrun"/>
          <w:rFonts w:ascii="Calibri" w:hAnsi="Calibri" w:cs="Calibri"/>
          <w:b/>
          <w:bCs/>
        </w:rPr>
        <w:t xml:space="preserve">Table </w:t>
      </w:r>
      <w:r>
        <w:rPr>
          <w:rStyle w:val="normaltextrun"/>
          <w:rFonts w:ascii="Calibri" w:hAnsi="Calibri" w:cs="Calibri"/>
          <w:b/>
          <w:bCs/>
        </w:rPr>
        <w:t>1C</w:t>
      </w:r>
      <w:r>
        <w:rPr>
          <w:rStyle w:val="normaltextrun"/>
          <w:rFonts w:ascii="Calibri" w:hAnsi="Calibri" w:cs="Calibri"/>
        </w:rPr>
        <w:t xml:space="preserve">: Costs for base case analysis. The base case value is derived by averaging the values reported in the references unless specified otherwise. </w:t>
      </w:r>
    </w:p>
    <w:tbl>
      <w:tblPr>
        <w:tblStyle w:val="TableGrid"/>
        <w:tblW w:w="9360" w:type="dxa"/>
        <w:tblLook w:val="04A0" w:firstRow="1" w:lastRow="0" w:firstColumn="1" w:lastColumn="0" w:noHBand="0" w:noVBand="1"/>
      </w:tblPr>
      <w:tblGrid>
        <w:gridCol w:w="3359"/>
        <w:gridCol w:w="3206"/>
        <w:gridCol w:w="2795"/>
      </w:tblGrid>
      <w:tr w:rsidR="00433382" w14:paraId="6579A615" w14:textId="77777777" w:rsidTr="00433382">
        <w:trPr>
          <w:trHeight w:val="562"/>
        </w:trPr>
        <w:tc>
          <w:tcPr>
            <w:tcW w:w="3359" w:type="dxa"/>
            <w:tcBorders>
              <w:top w:val="single" w:sz="4" w:space="0" w:color="auto"/>
              <w:left w:val="single" w:sz="4" w:space="0" w:color="auto"/>
              <w:bottom w:val="single" w:sz="4" w:space="0" w:color="auto"/>
              <w:right w:val="single" w:sz="4" w:space="0" w:color="auto"/>
            </w:tcBorders>
            <w:hideMark/>
          </w:tcPr>
          <w:p w14:paraId="5D34DDED" w14:textId="69285B29" w:rsidR="00433382" w:rsidRDefault="00433382" w:rsidP="00433382">
            <w:pPr>
              <w:rPr>
                <w:b/>
                <w:bCs/>
              </w:rPr>
            </w:pPr>
            <w:r>
              <w:rPr>
                <w:b/>
                <w:bCs/>
              </w:rPr>
              <w:t xml:space="preserve">Cost </w:t>
            </w:r>
          </w:p>
        </w:tc>
        <w:tc>
          <w:tcPr>
            <w:tcW w:w="3206" w:type="dxa"/>
            <w:tcBorders>
              <w:top w:val="single" w:sz="4" w:space="0" w:color="auto"/>
              <w:left w:val="single" w:sz="4" w:space="0" w:color="auto"/>
              <w:bottom w:val="single" w:sz="4" w:space="0" w:color="auto"/>
              <w:right w:val="single" w:sz="4" w:space="0" w:color="auto"/>
            </w:tcBorders>
          </w:tcPr>
          <w:p w14:paraId="4717BEDC" w14:textId="5E7753AC" w:rsidR="00433382" w:rsidRPr="59961667" w:rsidRDefault="00433382" w:rsidP="00433382">
            <w:pPr>
              <w:rPr>
                <w:b/>
                <w:bCs/>
              </w:rPr>
            </w:pPr>
            <w:r>
              <w:rPr>
                <w:rStyle w:val="normaltextrun"/>
                <w:rFonts w:ascii="Calibri" w:hAnsi="Calibri" w:cs="Calibri"/>
                <w:b/>
                <w:bCs/>
              </w:rPr>
              <w:t>Base-Case Value and Range</w:t>
            </w:r>
          </w:p>
        </w:tc>
        <w:tc>
          <w:tcPr>
            <w:tcW w:w="2795" w:type="dxa"/>
            <w:tcBorders>
              <w:top w:val="single" w:sz="4" w:space="0" w:color="auto"/>
              <w:left w:val="single" w:sz="4" w:space="0" w:color="auto"/>
              <w:bottom w:val="single" w:sz="4" w:space="0" w:color="auto"/>
              <w:right w:val="single" w:sz="4" w:space="0" w:color="auto"/>
            </w:tcBorders>
            <w:hideMark/>
          </w:tcPr>
          <w:p w14:paraId="7501E9F7" w14:textId="77777777" w:rsidR="00433382" w:rsidRDefault="00433382" w:rsidP="00433382">
            <w:pPr>
              <w:rPr>
                <w:b/>
                <w:bCs/>
              </w:rPr>
            </w:pPr>
            <w:r w:rsidRPr="59961667">
              <w:rPr>
                <w:b/>
                <w:bCs/>
              </w:rPr>
              <w:t xml:space="preserve">Reference </w:t>
            </w:r>
          </w:p>
        </w:tc>
      </w:tr>
      <w:tr w:rsidR="00433382" w:rsidRPr="00FF5517" w14:paraId="4D50BF08"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hideMark/>
          </w:tcPr>
          <w:p w14:paraId="06E56F7D" w14:textId="23ECDB70" w:rsidR="00433382" w:rsidRDefault="00A14042" w:rsidP="00DD356B">
            <w:r>
              <w:t>Semiannual</w:t>
            </w:r>
            <w:r w:rsidR="00433382">
              <w:t xml:space="preserve"> US and AFP screening</w:t>
            </w:r>
          </w:p>
        </w:tc>
        <w:tc>
          <w:tcPr>
            <w:tcW w:w="3206" w:type="dxa"/>
            <w:tcBorders>
              <w:top w:val="single" w:sz="4" w:space="0" w:color="auto"/>
              <w:left w:val="single" w:sz="4" w:space="0" w:color="auto"/>
              <w:bottom w:val="single" w:sz="4" w:space="0" w:color="auto"/>
              <w:right w:val="single" w:sz="4" w:space="0" w:color="auto"/>
            </w:tcBorders>
          </w:tcPr>
          <w:p w14:paraId="3F77C274" w14:textId="77777777" w:rsidR="00433382" w:rsidRDefault="00433382" w:rsidP="00DD356B">
            <w:r>
              <w:t>$358 ($258-458)</w:t>
            </w:r>
          </w:p>
        </w:tc>
        <w:tc>
          <w:tcPr>
            <w:tcW w:w="2795" w:type="dxa"/>
            <w:tcBorders>
              <w:top w:val="single" w:sz="4" w:space="0" w:color="auto"/>
              <w:left w:val="single" w:sz="4" w:space="0" w:color="auto"/>
              <w:bottom w:val="single" w:sz="4" w:space="0" w:color="auto"/>
              <w:right w:val="single" w:sz="4" w:space="0" w:color="auto"/>
            </w:tcBorders>
            <w:hideMark/>
          </w:tcPr>
          <w:p w14:paraId="706BBAFF" w14:textId="77777777" w:rsidR="00433382" w:rsidRPr="008E772A" w:rsidRDefault="00433382" w:rsidP="00DD356B">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6FF1C730" w14:textId="77777777" w:rsidR="00433382" w:rsidRDefault="00433382" w:rsidP="00DD356B">
            <w:r w:rsidRPr="008E772A">
              <w:rPr>
                <w:rStyle w:val="Hyperlink"/>
              </w:rPr>
              <w:t>schedule</w:t>
            </w:r>
            <w:r>
              <w:fldChar w:fldCharType="end"/>
            </w:r>
          </w:p>
          <w:p w14:paraId="297374B3" w14:textId="77777777" w:rsidR="00433382" w:rsidRPr="00FF5517" w:rsidRDefault="00433382" w:rsidP="00DD356B">
            <w:pPr>
              <w:rPr>
                <w:i/>
                <w:iCs/>
              </w:rPr>
            </w:pPr>
            <w:r w:rsidRPr="00FF5517">
              <w:rPr>
                <w:i/>
                <w:iCs/>
                <w:sz w:val="22"/>
                <w:szCs w:val="22"/>
              </w:rPr>
              <w:t>Range chosen from reasonable assumption</w:t>
            </w:r>
          </w:p>
        </w:tc>
      </w:tr>
      <w:tr w:rsidR="00A14042" w:rsidRPr="00FF5517" w14:paraId="1D58CA2B"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2CB6DDCC" w14:textId="4D762FFF" w:rsidR="00A14042" w:rsidRDefault="00A14042" w:rsidP="00A14042">
            <w:r>
              <w:t>CT/MRI to confirm HCC diagnosis</w:t>
            </w:r>
          </w:p>
        </w:tc>
        <w:tc>
          <w:tcPr>
            <w:tcW w:w="3206" w:type="dxa"/>
            <w:tcBorders>
              <w:top w:val="single" w:sz="4" w:space="0" w:color="auto"/>
              <w:left w:val="single" w:sz="4" w:space="0" w:color="auto"/>
              <w:bottom w:val="single" w:sz="4" w:space="0" w:color="auto"/>
              <w:right w:val="single" w:sz="4" w:space="0" w:color="auto"/>
            </w:tcBorders>
          </w:tcPr>
          <w:p w14:paraId="7E67B28C" w14:textId="53B65061" w:rsidR="00A14042" w:rsidRPr="00A14042" w:rsidRDefault="00A14042" w:rsidP="00A14042">
            <w:pPr>
              <w:rPr>
                <w:color w:val="000000" w:themeColor="text1"/>
              </w:rPr>
            </w:pPr>
            <w:r w:rsidRPr="00A14042">
              <w:rPr>
                <w:color w:val="000000" w:themeColor="text1"/>
              </w:rPr>
              <w:t>$670 ($470-$870)</w:t>
            </w:r>
          </w:p>
        </w:tc>
        <w:tc>
          <w:tcPr>
            <w:tcW w:w="2795" w:type="dxa"/>
            <w:tcBorders>
              <w:top w:val="single" w:sz="4" w:space="0" w:color="auto"/>
              <w:left w:val="single" w:sz="4" w:space="0" w:color="auto"/>
              <w:bottom w:val="single" w:sz="4" w:space="0" w:color="auto"/>
              <w:right w:val="single" w:sz="4" w:space="0" w:color="auto"/>
            </w:tcBorders>
          </w:tcPr>
          <w:p w14:paraId="143677A7" w14:textId="77777777" w:rsidR="00A14042" w:rsidRPr="008E772A" w:rsidRDefault="00A14042" w:rsidP="00A14042">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0898F00D" w14:textId="77777777" w:rsidR="00A14042" w:rsidRDefault="00A14042" w:rsidP="00A14042">
            <w:r w:rsidRPr="008E772A">
              <w:rPr>
                <w:rStyle w:val="Hyperlink"/>
              </w:rPr>
              <w:t>schedule</w:t>
            </w:r>
            <w:r>
              <w:fldChar w:fldCharType="end"/>
            </w:r>
          </w:p>
          <w:p w14:paraId="6E3DE6E8" w14:textId="77777777" w:rsidR="00A14042" w:rsidRDefault="00A14042" w:rsidP="00A14042">
            <w:pPr>
              <w:rPr>
                <w:i/>
                <w:iCs/>
                <w:sz w:val="22"/>
                <w:szCs w:val="22"/>
              </w:rPr>
            </w:pPr>
            <w:r w:rsidRPr="00FF5517">
              <w:rPr>
                <w:i/>
                <w:iCs/>
                <w:sz w:val="22"/>
                <w:szCs w:val="22"/>
              </w:rPr>
              <w:t>Range chosen from reasonable assumption</w:t>
            </w:r>
          </w:p>
          <w:p w14:paraId="6B39A416" w14:textId="57D0375C" w:rsidR="00A14042" w:rsidRDefault="00A14042" w:rsidP="00A14042">
            <w:hyperlink r:id="rId39" w:anchor="S6" w:history="1">
              <w:r>
                <w:rPr>
                  <w:rStyle w:val="Hyperlink"/>
                </w:rPr>
                <w:t xml:space="preserve">Parikh 2020 </w:t>
              </w:r>
            </w:hyperlink>
          </w:p>
        </w:tc>
      </w:tr>
      <w:tr w:rsidR="00A14042" w:rsidRPr="001832C0" w14:paraId="44BC57AE" w14:textId="77777777" w:rsidTr="00433382">
        <w:trPr>
          <w:trHeight w:val="1082"/>
        </w:trPr>
        <w:tc>
          <w:tcPr>
            <w:tcW w:w="3359" w:type="dxa"/>
            <w:tcBorders>
              <w:top w:val="single" w:sz="4" w:space="0" w:color="auto"/>
              <w:left w:val="single" w:sz="4" w:space="0" w:color="auto"/>
              <w:bottom w:val="single" w:sz="4" w:space="0" w:color="auto"/>
              <w:right w:val="single" w:sz="4" w:space="0" w:color="auto"/>
            </w:tcBorders>
            <w:hideMark/>
          </w:tcPr>
          <w:p w14:paraId="2DBD851A" w14:textId="77777777" w:rsidR="00A14042" w:rsidRDefault="00A14042" w:rsidP="00A14042">
            <w:r>
              <w:t xml:space="preserve">Repeat CT/MRI for false positive HCC </w:t>
            </w:r>
          </w:p>
        </w:tc>
        <w:tc>
          <w:tcPr>
            <w:tcW w:w="3206" w:type="dxa"/>
            <w:tcBorders>
              <w:top w:val="single" w:sz="4" w:space="0" w:color="auto"/>
              <w:left w:val="single" w:sz="4" w:space="0" w:color="auto"/>
              <w:bottom w:val="single" w:sz="4" w:space="0" w:color="auto"/>
              <w:right w:val="single" w:sz="4" w:space="0" w:color="auto"/>
            </w:tcBorders>
          </w:tcPr>
          <w:p w14:paraId="79F62FAD" w14:textId="747ABF71" w:rsidR="00A14042" w:rsidRPr="00A14042" w:rsidRDefault="00A14042" w:rsidP="00A14042">
            <w:pPr>
              <w:rPr>
                <w:color w:val="000000" w:themeColor="text1"/>
              </w:rPr>
            </w:pPr>
            <w:r w:rsidRPr="00A14042">
              <w:rPr>
                <w:color w:val="000000" w:themeColor="text1"/>
              </w:rPr>
              <w:t>$1116 ($916-$1316)</w:t>
            </w:r>
          </w:p>
        </w:tc>
        <w:tc>
          <w:tcPr>
            <w:tcW w:w="2795" w:type="dxa"/>
            <w:tcBorders>
              <w:top w:val="single" w:sz="4" w:space="0" w:color="auto"/>
              <w:left w:val="single" w:sz="4" w:space="0" w:color="auto"/>
              <w:bottom w:val="single" w:sz="4" w:space="0" w:color="auto"/>
              <w:right w:val="single" w:sz="4" w:space="0" w:color="auto"/>
            </w:tcBorders>
          </w:tcPr>
          <w:p w14:paraId="7A99DBF1" w14:textId="77777777" w:rsidR="00A14042" w:rsidRPr="008E772A" w:rsidRDefault="00A14042" w:rsidP="00A14042">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7B97B8F7" w14:textId="77777777" w:rsidR="00A14042" w:rsidRDefault="00A14042" w:rsidP="00A14042">
            <w:r w:rsidRPr="008E772A">
              <w:rPr>
                <w:rStyle w:val="Hyperlink"/>
              </w:rPr>
              <w:t>schedule</w:t>
            </w:r>
            <w:r>
              <w:fldChar w:fldCharType="end"/>
            </w:r>
          </w:p>
          <w:p w14:paraId="069FC4B5" w14:textId="77777777" w:rsidR="00A14042" w:rsidRDefault="00A14042" w:rsidP="00A14042">
            <w:pPr>
              <w:rPr>
                <w:i/>
                <w:iCs/>
                <w:sz w:val="22"/>
                <w:szCs w:val="22"/>
              </w:rPr>
            </w:pPr>
            <w:r w:rsidRPr="00FF5517">
              <w:rPr>
                <w:i/>
                <w:iCs/>
                <w:sz w:val="22"/>
                <w:szCs w:val="22"/>
              </w:rPr>
              <w:t>Range chosen from reasonable assumption</w:t>
            </w:r>
          </w:p>
          <w:p w14:paraId="607A091C" w14:textId="3A4A19AA" w:rsidR="00A14042" w:rsidRPr="001832C0" w:rsidRDefault="00A14042" w:rsidP="00A14042">
            <w:hyperlink r:id="rId40" w:anchor="S6" w:history="1">
              <w:r>
                <w:rPr>
                  <w:rStyle w:val="Hyperlink"/>
                </w:rPr>
                <w:t xml:space="preserve">Parikh 2020 </w:t>
              </w:r>
            </w:hyperlink>
          </w:p>
        </w:tc>
      </w:tr>
      <w:tr w:rsidR="00A14042" w14:paraId="28CF2F49" w14:textId="77777777" w:rsidTr="00433382">
        <w:trPr>
          <w:trHeight w:val="649"/>
        </w:trPr>
        <w:tc>
          <w:tcPr>
            <w:tcW w:w="3359" w:type="dxa"/>
            <w:tcBorders>
              <w:top w:val="single" w:sz="4" w:space="0" w:color="auto"/>
              <w:left w:val="single" w:sz="4" w:space="0" w:color="auto"/>
              <w:bottom w:val="single" w:sz="4" w:space="0" w:color="auto"/>
              <w:right w:val="single" w:sz="4" w:space="0" w:color="auto"/>
            </w:tcBorders>
          </w:tcPr>
          <w:p w14:paraId="087C8641" w14:textId="6B08BD6E" w:rsidR="00A14042" w:rsidRDefault="00A14042" w:rsidP="00A14042">
            <w:r>
              <w:t>Medical care of patients with MASLD (non-cirrhotic or with undiagnosed cirrhosis)</w:t>
            </w:r>
          </w:p>
        </w:tc>
        <w:tc>
          <w:tcPr>
            <w:tcW w:w="3206" w:type="dxa"/>
            <w:tcBorders>
              <w:top w:val="single" w:sz="4" w:space="0" w:color="auto"/>
              <w:left w:val="single" w:sz="4" w:space="0" w:color="auto"/>
              <w:bottom w:val="single" w:sz="4" w:space="0" w:color="auto"/>
              <w:right w:val="single" w:sz="4" w:space="0" w:color="auto"/>
            </w:tcBorders>
          </w:tcPr>
          <w:p w14:paraId="5C260AB4" w14:textId="77777777" w:rsidR="00A14042" w:rsidRDefault="00A14042" w:rsidP="00A14042">
            <w:r>
              <w:t>$4362 ($2362-$6362)</w:t>
            </w:r>
          </w:p>
        </w:tc>
        <w:tc>
          <w:tcPr>
            <w:tcW w:w="2795" w:type="dxa"/>
            <w:tcBorders>
              <w:top w:val="single" w:sz="4" w:space="0" w:color="auto"/>
              <w:left w:val="single" w:sz="4" w:space="0" w:color="auto"/>
              <w:bottom w:val="single" w:sz="4" w:space="0" w:color="auto"/>
              <w:right w:val="single" w:sz="4" w:space="0" w:color="auto"/>
            </w:tcBorders>
          </w:tcPr>
          <w:p w14:paraId="3A7586FD" w14:textId="77777777" w:rsidR="00A14042" w:rsidRDefault="00A14042" w:rsidP="00A14042">
            <w:pPr>
              <w:rPr>
                <w:rStyle w:val="Hyperlink"/>
              </w:rPr>
            </w:pPr>
            <w:hyperlink r:id="rId41" w:history="1">
              <w:proofErr w:type="spellStart"/>
              <w:r w:rsidRPr="008E772A">
                <w:rPr>
                  <w:rStyle w:val="Hyperlink"/>
                </w:rPr>
                <w:t>Younossi</w:t>
              </w:r>
              <w:proofErr w:type="spellEnd"/>
              <w:r w:rsidRPr="008E772A">
                <w:rPr>
                  <w:rStyle w:val="Hyperlink"/>
                </w:rPr>
                <w:t xml:space="preserve"> 2023</w:t>
              </w:r>
            </w:hyperlink>
          </w:p>
          <w:p w14:paraId="49C86B74" w14:textId="77777777" w:rsidR="00A14042" w:rsidRDefault="00A14042" w:rsidP="00A14042"/>
        </w:tc>
      </w:tr>
      <w:tr w:rsidR="00A14042" w:rsidRPr="00CE2E32" w14:paraId="72C3172B"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hideMark/>
          </w:tcPr>
          <w:p w14:paraId="2F55DDCF" w14:textId="1F3D8517" w:rsidR="00A14042" w:rsidRDefault="00A14042" w:rsidP="00A14042">
            <w:pPr>
              <w:rPr>
                <w:b/>
                <w:bCs/>
              </w:rPr>
            </w:pPr>
            <w:proofErr w:type="gramStart"/>
            <w:r>
              <w:t>Early stage</w:t>
            </w:r>
            <w:proofErr w:type="gramEnd"/>
            <w:r>
              <w:t xml:space="preserve"> HCC (annual)</w:t>
            </w:r>
          </w:p>
        </w:tc>
        <w:tc>
          <w:tcPr>
            <w:tcW w:w="3206" w:type="dxa"/>
            <w:tcBorders>
              <w:top w:val="single" w:sz="4" w:space="0" w:color="auto"/>
              <w:left w:val="single" w:sz="4" w:space="0" w:color="auto"/>
              <w:bottom w:val="single" w:sz="4" w:space="0" w:color="auto"/>
              <w:right w:val="single" w:sz="4" w:space="0" w:color="auto"/>
            </w:tcBorders>
          </w:tcPr>
          <w:p w14:paraId="6DF6C173" w14:textId="77777777" w:rsidR="00A14042" w:rsidRDefault="00A14042" w:rsidP="00A14042">
            <w:r>
              <w:t>$</w:t>
            </w:r>
            <w:r w:rsidRPr="00FF5517">
              <w:t>62,340 (</w:t>
            </w:r>
            <w:r>
              <w:t>$</w:t>
            </w:r>
            <w:r w:rsidRPr="00FF5517">
              <w:t xml:space="preserve">49872 - </w:t>
            </w:r>
            <w:r>
              <w:t>$</w:t>
            </w:r>
            <w:r w:rsidRPr="00FF5517">
              <w:t>74808)</w:t>
            </w:r>
          </w:p>
        </w:tc>
        <w:tc>
          <w:tcPr>
            <w:tcW w:w="2795" w:type="dxa"/>
            <w:tcBorders>
              <w:top w:val="single" w:sz="4" w:space="0" w:color="auto"/>
              <w:left w:val="single" w:sz="4" w:space="0" w:color="auto"/>
              <w:bottom w:val="single" w:sz="4" w:space="0" w:color="auto"/>
              <w:right w:val="single" w:sz="4" w:space="0" w:color="auto"/>
            </w:tcBorders>
          </w:tcPr>
          <w:p w14:paraId="2E684F9D" w14:textId="77777777" w:rsidR="00A14042" w:rsidRPr="00CE2E32" w:rsidRDefault="00A14042" w:rsidP="00A14042">
            <w:hyperlink r:id="rId42" w:anchor="sec3" w:history="1">
              <w:r>
                <w:rPr>
                  <w:rStyle w:val="Hyperlink"/>
                </w:rPr>
                <w:t>Karim 2023</w:t>
              </w:r>
            </w:hyperlink>
          </w:p>
        </w:tc>
      </w:tr>
      <w:tr w:rsidR="00A14042" w:rsidRPr="00CE2E32" w14:paraId="38F9FBBF"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415CC45B" w14:textId="1BEE4A44" w:rsidR="00A14042" w:rsidRDefault="00A14042" w:rsidP="00A14042">
            <w:r>
              <w:t>Intermediate stage HCC (annual)</w:t>
            </w:r>
          </w:p>
        </w:tc>
        <w:tc>
          <w:tcPr>
            <w:tcW w:w="3206" w:type="dxa"/>
            <w:tcBorders>
              <w:top w:val="single" w:sz="4" w:space="0" w:color="auto"/>
              <w:left w:val="single" w:sz="4" w:space="0" w:color="auto"/>
              <w:bottom w:val="single" w:sz="4" w:space="0" w:color="auto"/>
              <w:right w:val="single" w:sz="4" w:space="0" w:color="auto"/>
            </w:tcBorders>
          </w:tcPr>
          <w:p w14:paraId="6E4727A3" w14:textId="77777777" w:rsidR="00A14042" w:rsidRDefault="00A14042" w:rsidP="00A14042">
            <w:r>
              <w:t>$</w:t>
            </w:r>
            <w:r w:rsidRPr="00FF5517">
              <w:t>115442 (</w:t>
            </w:r>
            <w:r>
              <w:t>$</w:t>
            </w:r>
            <w:r w:rsidRPr="00FF5517">
              <w:t xml:space="preserve">92354 - </w:t>
            </w:r>
            <w:r>
              <w:t>$</w:t>
            </w:r>
            <w:r w:rsidRPr="00FF5517">
              <w:t>138530)</w:t>
            </w:r>
          </w:p>
        </w:tc>
        <w:tc>
          <w:tcPr>
            <w:tcW w:w="2795" w:type="dxa"/>
            <w:tcBorders>
              <w:top w:val="single" w:sz="4" w:space="0" w:color="auto"/>
              <w:left w:val="single" w:sz="4" w:space="0" w:color="auto"/>
              <w:bottom w:val="single" w:sz="4" w:space="0" w:color="auto"/>
              <w:right w:val="single" w:sz="4" w:space="0" w:color="auto"/>
            </w:tcBorders>
          </w:tcPr>
          <w:p w14:paraId="3AC88097" w14:textId="77777777" w:rsidR="00A14042" w:rsidRPr="00CE2E32" w:rsidRDefault="00A14042" w:rsidP="00A14042">
            <w:hyperlink r:id="rId43" w:history="1">
              <w:r w:rsidRPr="008E772A">
                <w:rPr>
                  <w:rStyle w:val="Hyperlink"/>
                  <w:rFonts w:eastAsia="PMingLiU" w:cs="Times New Roman"/>
                </w:rPr>
                <w:t>Tapper 2016</w:t>
              </w:r>
            </w:hyperlink>
          </w:p>
        </w:tc>
      </w:tr>
      <w:tr w:rsidR="00A14042" w:rsidRPr="00CE2E32" w14:paraId="3D776C7C"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693B8E86" w14:textId="6FBF9CE7" w:rsidR="00A14042" w:rsidRDefault="00A14042" w:rsidP="00A14042">
            <w:proofErr w:type="gramStart"/>
            <w:r>
              <w:t>Late stage</w:t>
            </w:r>
            <w:proofErr w:type="gramEnd"/>
            <w:r>
              <w:t xml:space="preserve"> HCC (annual)</w:t>
            </w:r>
          </w:p>
        </w:tc>
        <w:tc>
          <w:tcPr>
            <w:tcW w:w="3206" w:type="dxa"/>
            <w:tcBorders>
              <w:top w:val="single" w:sz="4" w:space="0" w:color="auto"/>
              <w:left w:val="single" w:sz="4" w:space="0" w:color="auto"/>
              <w:bottom w:val="single" w:sz="4" w:space="0" w:color="auto"/>
              <w:right w:val="single" w:sz="4" w:space="0" w:color="auto"/>
            </w:tcBorders>
          </w:tcPr>
          <w:p w14:paraId="65CC93EA" w14:textId="77777777" w:rsidR="00A14042" w:rsidRDefault="00A14042" w:rsidP="00A14042">
            <w:r>
              <w:t>$</w:t>
            </w:r>
            <w:r w:rsidRPr="00FF5517">
              <w:t>104189 (</w:t>
            </w:r>
            <w:r>
              <w:t>$</w:t>
            </w:r>
            <w:r w:rsidRPr="00FF5517">
              <w:t xml:space="preserve">83351 - </w:t>
            </w:r>
            <w:r>
              <w:t>$</w:t>
            </w:r>
            <w:r w:rsidRPr="00FF5517">
              <w:t>125027)</w:t>
            </w:r>
          </w:p>
        </w:tc>
        <w:tc>
          <w:tcPr>
            <w:tcW w:w="2795" w:type="dxa"/>
            <w:tcBorders>
              <w:top w:val="single" w:sz="4" w:space="0" w:color="auto"/>
              <w:left w:val="single" w:sz="4" w:space="0" w:color="auto"/>
              <w:bottom w:val="single" w:sz="4" w:space="0" w:color="auto"/>
              <w:right w:val="single" w:sz="4" w:space="0" w:color="auto"/>
            </w:tcBorders>
          </w:tcPr>
          <w:p w14:paraId="74535F2E" w14:textId="77777777" w:rsidR="00A14042" w:rsidRPr="00CE2E32" w:rsidRDefault="00A14042" w:rsidP="00A14042">
            <w:hyperlink r:id="rId44" w:history="1">
              <w:r w:rsidRPr="008E772A">
                <w:rPr>
                  <w:rStyle w:val="Hyperlink"/>
                  <w:rFonts w:eastAsia="PMingLiU" w:cs="Times New Roman"/>
                </w:rPr>
                <w:t>Tapper 2016</w:t>
              </w:r>
            </w:hyperlink>
          </w:p>
        </w:tc>
      </w:tr>
    </w:tbl>
    <w:p w14:paraId="07F50105" w14:textId="2A1205DE" w:rsidR="00433382" w:rsidRDefault="00433382" w:rsidP="00B136D1">
      <w:pPr>
        <w:rPr>
          <w:rStyle w:val="normaltextrun"/>
          <w:rFonts w:ascii="Calibri" w:hAnsi="Calibri" w:cs="Calibri"/>
          <w:b/>
          <w:bCs/>
          <w:i/>
          <w:iCs/>
        </w:rPr>
      </w:pPr>
    </w:p>
    <w:p w14:paraId="64CB9940" w14:textId="4E6E7C52" w:rsidR="000133FB" w:rsidRDefault="000133FB" w:rsidP="000133FB">
      <w:pPr>
        <w:rPr>
          <w:rStyle w:val="normaltextrun"/>
          <w:rFonts w:ascii="Calibri" w:hAnsi="Calibri" w:cs="Calibri"/>
          <w:b/>
          <w:bCs/>
        </w:rPr>
      </w:pPr>
      <w:r>
        <w:rPr>
          <w:rStyle w:val="normaltextrun"/>
          <w:rFonts w:ascii="Calibri" w:hAnsi="Calibri" w:cs="Calibri"/>
          <w:b/>
          <w:bCs/>
        </w:rPr>
        <w:t xml:space="preserve">Table X: Model input parameters for subgroup analysis of male patients </w:t>
      </w:r>
    </w:p>
    <w:p w14:paraId="7FA43877" w14:textId="2BD4F207" w:rsidR="003C52FF" w:rsidRPr="003C52FF" w:rsidRDefault="003C52FF" w:rsidP="000133FB">
      <w:pPr>
        <w:rPr>
          <w:rStyle w:val="normaltextrun"/>
          <w:rFonts w:ascii="Calibri" w:hAnsi="Calibri" w:cs="Calibri"/>
          <w:i/>
          <w:iCs/>
        </w:rPr>
      </w:pPr>
      <w:r>
        <w:rPr>
          <w:rStyle w:val="normaltextrun"/>
          <w:rFonts w:ascii="Calibri" w:hAnsi="Calibri" w:cs="Calibri"/>
          <w:i/>
          <w:iCs/>
        </w:rPr>
        <w:t xml:space="preserve">For the annual transition probabilities, the incremental change between that of the male subgroup and the overall cohort in each referenced literature was added to the base case value (the incremental change was averaged across multiple studies if multiple references are listed).  </w:t>
      </w:r>
    </w:p>
    <w:tbl>
      <w:tblPr>
        <w:tblStyle w:val="TableGrid"/>
        <w:tblW w:w="0" w:type="auto"/>
        <w:tblLook w:val="04A0" w:firstRow="1" w:lastRow="0" w:firstColumn="1" w:lastColumn="0" w:noHBand="0" w:noVBand="1"/>
      </w:tblPr>
      <w:tblGrid>
        <w:gridCol w:w="3116"/>
        <w:gridCol w:w="3117"/>
        <w:gridCol w:w="3117"/>
      </w:tblGrid>
      <w:tr w:rsidR="000133FB" w:rsidRPr="0029134E" w14:paraId="1826C1F1" w14:textId="77777777" w:rsidTr="00F202DE">
        <w:tc>
          <w:tcPr>
            <w:tcW w:w="3116" w:type="dxa"/>
          </w:tcPr>
          <w:p w14:paraId="71C3239C"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6639FF12"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59FB48DA"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0133FB" w:rsidRPr="005B571A" w14:paraId="297BA938" w14:textId="77777777" w:rsidTr="00F202DE">
        <w:tc>
          <w:tcPr>
            <w:tcW w:w="3116" w:type="dxa"/>
          </w:tcPr>
          <w:p w14:paraId="21EAFFDD" w14:textId="77777777" w:rsidR="000133FB" w:rsidRDefault="000133FB" w:rsidP="00F202DE">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4F66756F" w14:textId="77777777" w:rsidR="000133FB" w:rsidRPr="005B571A" w:rsidRDefault="000133FB" w:rsidP="00F202DE">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33.3% (15%-55%)</w:t>
            </w:r>
          </w:p>
          <w:p w14:paraId="28B40D59" w14:textId="77777777" w:rsidR="000133FB" w:rsidRPr="005B571A" w:rsidRDefault="000133FB" w:rsidP="00F202DE">
            <w:pPr>
              <w:pStyle w:val="paragraph"/>
              <w:spacing w:before="0" w:beforeAutospacing="0" w:after="0" w:afterAutospacing="0"/>
              <w:textAlignment w:val="baseline"/>
              <w:rPr>
                <w:rStyle w:val="normaltextrun"/>
                <w:rFonts w:ascii="Calibri" w:hAnsi="Calibri" w:cs="Calibri"/>
                <w:i/>
                <w:iCs/>
              </w:rPr>
            </w:pPr>
          </w:p>
        </w:tc>
        <w:tc>
          <w:tcPr>
            <w:tcW w:w="3117" w:type="dxa"/>
          </w:tcPr>
          <w:p w14:paraId="1E70E9FF" w14:textId="77777777" w:rsidR="000133FB" w:rsidRDefault="000133FB" w:rsidP="00F202DE">
            <w:pPr>
              <w:pStyle w:val="paragraph"/>
              <w:spacing w:before="0" w:beforeAutospacing="0" w:after="0" w:afterAutospacing="0"/>
              <w:textAlignment w:val="baseline"/>
              <w:rPr>
                <w:rStyle w:val="Hyperlink"/>
                <w:rFonts w:ascii="Calibri" w:eastAsia="Calibri" w:hAnsi="Calibri" w:cs="Calibri"/>
              </w:rPr>
            </w:pPr>
            <w:hyperlink r:id="rId45" w:history="1">
              <w:r w:rsidRPr="008C58C0">
                <w:rPr>
                  <w:rStyle w:val="Hyperlink"/>
                  <w:rFonts w:ascii="Calibri" w:eastAsia="Calibri" w:hAnsi="Calibri" w:cs="Calibri"/>
                </w:rPr>
                <w:t>Fujimoto 2008</w:t>
              </w:r>
            </w:hyperlink>
          </w:p>
          <w:p w14:paraId="6CCDAD3B" w14:textId="77777777" w:rsidR="000133FB" w:rsidRPr="000154C4" w:rsidRDefault="000133FB" w:rsidP="00F202DE">
            <w:pPr>
              <w:pStyle w:val="paragraph"/>
              <w:spacing w:before="0" w:beforeAutospacing="0" w:after="0" w:afterAutospacing="0"/>
              <w:textAlignment w:val="baseline"/>
              <w:rPr>
                <w:rStyle w:val="normaltextrun"/>
                <w:rFonts w:ascii="Calibri" w:eastAsia="Calibri" w:hAnsi="Calibri" w:cs="Calibri"/>
                <w:i/>
                <w:iCs/>
                <w:color w:val="000000" w:themeColor="text1"/>
              </w:rPr>
            </w:pPr>
            <w:r w:rsidRPr="000154C4">
              <w:rPr>
                <w:rStyle w:val="normaltextrun"/>
                <w:rFonts w:ascii="Calibri" w:eastAsia="Calibri" w:hAnsi="Calibri" w:cs="Calibri"/>
                <w:i/>
                <w:iCs/>
                <w:color w:val="000000" w:themeColor="text1"/>
              </w:rPr>
              <w:t>Range chosen from reasonable assumption</w:t>
            </w:r>
          </w:p>
        </w:tc>
      </w:tr>
      <w:tr w:rsidR="000133FB" w:rsidRPr="005B571A" w14:paraId="600DCF3D" w14:textId="77777777" w:rsidTr="00F202DE">
        <w:tc>
          <w:tcPr>
            <w:tcW w:w="3116" w:type="dxa"/>
          </w:tcPr>
          <w:p w14:paraId="08179BB2" w14:textId="05F60B16" w:rsidR="000133FB" w:rsidRDefault="000133FB" w:rsidP="00F202DE">
            <w:pPr>
              <w:pStyle w:val="paragraph"/>
              <w:spacing w:before="0" w:beforeAutospacing="0" w:after="0" w:afterAutospacing="0"/>
              <w:textAlignment w:val="baseline"/>
              <w:rPr>
                <w:rStyle w:val="normaltextrun"/>
                <w:rFonts w:ascii="Calibri" w:hAnsi="Calibri" w:cs="Calibri"/>
              </w:rPr>
            </w:pPr>
            <w:r w:rsidRPr="002150F1">
              <w:rPr>
                <w:rStyle w:val="normaltextrun"/>
                <w:rFonts w:ascii="Calibri" w:hAnsi="Calibri" w:cs="Calibri"/>
                <w:b/>
                <w:bCs/>
              </w:rPr>
              <w:t>Annual transition probabilities</w:t>
            </w:r>
          </w:p>
        </w:tc>
        <w:tc>
          <w:tcPr>
            <w:tcW w:w="3117" w:type="dxa"/>
          </w:tcPr>
          <w:p w14:paraId="0CBCA0AF" w14:textId="77777777" w:rsidR="000133FB" w:rsidRDefault="000133FB" w:rsidP="00F202DE">
            <w:pPr>
              <w:pStyle w:val="paragraph"/>
              <w:spacing w:before="0" w:beforeAutospacing="0" w:after="0" w:afterAutospacing="0"/>
              <w:textAlignment w:val="baseline"/>
              <w:rPr>
                <w:rStyle w:val="normaltextrun"/>
                <w:rFonts w:ascii="Calibri" w:hAnsi="Calibri" w:cs="Calibri"/>
              </w:rPr>
            </w:pPr>
          </w:p>
        </w:tc>
        <w:tc>
          <w:tcPr>
            <w:tcW w:w="3117" w:type="dxa"/>
          </w:tcPr>
          <w:p w14:paraId="3B6D02B6" w14:textId="77777777" w:rsidR="000133FB" w:rsidRDefault="000133FB" w:rsidP="00F202DE">
            <w:pPr>
              <w:pStyle w:val="paragraph"/>
              <w:spacing w:before="0" w:beforeAutospacing="0" w:after="0" w:afterAutospacing="0"/>
              <w:textAlignment w:val="baseline"/>
            </w:pPr>
          </w:p>
        </w:tc>
      </w:tr>
      <w:tr w:rsidR="000133FB" w:rsidRPr="005B571A" w14:paraId="27AEA33A" w14:textId="77777777" w:rsidTr="00F202DE">
        <w:tc>
          <w:tcPr>
            <w:tcW w:w="3116" w:type="dxa"/>
          </w:tcPr>
          <w:p w14:paraId="7D45E805" w14:textId="01295475"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7DE3058B" w14:textId="498DA5E7" w:rsidR="000133FB" w:rsidRPr="003C52FF" w:rsidRDefault="000133FB" w:rsidP="000133FB">
            <w:pPr>
              <w:pStyle w:val="paragraph"/>
              <w:spacing w:before="0" w:beforeAutospacing="0" w:after="0" w:afterAutospacing="0"/>
              <w:textAlignment w:val="baseline"/>
              <w:rPr>
                <w:rStyle w:val="normaltextrun"/>
                <w:rFonts w:asciiTheme="minorHAnsi" w:hAnsiTheme="minorHAnsi" w:cstheme="minorHAnsi"/>
              </w:rPr>
            </w:pPr>
            <w:r w:rsidRPr="003C52FF">
              <w:rPr>
                <w:rFonts w:asciiTheme="minorHAnsi" w:hAnsiTheme="minorHAnsi" w:cstheme="minorHAnsi"/>
              </w:rPr>
              <w:t>0.537</w:t>
            </w:r>
            <w:proofErr w:type="gramStart"/>
            <w:r w:rsidRPr="003C52FF">
              <w:rPr>
                <w:rFonts w:asciiTheme="minorHAnsi" w:hAnsiTheme="minorHAnsi" w:cstheme="minorHAnsi"/>
              </w:rPr>
              <w:t>%(</w:t>
            </w:r>
            <w:proofErr w:type="gramEnd"/>
            <w:r w:rsidRPr="003C52FF">
              <w:rPr>
                <w:rFonts w:asciiTheme="minorHAnsi" w:hAnsiTheme="minorHAnsi" w:cstheme="minorHAnsi"/>
              </w:rPr>
              <w:t>0.133-1.099)</w:t>
            </w:r>
          </w:p>
        </w:tc>
        <w:tc>
          <w:tcPr>
            <w:tcW w:w="3117" w:type="dxa"/>
          </w:tcPr>
          <w:p w14:paraId="09589DE9" w14:textId="1EB6C409" w:rsidR="000133FB" w:rsidRPr="003C52FF" w:rsidRDefault="000133FB" w:rsidP="000133FB">
            <w:pPr>
              <w:pStyle w:val="paragraph"/>
              <w:spacing w:before="0" w:beforeAutospacing="0" w:after="0" w:afterAutospacing="0"/>
              <w:textAlignment w:val="baseline"/>
              <w:rPr>
                <w:rFonts w:asciiTheme="minorHAnsi" w:hAnsiTheme="minorHAnsi" w:cstheme="minorHAnsi"/>
              </w:rPr>
            </w:pPr>
            <w:hyperlink r:id="rId46" w:history="1">
              <w:r w:rsidRPr="003C52FF">
                <w:rPr>
                  <w:rStyle w:val="Hyperlink"/>
                  <w:rFonts w:asciiTheme="minorHAnsi" w:hAnsiTheme="minorHAnsi" w:cstheme="minorHAnsi"/>
                </w:rPr>
                <w:t>Yeoh 2024</w:t>
              </w:r>
            </w:hyperlink>
          </w:p>
        </w:tc>
      </w:tr>
      <w:tr w:rsidR="000133FB" w:rsidRPr="005B571A" w14:paraId="4919771B" w14:textId="77777777" w:rsidTr="00F202DE">
        <w:tc>
          <w:tcPr>
            <w:tcW w:w="3116" w:type="dxa"/>
          </w:tcPr>
          <w:p w14:paraId="1DBB327F" w14:textId="03CE0B9A"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w:t>
            </w:r>
            <w:r>
              <w:rPr>
                <w:rStyle w:val="normaltextrun"/>
                <w:rFonts w:ascii="Calibri" w:hAnsi="Calibri" w:cs="Calibri"/>
              </w:rPr>
              <w:t>HCC</w:t>
            </w:r>
          </w:p>
        </w:tc>
        <w:tc>
          <w:tcPr>
            <w:tcW w:w="3117" w:type="dxa"/>
          </w:tcPr>
          <w:p w14:paraId="318CF6C6" w14:textId="03A61CA3" w:rsidR="000133FB" w:rsidRPr="003C52FF" w:rsidRDefault="000133FB" w:rsidP="000133FB">
            <w:pPr>
              <w:pStyle w:val="paragraph"/>
              <w:spacing w:before="0" w:beforeAutospacing="0" w:after="0" w:afterAutospacing="0"/>
              <w:textAlignment w:val="baseline"/>
              <w:rPr>
                <w:rStyle w:val="normaltextrun"/>
                <w:rFonts w:asciiTheme="minorHAnsi" w:hAnsiTheme="minorHAnsi" w:cstheme="minorHAnsi"/>
              </w:rPr>
            </w:pPr>
            <w:r w:rsidRPr="003C52FF">
              <w:rPr>
                <w:rFonts w:asciiTheme="minorHAnsi" w:hAnsiTheme="minorHAnsi" w:cstheme="minorHAnsi"/>
              </w:rPr>
              <w:t>0.053</w:t>
            </w:r>
            <w:proofErr w:type="gramStart"/>
            <w:r w:rsidRPr="003C52FF">
              <w:rPr>
                <w:rFonts w:asciiTheme="minorHAnsi" w:hAnsiTheme="minorHAnsi" w:cstheme="minorHAnsi"/>
              </w:rPr>
              <w:t>%(</w:t>
            </w:r>
            <w:proofErr w:type="gramEnd"/>
            <w:r w:rsidRPr="003C52FF">
              <w:rPr>
                <w:rFonts w:asciiTheme="minorHAnsi" w:hAnsiTheme="minorHAnsi" w:cstheme="minorHAnsi"/>
              </w:rPr>
              <w:t>0.0097-0.58)</w:t>
            </w:r>
          </w:p>
        </w:tc>
        <w:tc>
          <w:tcPr>
            <w:tcW w:w="3117" w:type="dxa"/>
          </w:tcPr>
          <w:p w14:paraId="174C5BF7" w14:textId="68746F4D" w:rsidR="000133FB" w:rsidRPr="003C52FF" w:rsidRDefault="000133FB" w:rsidP="000133FB">
            <w:pPr>
              <w:rPr>
                <w:rFonts w:cstheme="minorHAnsi"/>
              </w:rPr>
            </w:pPr>
            <w:r w:rsidRPr="003C52FF">
              <w:rPr>
                <w:rFonts w:cstheme="minorHAnsi"/>
              </w:rPr>
              <w:t xml:space="preserve">a. </w:t>
            </w:r>
            <w:hyperlink r:id="rId47" w:anchor="S20" w:history="1">
              <w:r w:rsidRPr="003C52FF">
                <w:rPr>
                  <w:rStyle w:val="Hyperlink"/>
                  <w:rFonts w:cstheme="minorHAnsi"/>
                </w:rPr>
                <w:t>Kanwal 2018</w:t>
              </w:r>
            </w:hyperlink>
          </w:p>
          <w:p w14:paraId="07E3CC18" w14:textId="6770CFCC" w:rsidR="000133FB" w:rsidRPr="003C52FF" w:rsidRDefault="000133FB" w:rsidP="000133FB">
            <w:pPr>
              <w:pStyle w:val="paragraph"/>
              <w:spacing w:before="0" w:beforeAutospacing="0" w:after="0" w:afterAutospacing="0"/>
              <w:textAlignment w:val="baseline"/>
              <w:rPr>
                <w:rFonts w:asciiTheme="minorHAnsi" w:hAnsiTheme="minorHAnsi" w:cstheme="minorHAnsi"/>
              </w:rPr>
            </w:pPr>
            <w:r w:rsidRPr="003C52FF">
              <w:rPr>
                <w:rFonts w:asciiTheme="minorHAnsi" w:hAnsiTheme="minorHAnsi" w:cstheme="minorHAnsi"/>
              </w:rPr>
              <w:t xml:space="preserve">b. </w:t>
            </w:r>
            <w:hyperlink r:id="rId48" w:history="1">
              <w:r w:rsidRPr="003C52FF">
                <w:rPr>
                  <w:rStyle w:val="Hyperlink"/>
                  <w:rFonts w:asciiTheme="minorHAnsi" w:hAnsiTheme="minorHAnsi" w:cstheme="minorHAnsi"/>
                </w:rPr>
                <w:t>Yeoh 2024</w:t>
              </w:r>
            </w:hyperlink>
          </w:p>
        </w:tc>
      </w:tr>
      <w:tr w:rsidR="000133FB" w:rsidRPr="005B571A" w14:paraId="7CF78381" w14:textId="77777777" w:rsidTr="00F202DE">
        <w:tc>
          <w:tcPr>
            <w:tcW w:w="3116" w:type="dxa"/>
          </w:tcPr>
          <w:p w14:paraId="6694E19D" w14:textId="080D5DA4"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lastRenderedPageBreak/>
              <w:t>(Undiagnosed) cirrhosis with MASLD to HCC</w:t>
            </w:r>
          </w:p>
        </w:tc>
        <w:tc>
          <w:tcPr>
            <w:tcW w:w="3117" w:type="dxa"/>
          </w:tcPr>
          <w:p w14:paraId="78A03147" w14:textId="4AFD2BED" w:rsidR="000133FB" w:rsidRPr="003C52FF" w:rsidRDefault="000133FB" w:rsidP="000133FB">
            <w:pPr>
              <w:pStyle w:val="paragraph"/>
              <w:spacing w:before="0" w:beforeAutospacing="0" w:after="0" w:afterAutospacing="0"/>
              <w:textAlignment w:val="baseline"/>
              <w:rPr>
                <w:rStyle w:val="normaltextrun"/>
                <w:rFonts w:asciiTheme="minorHAnsi" w:hAnsiTheme="minorHAnsi" w:cstheme="minorHAnsi"/>
              </w:rPr>
            </w:pPr>
            <w:r w:rsidRPr="003C52FF">
              <w:rPr>
                <w:rFonts w:asciiTheme="minorHAnsi" w:hAnsiTheme="minorHAnsi" w:cstheme="minorHAnsi"/>
              </w:rPr>
              <w:t>2.49% (1.102-4.66)</w:t>
            </w:r>
          </w:p>
        </w:tc>
        <w:tc>
          <w:tcPr>
            <w:tcW w:w="3117" w:type="dxa"/>
          </w:tcPr>
          <w:p w14:paraId="348F6A8D" w14:textId="27D64B17" w:rsidR="000133FB" w:rsidRPr="003C52FF" w:rsidRDefault="000133FB" w:rsidP="000133FB">
            <w:pPr>
              <w:pStyle w:val="paragraph"/>
              <w:spacing w:before="0" w:beforeAutospacing="0" w:after="0" w:afterAutospacing="0"/>
              <w:textAlignment w:val="baseline"/>
              <w:rPr>
                <w:rFonts w:asciiTheme="minorHAnsi" w:hAnsiTheme="minorHAnsi" w:cstheme="minorHAnsi"/>
              </w:rPr>
            </w:pPr>
            <w:hyperlink r:id="rId49" w:anchor="S20" w:history="1">
              <w:r w:rsidRPr="003C52FF">
                <w:rPr>
                  <w:rStyle w:val="Hyperlink"/>
                  <w:rFonts w:asciiTheme="minorHAnsi" w:hAnsiTheme="minorHAnsi" w:cstheme="minorHAnsi"/>
                </w:rPr>
                <w:t>Kanwal 2018</w:t>
              </w:r>
            </w:hyperlink>
          </w:p>
        </w:tc>
      </w:tr>
    </w:tbl>
    <w:p w14:paraId="1077EE24" w14:textId="77777777" w:rsidR="00433382" w:rsidRDefault="00433382" w:rsidP="00B136D1">
      <w:pPr>
        <w:rPr>
          <w:rStyle w:val="normaltextrun"/>
          <w:rFonts w:ascii="Calibri" w:hAnsi="Calibri" w:cs="Calibri"/>
          <w:b/>
          <w:bCs/>
          <w:i/>
          <w:iCs/>
        </w:rPr>
      </w:pPr>
    </w:p>
    <w:p w14:paraId="492BA19F" w14:textId="1F7BC2EC" w:rsidR="000154C4" w:rsidRDefault="000154C4" w:rsidP="00B136D1">
      <w:pPr>
        <w:rPr>
          <w:rStyle w:val="normaltextrun"/>
          <w:rFonts w:ascii="Calibri" w:hAnsi="Calibri" w:cs="Calibri"/>
          <w:b/>
          <w:bCs/>
        </w:rPr>
      </w:pPr>
      <w:r>
        <w:rPr>
          <w:rStyle w:val="normaltextrun"/>
          <w:rFonts w:ascii="Calibri" w:hAnsi="Calibri" w:cs="Calibri"/>
          <w:b/>
          <w:bCs/>
        </w:rPr>
        <w:t xml:space="preserve">Table X: Model input parameters for subgroup analysis of </w:t>
      </w:r>
      <w:r w:rsidR="003C52FF">
        <w:rPr>
          <w:rStyle w:val="normaltextrun"/>
          <w:rFonts w:ascii="Calibri" w:hAnsi="Calibri" w:cs="Calibri"/>
          <w:b/>
          <w:bCs/>
        </w:rPr>
        <w:t>older patients (around 60-65 and above)</w:t>
      </w:r>
      <w:r>
        <w:rPr>
          <w:rStyle w:val="normaltextrun"/>
          <w:rFonts w:ascii="Calibri" w:hAnsi="Calibri" w:cs="Calibri"/>
          <w:b/>
          <w:bCs/>
        </w:rPr>
        <w:t xml:space="preserve">. </w:t>
      </w:r>
    </w:p>
    <w:p w14:paraId="38974A8D" w14:textId="48DAE749" w:rsidR="003C52FF" w:rsidRPr="003C52FF" w:rsidRDefault="003C52FF" w:rsidP="003C52FF">
      <w:pPr>
        <w:rPr>
          <w:rStyle w:val="normaltextrun"/>
          <w:rFonts w:ascii="Calibri" w:hAnsi="Calibri" w:cs="Calibri"/>
          <w:i/>
          <w:iCs/>
        </w:rPr>
      </w:pPr>
      <w:r>
        <w:rPr>
          <w:rStyle w:val="normaltextrun"/>
          <w:rFonts w:ascii="Calibri" w:hAnsi="Calibri" w:cs="Calibri"/>
          <w:i/>
          <w:iCs/>
        </w:rPr>
        <w:t xml:space="preserve">For the annual transition probabilities, the incremental change between that of the older subgroup and the overall cohort in each referenced literature was added to the base case value (the incremental change was averaged across multiple studies if multiple references are listed). In all studies referenced below, the age cutoff of the cohort was 60 or 65. </w:t>
      </w:r>
    </w:p>
    <w:p w14:paraId="0D48B012" w14:textId="77777777" w:rsidR="003C52FF" w:rsidRDefault="003C52FF" w:rsidP="00B136D1">
      <w:pPr>
        <w:rPr>
          <w:rStyle w:val="normaltextrun"/>
          <w:rFonts w:ascii="Calibri" w:hAnsi="Calibri" w:cs="Calibri"/>
          <w:b/>
          <w:bCs/>
        </w:rPr>
      </w:pPr>
    </w:p>
    <w:tbl>
      <w:tblPr>
        <w:tblStyle w:val="TableGrid"/>
        <w:tblW w:w="0" w:type="auto"/>
        <w:tblLook w:val="04A0" w:firstRow="1" w:lastRow="0" w:firstColumn="1" w:lastColumn="0" w:noHBand="0" w:noVBand="1"/>
      </w:tblPr>
      <w:tblGrid>
        <w:gridCol w:w="3116"/>
        <w:gridCol w:w="3117"/>
        <w:gridCol w:w="3117"/>
      </w:tblGrid>
      <w:tr w:rsidR="000154C4" w:rsidRPr="0029134E" w14:paraId="5E17EAD7" w14:textId="77777777" w:rsidTr="00DD356B">
        <w:tc>
          <w:tcPr>
            <w:tcW w:w="3116" w:type="dxa"/>
          </w:tcPr>
          <w:p w14:paraId="5A3B3E5A"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2DD3ED65"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36470858"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0154C4" w:rsidRPr="005B571A" w14:paraId="1758046A" w14:textId="77777777" w:rsidTr="00DD356B">
        <w:tc>
          <w:tcPr>
            <w:tcW w:w="3116" w:type="dxa"/>
          </w:tcPr>
          <w:p w14:paraId="56990FE6" w14:textId="77777777" w:rsidR="000154C4" w:rsidRDefault="000154C4" w:rsidP="00DD356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4903C392" w14:textId="13E1C4D2" w:rsidR="000154C4" w:rsidRPr="005B571A" w:rsidRDefault="000154C4" w:rsidP="00DD356B">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40.3% (20%-60%)</w:t>
            </w:r>
          </w:p>
          <w:p w14:paraId="307289C9" w14:textId="77777777" w:rsidR="000154C4" w:rsidRPr="005B571A" w:rsidRDefault="000154C4" w:rsidP="00DD356B">
            <w:pPr>
              <w:pStyle w:val="paragraph"/>
              <w:spacing w:before="0" w:beforeAutospacing="0" w:after="0" w:afterAutospacing="0"/>
              <w:textAlignment w:val="baseline"/>
              <w:rPr>
                <w:rStyle w:val="normaltextrun"/>
                <w:rFonts w:ascii="Calibri" w:hAnsi="Calibri" w:cs="Calibri"/>
                <w:i/>
                <w:iCs/>
              </w:rPr>
            </w:pPr>
          </w:p>
        </w:tc>
        <w:tc>
          <w:tcPr>
            <w:tcW w:w="3117" w:type="dxa"/>
          </w:tcPr>
          <w:p w14:paraId="2EA30719" w14:textId="4414B258" w:rsidR="000154C4" w:rsidRPr="000154C4" w:rsidRDefault="000154C4" w:rsidP="000154C4">
            <w:pPr>
              <w:pStyle w:val="paragraph"/>
              <w:spacing w:before="0" w:beforeAutospacing="0" w:after="0" w:afterAutospacing="0"/>
              <w:textAlignment w:val="baseline"/>
              <w:rPr>
                <w:rStyle w:val="normaltextrun"/>
                <w:rFonts w:asciiTheme="minorHAnsi" w:eastAsia="Calibri" w:hAnsiTheme="minorHAnsi" w:cstheme="minorHAnsi"/>
                <w:color w:val="000000" w:themeColor="text1"/>
              </w:rPr>
            </w:pPr>
            <w:hyperlink r:id="rId50" w:history="1">
              <w:r w:rsidRPr="005B571A">
                <w:rPr>
                  <w:rStyle w:val="Hyperlink"/>
                  <w:rFonts w:asciiTheme="minorHAnsi" w:eastAsia="Calibri" w:hAnsiTheme="minorHAnsi" w:cstheme="minorHAnsi"/>
                </w:rPr>
                <w:t>Walker 2016</w:t>
              </w:r>
            </w:hyperlink>
          </w:p>
          <w:p w14:paraId="3F54128A" w14:textId="5A2ED5F6" w:rsidR="000154C4" w:rsidRPr="000154C4" w:rsidRDefault="000154C4" w:rsidP="00DD356B">
            <w:pPr>
              <w:pStyle w:val="paragraph"/>
              <w:spacing w:before="0" w:beforeAutospacing="0" w:after="0" w:afterAutospacing="0"/>
              <w:textAlignment w:val="baseline"/>
              <w:rPr>
                <w:rStyle w:val="normaltextrun"/>
                <w:rFonts w:ascii="Calibri" w:eastAsia="Calibri" w:hAnsi="Calibri" w:cs="Calibri"/>
                <w:i/>
                <w:iCs/>
                <w:color w:val="000000" w:themeColor="text1"/>
              </w:rPr>
            </w:pPr>
            <w:r w:rsidRPr="000154C4">
              <w:rPr>
                <w:rStyle w:val="normaltextrun"/>
                <w:rFonts w:ascii="Calibri" w:eastAsia="Calibri" w:hAnsi="Calibri" w:cs="Calibri"/>
                <w:i/>
                <w:iCs/>
                <w:color w:val="000000" w:themeColor="text1"/>
              </w:rPr>
              <w:t>Range chosen from reasonable assumption</w:t>
            </w:r>
          </w:p>
        </w:tc>
      </w:tr>
      <w:tr w:rsidR="003C52FF" w:rsidRPr="005B571A" w14:paraId="311EF88D" w14:textId="77777777" w:rsidTr="00DD356B">
        <w:tc>
          <w:tcPr>
            <w:tcW w:w="3116" w:type="dxa"/>
          </w:tcPr>
          <w:p w14:paraId="0B95076D" w14:textId="75C2B6CD" w:rsidR="003C52FF" w:rsidRDefault="003C52FF" w:rsidP="003C52FF">
            <w:pPr>
              <w:pStyle w:val="paragraph"/>
              <w:spacing w:before="0" w:beforeAutospacing="0" w:after="0" w:afterAutospacing="0"/>
              <w:textAlignment w:val="baseline"/>
              <w:rPr>
                <w:rStyle w:val="normaltextrun"/>
                <w:rFonts w:ascii="Calibri" w:hAnsi="Calibri" w:cs="Calibri"/>
              </w:rPr>
            </w:pPr>
            <w:r w:rsidRPr="002150F1">
              <w:rPr>
                <w:rStyle w:val="normaltextrun"/>
                <w:rFonts w:ascii="Calibri" w:hAnsi="Calibri" w:cs="Calibri"/>
                <w:b/>
                <w:bCs/>
              </w:rPr>
              <w:t>Annual transition probabilities</w:t>
            </w:r>
          </w:p>
        </w:tc>
        <w:tc>
          <w:tcPr>
            <w:tcW w:w="3117" w:type="dxa"/>
          </w:tcPr>
          <w:p w14:paraId="6F4AA77A" w14:textId="77777777" w:rsidR="003C52FF" w:rsidRDefault="003C52FF" w:rsidP="003C52FF">
            <w:pPr>
              <w:pStyle w:val="paragraph"/>
              <w:spacing w:before="0" w:beforeAutospacing="0" w:after="0" w:afterAutospacing="0"/>
              <w:textAlignment w:val="baseline"/>
              <w:rPr>
                <w:rStyle w:val="normaltextrun"/>
                <w:rFonts w:ascii="Calibri" w:hAnsi="Calibri" w:cs="Calibri"/>
              </w:rPr>
            </w:pPr>
          </w:p>
        </w:tc>
        <w:tc>
          <w:tcPr>
            <w:tcW w:w="3117" w:type="dxa"/>
          </w:tcPr>
          <w:p w14:paraId="1E07ED15" w14:textId="77777777" w:rsidR="003C52FF" w:rsidRDefault="003C52FF" w:rsidP="003C52FF">
            <w:pPr>
              <w:pStyle w:val="paragraph"/>
              <w:spacing w:before="0" w:beforeAutospacing="0" w:after="0" w:afterAutospacing="0"/>
              <w:textAlignment w:val="baseline"/>
            </w:pPr>
          </w:p>
        </w:tc>
      </w:tr>
      <w:tr w:rsidR="003C52FF" w:rsidRPr="005B571A" w14:paraId="03DB6FFC" w14:textId="77777777" w:rsidTr="00DD356B">
        <w:tc>
          <w:tcPr>
            <w:tcW w:w="3116" w:type="dxa"/>
          </w:tcPr>
          <w:p w14:paraId="4D97FBC6" w14:textId="1463CCB9" w:rsidR="003C52FF" w:rsidRPr="002150F1" w:rsidRDefault="003C52FF" w:rsidP="003C52FF">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5AA2C6FA" w14:textId="2DCF3A4E" w:rsidR="003C52FF" w:rsidRDefault="001453A5" w:rsidP="003C52FF">
            <w:pPr>
              <w:pStyle w:val="paragraph"/>
              <w:spacing w:before="0" w:beforeAutospacing="0" w:after="0" w:afterAutospacing="0"/>
              <w:textAlignment w:val="baseline"/>
              <w:rPr>
                <w:rStyle w:val="normaltextrun"/>
                <w:rFonts w:ascii="Calibri" w:hAnsi="Calibri" w:cs="Calibri"/>
              </w:rPr>
            </w:pPr>
            <w:r w:rsidRPr="001453A5">
              <w:rPr>
                <w:rFonts w:asciiTheme="minorHAnsi" w:hAnsiTheme="minorHAnsi" w:cstheme="minorHAnsi"/>
              </w:rPr>
              <w:t>0.501% (0.097</w:t>
            </w:r>
            <w:r>
              <w:rPr>
                <w:rFonts w:asciiTheme="minorHAnsi" w:hAnsiTheme="minorHAnsi" w:cstheme="minorHAnsi"/>
              </w:rPr>
              <w:t>%</w:t>
            </w:r>
            <w:r w:rsidRPr="001453A5">
              <w:rPr>
                <w:rFonts w:asciiTheme="minorHAnsi" w:hAnsiTheme="minorHAnsi" w:cstheme="minorHAnsi"/>
              </w:rPr>
              <w:t>-1.063</w:t>
            </w:r>
            <w:r>
              <w:rPr>
                <w:rFonts w:asciiTheme="minorHAnsi" w:hAnsiTheme="minorHAnsi" w:cstheme="minorHAnsi"/>
              </w:rPr>
              <w:t>%</w:t>
            </w:r>
            <w:r w:rsidRPr="001453A5">
              <w:rPr>
                <w:rFonts w:asciiTheme="minorHAnsi" w:hAnsiTheme="minorHAnsi" w:cstheme="minorHAnsi"/>
              </w:rPr>
              <w:t>)</w:t>
            </w:r>
          </w:p>
        </w:tc>
        <w:tc>
          <w:tcPr>
            <w:tcW w:w="3117" w:type="dxa"/>
          </w:tcPr>
          <w:p w14:paraId="31B83BD0" w14:textId="5EB57DA6" w:rsidR="003C52FF" w:rsidRDefault="003C52FF" w:rsidP="003C52FF">
            <w:pPr>
              <w:pStyle w:val="paragraph"/>
              <w:spacing w:before="0" w:beforeAutospacing="0" w:after="0" w:afterAutospacing="0"/>
              <w:textAlignment w:val="baseline"/>
            </w:pPr>
            <w:hyperlink r:id="rId51" w:history="1">
              <w:r w:rsidRPr="003C52FF">
                <w:rPr>
                  <w:rStyle w:val="Hyperlink"/>
                  <w:rFonts w:asciiTheme="minorHAnsi" w:hAnsiTheme="minorHAnsi" w:cstheme="minorHAnsi"/>
                </w:rPr>
                <w:t>Yeoh 2024</w:t>
              </w:r>
            </w:hyperlink>
          </w:p>
        </w:tc>
      </w:tr>
      <w:tr w:rsidR="003C52FF" w:rsidRPr="005B571A" w14:paraId="7D172216" w14:textId="77777777" w:rsidTr="00DD356B">
        <w:tc>
          <w:tcPr>
            <w:tcW w:w="3116" w:type="dxa"/>
          </w:tcPr>
          <w:p w14:paraId="49C28843" w14:textId="7B83A06C" w:rsidR="003C52FF" w:rsidRDefault="003C52FF" w:rsidP="003C52FF">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Non-cirrhotic MASLD</w:t>
            </w:r>
            <w:r w:rsidRPr="002150F1">
              <w:rPr>
                <w:rStyle w:val="normaltextrun"/>
                <w:rFonts w:ascii="Calibri" w:hAnsi="Calibri" w:cs="Calibri"/>
              </w:rPr>
              <w:t xml:space="preserve"> to </w:t>
            </w:r>
            <w:r>
              <w:rPr>
                <w:rStyle w:val="normaltextrun"/>
                <w:rFonts w:ascii="Calibri" w:hAnsi="Calibri" w:cs="Calibri"/>
              </w:rPr>
              <w:t>HCC</w:t>
            </w:r>
          </w:p>
        </w:tc>
        <w:tc>
          <w:tcPr>
            <w:tcW w:w="3117" w:type="dxa"/>
          </w:tcPr>
          <w:p w14:paraId="46F25505" w14:textId="63867C37" w:rsidR="003C52FF" w:rsidRPr="003C52FF" w:rsidRDefault="001453A5" w:rsidP="003C52FF">
            <w:pPr>
              <w:pStyle w:val="paragraph"/>
              <w:spacing w:before="0" w:beforeAutospacing="0" w:after="0" w:afterAutospacing="0"/>
              <w:textAlignment w:val="baseline"/>
              <w:rPr>
                <w:rFonts w:asciiTheme="minorHAnsi" w:hAnsiTheme="minorHAnsi" w:cstheme="minorHAnsi"/>
              </w:rPr>
            </w:pPr>
            <w:r w:rsidRPr="001453A5">
              <w:rPr>
                <w:rFonts w:asciiTheme="minorHAnsi" w:hAnsiTheme="minorHAnsi" w:cstheme="minorHAnsi"/>
              </w:rPr>
              <w:t>0.060% (0.0167</w:t>
            </w:r>
            <w:r>
              <w:rPr>
                <w:rFonts w:asciiTheme="minorHAnsi" w:hAnsiTheme="minorHAnsi" w:cstheme="minorHAnsi"/>
              </w:rPr>
              <w:t>%</w:t>
            </w:r>
            <w:r w:rsidRPr="001453A5">
              <w:rPr>
                <w:rFonts w:asciiTheme="minorHAnsi" w:hAnsiTheme="minorHAnsi" w:cstheme="minorHAnsi"/>
              </w:rPr>
              <w:t>-0.538</w:t>
            </w:r>
            <w:r>
              <w:rPr>
                <w:rFonts w:asciiTheme="minorHAnsi" w:hAnsiTheme="minorHAnsi" w:cstheme="minorHAnsi"/>
              </w:rPr>
              <w:t>%</w:t>
            </w:r>
            <w:r w:rsidRPr="001453A5">
              <w:rPr>
                <w:rFonts w:asciiTheme="minorHAnsi" w:hAnsiTheme="minorHAnsi" w:cstheme="minorHAnsi"/>
              </w:rPr>
              <w:t>)</w:t>
            </w:r>
          </w:p>
        </w:tc>
        <w:tc>
          <w:tcPr>
            <w:tcW w:w="3117" w:type="dxa"/>
          </w:tcPr>
          <w:p w14:paraId="500ADA5E" w14:textId="77777777" w:rsidR="003C52FF" w:rsidRPr="003C52FF" w:rsidRDefault="003C52FF" w:rsidP="003C52FF">
            <w:pPr>
              <w:rPr>
                <w:rFonts w:cstheme="minorHAnsi"/>
              </w:rPr>
            </w:pPr>
            <w:r w:rsidRPr="003C52FF">
              <w:rPr>
                <w:rFonts w:cstheme="minorHAnsi"/>
              </w:rPr>
              <w:t xml:space="preserve">a. </w:t>
            </w:r>
            <w:hyperlink r:id="rId52" w:anchor="S20" w:history="1">
              <w:r w:rsidRPr="003C52FF">
                <w:rPr>
                  <w:rStyle w:val="Hyperlink"/>
                  <w:rFonts w:cstheme="minorHAnsi"/>
                </w:rPr>
                <w:t>Kanwal 2018</w:t>
              </w:r>
            </w:hyperlink>
          </w:p>
          <w:p w14:paraId="59B4831F" w14:textId="4B681E9E" w:rsidR="003C52FF" w:rsidRPr="003C52FF" w:rsidRDefault="003C52FF" w:rsidP="003C52FF">
            <w:pPr>
              <w:pStyle w:val="paragraph"/>
              <w:spacing w:before="0" w:beforeAutospacing="0" w:after="0" w:afterAutospacing="0"/>
              <w:textAlignment w:val="baseline"/>
              <w:rPr>
                <w:rFonts w:asciiTheme="minorHAnsi" w:hAnsiTheme="minorHAnsi" w:cstheme="minorHAnsi"/>
              </w:rPr>
            </w:pPr>
            <w:r w:rsidRPr="003C52FF">
              <w:rPr>
                <w:rFonts w:asciiTheme="minorHAnsi" w:hAnsiTheme="minorHAnsi" w:cstheme="minorHAnsi"/>
              </w:rPr>
              <w:t xml:space="preserve">b. </w:t>
            </w:r>
            <w:hyperlink r:id="rId53" w:history="1">
              <w:r w:rsidRPr="003C52FF">
                <w:rPr>
                  <w:rStyle w:val="Hyperlink"/>
                  <w:rFonts w:asciiTheme="minorHAnsi" w:hAnsiTheme="minorHAnsi" w:cstheme="minorHAnsi"/>
                </w:rPr>
                <w:t>Yeoh 2024</w:t>
              </w:r>
            </w:hyperlink>
          </w:p>
        </w:tc>
      </w:tr>
      <w:tr w:rsidR="003C52FF" w:rsidRPr="005B571A" w14:paraId="5A437866" w14:textId="77777777" w:rsidTr="00DD356B">
        <w:tc>
          <w:tcPr>
            <w:tcW w:w="3116" w:type="dxa"/>
          </w:tcPr>
          <w:p w14:paraId="61DEFDA4" w14:textId="696ED80A" w:rsidR="003C52FF" w:rsidRDefault="003C52FF" w:rsidP="003C52FF">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(Undiagnosed) cirrhosis with MASLD to HCC</w:t>
            </w:r>
          </w:p>
        </w:tc>
        <w:tc>
          <w:tcPr>
            <w:tcW w:w="3117" w:type="dxa"/>
          </w:tcPr>
          <w:p w14:paraId="42B57596" w14:textId="329F421A" w:rsidR="003C52FF" w:rsidRPr="003C52FF" w:rsidRDefault="001453A5" w:rsidP="003C52FF">
            <w:pPr>
              <w:pStyle w:val="paragraph"/>
              <w:spacing w:before="0" w:beforeAutospacing="0" w:after="0" w:afterAutospacing="0"/>
              <w:textAlignment w:val="baseline"/>
              <w:rPr>
                <w:rFonts w:asciiTheme="minorHAnsi" w:hAnsiTheme="minorHAnsi" w:cstheme="minorHAnsi"/>
              </w:rPr>
            </w:pPr>
            <w:r w:rsidRPr="001453A5">
              <w:rPr>
                <w:rFonts w:asciiTheme="minorHAnsi" w:hAnsiTheme="minorHAnsi" w:cstheme="minorHAnsi"/>
              </w:rPr>
              <w:t>2.73% (1.34</w:t>
            </w:r>
            <w:r>
              <w:rPr>
                <w:rFonts w:asciiTheme="minorHAnsi" w:hAnsiTheme="minorHAnsi" w:cstheme="minorHAnsi"/>
              </w:rPr>
              <w:t>%</w:t>
            </w:r>
            <w:r w:rsidRPr="001453A5">
              <w:rPr>
                <w:rFonts w:asciiTheme="minorHAnsi" w:hAnsiTheme="minorHAnsi" w:cstheme="minorHAnsi"/>
              </w:rPr>
              <w:t xml:space="preserve"> -4.90</w:t>
            </w:r>
            <w:r>
              <w:rPr>
                <w:rFonts w:asciiTheme="minorHAnsi" w:hAnsiTheme="minorHAnsi" w:cstheme="minorHAnsi"/>
              </w:rPr>
              <w:t>%</w:t>
            </w:r>
            <w:r w:rsidRPr="001453A5">
              <w:rPr>
                <w:rFonts w:asciiTheme="minorHAnsi" w:hAnsiTheme="minorHAnsi" w:cstheme="minorHAnsi"/>
              </w:rPr>
              <w:t>)</w:t>
            </w:r>
          </w:p>
        </w:tc>
        <w:tc>
          <w:tcPr>
            <w:tcW w:w="3117" w:type="dxa"/>
          </w:tcPr>
          <w:p w14:paraId="466CE2BE" w14:textId="589A4324" w:rsidR="003C52FF" w:rsidRPr="003C52FF" w:rsidRDefault="003C52FF" w:rsidP="003C52FF">
            <w:pPr>
              <w:rPr>
                <w:rFonts w:cstheme="minorHAnsi"/>
              </w:rPr>
            </w:pPr>
            <w:hyperlink r:id="rId54" w:anchor="S20" w:history="1">
              <w:r w:rsidRPr="003C52FF">
                <w:rPr>
                  <w:rStyle w:val="Hyperlink"/>
                  <w:rFonts w:cstheme="minorHAnsi"/>
                </w:rPr>
                <w:t>Kanwal 2018</w:t>
              </w:r>
            </w:hyperlink>
          </w:p>
        </w:tc>
      </w:tr>
    </w:tbl>
    <w:p w14:paraId="3506A02A" w14:textId="77777777" w:rsidR="000154C4" w:rsidRDefault="000154C4" w:rsidP="00B136D1">
      <w:pPr>
        <w:rPr>
          <w:rStyle w:val="normaltextrun"/>
          <w:rFonts w:ascii="Calibri" w:hAnsi="Calibri" w:cs="Calibri"/>
          <w:b/>
          <w:bCs/>
        </w:rPr>
      </w:pPr>
    </w:p>
    <w:p w14:paraId="06017B63" w14:textId="77777777" w:rsidR="000154C4" w:rsidRDefault="000154C4" w:rsidP="000154C4">
      <w:pPr>
        <w:rPr>
          <w:rStyle w:val="normaltextrun"/>
          <w:rFonts w:ascii="Calibri" w:hAnsi="Calibri" w:cs="Calibri"/>
          <w:b/>
          <w:bCs/>
        </w:rPr>
      </w:pPr>
    </w:p>
    <w:p w14:paraId="01E72FC1" w14:textId="4B215829" w:rsidR="000154C4" w:rsidRDefault="000154C4" w:rsidP="000154C4">
      <w:pPr>
        <w:rPr>
          <w:rStyle w:val="normaltextrun"/>
          <w:rFonts w:ascii="Calibri" w:hAnsi="Calibri" w:cs="Calibri"/>
          <w:b/>
          <w:bCs/>
          <w:i/>
          <w:iCs/>
        </w:rPr>
      </w:pPr>
    </w:p>
    <w:p w14:paraId="5940056B" w14:textId="45697855" w:rsidR="000154C4" w:rsidRDefault="000154C4" w:rsidP="000154C4">
      <w:pPr>
        <w:rPr>
          <w:rStyle w:val="normaltextrun"/>
          <w:rFonts w:ascii="Calibri" w:hAnsi="Calibri" w:cs="Calibri"/>
          <w:b/>
          <w:bCs/>
        </w:rPr>
      </w:pPr>
      <w:r>
        <w:rPr>
          <w:rStyle w:val="normaltextrun"/>
          <w:rFonts w:ascii="Calibri" w:hAnsi="Calibri" w:cs="Calibri"/>
          <w:b/>
          <w:bCs/>
        </w:rPr>
        <w:t xml:space="preserve">Supplementary </w:t>
      </w:r>
    </w:p>
    <w:p w14:paraId="7A3A3037" w14:textId="77777777" w:rsidR="00993993" w:rsidRDefault="00993993" w:rsidP="000154C4">
      <w:pPr>
        <w:rPr>
          <w:rStyle w:val="normaltextrun"/>
          <w:rFonts w:ascii="Calibri" w:hAnsi="Calibri" w:cs="Calibri"/>
          <w:b/>
          <w:bCs/>
        </w:rPr>
      </w:pPr>
    </w:p>
    <w:p w14:paraId="4CF22D2B" w14:textId="77777777" w:rsidR="00993993" w:rsidRDefault="00993993" w:rsidP="00993993">
      <w:pPr>
        <w:spacing w:line="259" w:lineRule="auto"/>
        <w:rPr>
          <w:rFonts w:ascii="Aptos Display" w:eastAsia="Aptos Display" w:hAnsi="Aptos Display" w:cs="Aptos Display"/>
          <w:b/>
          <w:bCs/>
          <w:color w:val="000000" w:themeColor="text1"/>
        </w:rPr>
      </w:pPr>
      <w:r>
        <w:rPr>
          <w:rFonts w:ascii="Aptos Display" w:eastAsia="Aptos Display" w:hAnsi="Aptos Display" w:cs="Aptos Display"/>
          <w:b/>
          <w:bCs/>
          <w:color w:val="000000" w:themeColor="text1"/>
        </w:rPr>
        <w:t>Calculation of age-dependent rate of death from MASLD (no cirrhosis or HCC)</w:t>
      </w:r>
    </w:p>
    <w:p w14:paraId="01BBAAAF" w14:textId="77777777" w:rsidR="00993993" w:rsidRPr="00812D2D" w:rsidRDefault="00993993" w:rsidP="00993993">
      <w:pPr>
        <w:spacing w:line="259" w:lineRule="auto"/>
        <w:rPr>
          <w:rFonts w:ascii="Aptos Display" w:eastAsia="Aptos Display" w:hAnsi="Aptos Display" w:cs="Aptos Display"/>
          <w:color w:val="000000" w:themeColor="text1"/>
        </w:rPr>
      </w:pPr>
      <w:r>
        <w:rPr>
          <w:rFonts w:ascii="Aptos Display" w:eastAsia="Aptos Display" w:hAnsi="Aptos Display" w:cs="Aptos Display"/>
          <w:color w:val="000000" w:themeColor="text1"/>
        </w:rPr>
        <w:t>T</w:t>
      </w:r>
      <w:r w:rsidRPr="00812D2D">
        <w:rPr>
          <w:rFonts w:ascii="Aptos Display" w:eastAsia="Aptos Display" w:hAnsi="Aptos Display" w:cs="Aptos Display"/>
          <w:color w:val="000000" w:themeColor="text1"/>
        </w:rPr>
        <w:t>he total death rate is the sum of the probability of liver-related death from MASLD (weighed, takes into account undiagnosed cirrhosis) and the probability of death due to older age. We assume that at age 18, there is no additional cause for death due to age, so at age 18, prob of death is just the liver-related prob of death from MASLD. With every increase in age from 18, we add the incremental increase in death probability due to age, from the actuarial life table</w:t>
      </w:r>
      <w:r>
        <w:rPr>
          <w:rFonts w:ascii="Aptos Display" w:eastAsia="Aptos Display" w:hAnsi="Aptos Display" w:cs="Aptos Display"/>
          <w:color w:val="000000" w:themeColor="text1"/>
        </w:rPr>
        <w:t xml:space="preserve"> provided by the Social Security (</w:t>
      </w:r>
      <w:r w:rsidRPr="00812D2D">
        <w:rPr>
          <w:rFonts w:ascii="Aptos Display" w:eastAsia="Aptos Display" w:hAnsi="Aptos Display" w:cs="Aptos Display"/>
          <w:color w:val="000000" w:themeColor="text1"/>
        </w:rPr>
        <w:t>2021 period life table for the Social Security area population, as used in the 2024 Trustees Report (TR)</w:t>
      </w:r>
      <w:r>
        <w:rPr>
          <w:rFonts w:ascii="Aptos Display" w:eastAsia="Aptos Display" w:hAnsi="Aptos Display" w:cs="Aptos Display"/>
          <w:color w:val="000000" w:themeColor="text1"/>
        </w:rPr>
        <w:t xml:space="preserve">: </w:t>
      </w:r>
      <w:r w:rsidRPr="00812D2D">
        <w:rPr>
          <w:rFonts w:ascii="Aptos Display" w:eastAsia="Aptos Display" w:hAnsi="Aptos Display" w:cs="Aptos Display"/>
          <w:color w:val="000000" w:themeColor="text1"/>
        </w:rPr>
        <w:t>https://www.ssa.gov/oact/STATS/table4c6.html)</w:t>
      </w:r>
      <w:r>
        <w:rPr>
          <w:rFonts w:ascii="Aptos Display" w:eastAsia="Aptos Display" w:hAnsi="Aptos Display" w:cs="Aptos Display"/>
          <w:color w:val="000000" w:themeColor="text1"/>
        </w:rPr>
        <w:t>.</w:t>
      </w:r>
    </w:p>
    <w:p w14:paraId="5E56DD02" w14:textId="7853F7D3" w:rsidR="00993993" w:rsidRDefault="00993993" w:rsidP="000154C4"/>
    <w:p w14:paraId="3DA110D7" w14:textId="346C0780" w:rsidR="000133FB" w:rsidRDefault="000133FB" w:rsidP="000154C4">
      <w:r>
        <w:t>In the base-case and subgroup analysis for older patients, the death probabilities for male and female were averaged. For the subgroup analysis of male patients, only the male death probabilities were used.</w:t>
      </w:r>
    </w:p>
    <w:p w14:paraId="00AB83CA" w14:textId="0F62DA21" w:rsidR="000154C4" w:rsidRPr="00742D70" w:rsidRDefault="00742D70" w:rsidP="000154C4">
      <w:r>
        <w:t xml:space="preserve">For the subgroup analysis of older patients, the starting cohort was set to be 61-100+ years of age, keeping the distribution or age groups within this subgroup as outlined in the table below.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8"/>
        <w:gridCol w:w="3567"/>
        <w:gridCol w:w="3345"/>
      </w:tblGrid>
      <w:tr w:rsidR="000154C4" w:rsidRPr="00EA2AB4" w14:paraId="252DF56F" w14:textId="77777777" w:rsidTr="00DD356B">
        <w:trPr>
          <w:trHeight w:val="330"/>
        </w:trPr>
        <w:tc>
          <w:tcPr>
            <w:tcW w:w="2438" w:type="dxa"/>
            <w:hideMark/>
          </w:tcPr>
          <w:p w14:paraId="4EEB7D80" w14:textId="77777777" w:rsidR="000154C4" w:rsidRPr="007662F8" w:rsidRDefault="000154C4" w:rsidP="00DD356B">
            <w:pPr>
              <w:jc w:val="center"/>
              <w:textAlignment w:val="baseline"/>
              <w:rPr>
                <w:rFonts w:ascii="Aptos" w:eastAsia="Times New Roman" w:hAnsi="Aptos" w:cs="Times New Roman"/>
                <w:b/>
                <w:bCs/>
              </w:rPr>
            </w:pPr>
            <w:r w:rsidRPr="007662F8">
              <w:rPr>
                <w:rFonts w:ascii="Aptos" w:eastAsia="Times New Roman" w:hAnsi="Aptos" w:cs="Times New Roman"/>
                <w:b/>
                <w:bCs/>
              </w:rPr>
              <w:t>Age at MASLD diagnosis</w:t>
            </w:r>
          </w:p>
        </w:tc>
        <w:tc>
          <w:tcPr>
            <w:tcW w:w="3567" w:type="dxa"/>
            <w:hideMark/>
          </w:tcPr>
          <w:p w14:paraId="3B3A7C48" w14:textId="77777777" w:rsidR="000154C4" w:rsidRPr="007662F8" w:rsidRDefault="000154C4" w:rsidP="00DD356B">
            <w:pPr>
              <w:jc w:val="center"/>
              <w:textAlignment w:val="baseline"/>
              <w:rPr>
                <w:rFonts w:ascii="Aptos" w:eastAsia="Times New Roman" w:hAnsi="Aptos" w:cs="Times New Roman"/>
                <w:b/>
                <w:bCs/>
              </w:rPr>
            </w:pPr>
            <w:proofErr w:type="gramStart"/>
            <w:r w:rsidRPr="007662F8">
              <w:rPr>
                <w:rFonts w:ascii="Aptos" w:eastAsia="Times New Roman" w:hAnsi="Aptos" w:cs="Times New Roman"/>
                <w:b/>
                <w:bCs/>
              </w:rPr>
              <w:t>N(</w:t>
            </w:r>
            <w:proofErr w:type="gramEnd"/>
            <w:r w:rsidRPr="007662F8">
              <w:rPr>
                <w:rFonts w:ascii="Aptos" w:eastAsia="Times New Roman" w:hAnsi="Aptos" w:cs="Times New Roman"/>
                <w:b/>
                <w:bCs/>
              </w:rPr>
              <w:t>%)</w:t>
            </w:r>
          </w:p>
        </w:tc>
        <w:tc>
          <w:tcPr>
            <w:tcW w:w="3345" w:type="dxa"/>
          </w:tcPr>
          <w:p w14:paraId="4DBEA0DC" w14:textId="77777777" w:rsidR="000154C4" w:rsidRPr="007662F8" w:rsidRDefault="000154C4" w:rsidP="00DD356B">
            <w:pPr>
              <w:jc w:val="center"/>
              <w:textAlignment w:val="baseline"/>
              <w:rPr>
                <w:rFonts w:ascii="Aptos" w:eastAsia="Times New Roman" w:hAnsi="Aptos" w:cs="Times New Roman"/>
                <w:b/>
                <w:bCs/>
              </w:rPr>
            </w:pPr>
            <w:r>
              <w:rPr>
                <w:rFonts w:ascii="Aptos" w:eastAsia="Times New Roman" w:hAnsi="Aptos" w:cs="Times New Roman"/>
                <w:b/>
                <w:bCs/>
              </w:rPr>
              <w:t xml:space="preserve">Reference </w:t>
            </w:r>
          </w:p>
        </w:tc>
      </w:tr>
      <w:tr w:rsidR="000154C4" w:rsidRPr="00EA2AB4" w14:paraId="789ECB26" w14:textId="77777777" w:rsidTr="00DD356B">
        <w:trPr>
          <w:trHeight w:val="330"/>
        </w:trPr>
        <w:tc>
          <w:tcPr>
            <w:tcW w:w="2438" w:type="dxa"/>
            <w:hideMark/>
          </w:tcPr>
          <w:p w14:paraId="6F2D712C"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lastRenderedPageBreak/>
              <w:t>18-30</w:t>
            </w:r>
          </w:p>
        </w:tc>
        <w:tc>
          <w:tcPr>
            <w:tcW w:w="3567" w:type="dxa"/>
            <w:hideMark/>
          </w:tcPr>
          <w:p w14:paraId="3D5B9A9F"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Pr="005006C2">
              <w:rPr>
                <w:rFonts w:ascii="Aptos" w:eastAsia="Times New Roman" w:hAnsi="Aptos" w:cs="Times New Roman"/>
              </w:rPr>
              <w:t>5.97</w:t>
            </w:r>
            <w:r>
              <w:rPr>
                <w:rFonts w:ascii="Aptos" w:eastAsia="Times New Roman" w:hAnsi="Aptos" w:cs="Times New Roman"/>
              </w:rPr>
              <w:t>%)</w:t>
            </w:r>
          </w:p>
        </w:tc>
        <w:tc>
          <w:tcPr>
            <w:tcW w:w="3345" w:type="dxa"/>
            <w:vMerge w:val="restart"/>
          </w:tcPr>
          <w:p w14:paraId="7E47A67E" w14:textId="77777777" w:rsidR="000154C4" w:rsidRDefault="000154C4" w:rsidP="00DD356B">
            <w:pPr>
              <w:jc w:val="center"/>
              <w:textAlignment w:val="baseline"/>
              <w:rPr>
                <w:rFonts w:ascii="Aptos" w:eastAsia="Times New Roman" w:hAnsi="Aptos" w:cs="Times New Roman"/>
              </w:rPr>
            </w:pPr>
          </w:p>
          <w:p w14:paraId="1DCB1CB9" w14:textId="77777777" w:rsidR="000154C4" w:rsidRDefault="000154C4" w:rsidP="00DD356B">
            <w:pPr>
              <w:jc w:val="center"/>
              <w:textAlignment w:val="baseline"/>
              <w:rPr>
                <w:rFonts w:ascii="Aptos" w:eastAsia="Times New Roman" w:hAnsi="Aptos" w:cs="Times New Roman"/>
              </w:rPr>
            </w:pPr>
          </w:p>
          <w:p w14:paraId="14199CE2" w14:textId="77777777" w:rsidR="000154C4" w:rsidRDefault="000154C4" w:rsidP="00DD356B">
            <w:pPr>
              <w:jc w:val="center"/>
              <w:textAlignment w:val="baseline"/>
              <w:rPr>
                <w:rFonts w:ascii="Aptos" w:eastAsia="Times New Roman" w:hAnsi="Aptos" w:cs="Times New Roman"/>
              </w:rPr>
            </w:pPr>
          </w:p>
          <w:p w14:paraId="35A43C01" w14:textId="77777777" w:rsidR="000154C4" w:rsidRPr="00183A38" w:rsidRDefault="000154C4" w:rsidP="00DD356B">
            <w:pPr>
              <w:jc w:val="center"/>
              <w:textAlignment w:val="baseline"/>
              <w:rPr>
                <w:rFonts w:ascii="Aptos" w:eastAsia="Times New Roman" w:hAnsi="Aptos" w:cs="Times New Roman"/>
              </w:rPr>
            </w:pPr>
            <w:r>
              <w:rPr>
                <w:rFonts w:ascii="Aptos" w:eastAsia="Times New Roman" w:hAnsi="Aptos" w:cs="Times New Roman"/>
              </w:rPr>
              <w:t xml:space="preserve">Truven Health Analytics </w:t>
            </w:r>
            <w:proofErr w:type="spellStart"/>
            <w:r>
              <w:rPr>
                <w:rFonts w:ascii="Aptos" w:eastAsia="Times New Roman" w:hAnsi="Aptos" w:cs="Times New Roman"/>
              </w:rPr>
              <w:t>MarketScan</w:t>
            </w:r>
            <w:proofErr w:type="spellEnd"/>
            <w:r>
              <w:rPr>
                <w:rFonts w:ascii="Aptos" w:eastAsia="Times New Roman" w:hAnsi="Aptos" w:cs="Times New Roman"/>
              </w:rPr>
              <w:t xml:space="preserve"> Databases</w:t>
            </w:r>
          </w:p>
        </w:tc>
      </w:tr>
      <w:tr w:rsidR="000154C4" w:rsidRPr="00EA2AB4" w14:paraId="21D909DC" w14:textId="77777777" w:rsidTr="00DD356B">
        <w:trPr>
          <w:trHeight w:val="330"/>
        </w:trPr>
        <w:tc>
          <w:tcPr>
            <w:tcW w:w="2438" w:type="dxa"/>
            <w:hideMark/>
          </w:tcPr>
          <w:p w14:paraId="7EE47A5F"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31-40</w:t>
            </w:r>
          </w:p>
        </w:tc>
        <w:tc>
          <w:tcPr>
            <w:tcW w:w="3567" w:type="dxa"/>
            <w:hideMark/>
          </w:tcPr>
          <w:p w14:paraId="1E377B3C"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125093</w:t>
            </w:r>
            <w:r>
              <w:rPr>
                <w:rFonts w:ascii="Aptos" w:eastAsia="Times New Roman" w:hAnsi="Aptos" w:cs="Times New Roman"/>
              </w:rPr>
              <w:t xml:space="preserve"> (</w:t>
            </w:r>
            <w:r w:rsidRPr="005006C2">
              <w:rPr>
                <w:rFonts w:ascii="Aptos" w:eastAsia="Times New Roman" w:hAnsi="Aptos" w:cs="Times New Roman"/>
              </w:rPr>
              <w:t>14.5</w:t>
            </w:r>
            <w:r>
              <w:rPr>
                <w:rFonts w:ascii="Aptos" w:eastAsia="Times New Roman" w:hAnsi="Aptos" w:cs="Times New Roman"/>
              </w:rPr>
              <w:t>5%)</w:t>
            </w:r>
          </w:p>
        </w:tc>
        <w:tc>
          <w:tcPr>
            <w:tcW w:w="3345" w:type="dxa"/>
            <w:vMerge/>
          </w:tcPr>
          <w:p w14:paraId="517F75DA"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039AC2DE" w14:textId="77777777" w:rsidTr="00DD356B">
        <w:trPr>
          <w:trHeight w:val="330"/>
        </w:trPr>
        <w:tc>
          <w:tcPr>
            <w:tcW w:w="2438" w:type="dxa"/>
            <w:hideMark/>
          </w:tcPr>
          <w:p w14:paraId="1E5BF259"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41-50</w:t>
            </w:r>
          </w:p>
        </w:tc>
        <w:tc>
          <w:tcPr>
            <w:tcW w:w="3567" w:type="dxa"/>
            <w:hideMark/>
          </w:tcPr>
          <w:p w14:paraId="486D075D"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217122</w:t>
            </w:r>
            <w:r>
              <w:rPr>
                <w:rFonts w:ascii="Aptos" w:eastAsia="Times New Roman" w:hAnsi="Aptos" w:cs="Times New Roman"/>
              </w:rPr>
              <w:t xml:space="preserve"> (</w:t>
            </w:r>
            <w:r w:rsidRPr="00A218A7">
              <w:rPr>
                <w:rFonts w:ascii="Aptos" w:eastAsia="Times New Roman" w:hAnsi="Aptos" w:cs="Times New Roman"/>
              </w:rPr>
              <w:t>25.2</w:t>
            </w:r>
            <w:r>
              <w:rPr>
                <w:rFonts w:ascii="Aptos" w:eastAsia="Times New Roman" w:hAnsi="Aptos" w:cs="Times New Roman"/>
              </w:rPr>
              <w:t>5%)</w:t>
            </w:r>
          </w:p>
        </w:tc>
        <w:tc>
          <w:tcPr>
            <w:tcW w:w="3345" w:type="dxa"/>
            <w:vMerge/>
          </w:tcPr>
          <w:p w14:paraId="19C05C1F"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5F41EFC6" w14:textId="77777777" w:rsidTr="00DD356B">
        <w:trPr>
          <w:trHeight w:val="330"/>
        </w:trPr>
        <w:tc>
          <w:tcPr>
            <w:tcW w:w="2438" w:type="dxa"/>
            <w:hideMark/>
          </w:tcPr>
          <w:p w14:paraId="63327B90"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51-60</w:t>
            </w:r>
          </w:p>
        </w:tc>
        <w:tc>
          <w:tcPr>
            <w:tcW w:w="3567" w:type="dxa"/>
            <w:hideMark/>
          </w:tcPr>
          <w:p w14:paraId="22BB3701"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288411</w:t>
            </w:r>
            <w:r>
              <w:rPr>
                <w:rFonts w:ascii="Aptos" w:eastAsia="Times New Roman" w:hAnsi="Aptos" w:cs="Times New Roman"/>
              </w:rPr>
              <w:t xml:space="preserve"> (</w:t>
            </w:r>
            <w:r w:rsidRPr="003E6CF9">
              <w:rPr>
                <w:rFonts w:ascii="Aptos" w:eastAsia="Times New Roman" w:hAnsi="Aptos" w:cs="Times New Roman"/>
              </w:rPr>
              <w:t>33.5</w:t>
            </w:r>
            <w:r>
              <w:rPr>
                <w:rFonts w:ascii="Aptos" w:eastAsia="Times New Roman" w:hAnsi="Aptos" w:cs="Times New Roman"/>
              </w:rPr>
              <w:t>4%)</w:t>
            </w:r>
          </w:p>
        </w:tc>
        <w:tc>
          <w:tcPr>
            <w:tcW w:w="3345" w:type="dxa"/>
            <w:vMerge/>
          </w:tcPr>
          <w:p w14:paraId="0339E63A"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E7662A5" w14:textId="77777777" w:rsidTr="00DD356B">
        <w:trPr>
          <w:trHeight w:val="330"/>
        </w:trPr>
        <w:tc>
          <w:tcPr>
            <w:tcW w:w="2438" w:type="dxa"/>
            <w:hideMark/>
          </w:tcPr>
          <w:p w14:paraId="7F985B51"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61-70</w:t>
            </w:r>
          </w:p>
        </w:tc>
        <w:tc>
          <w:tcPr>
            <w:tcW w:w="3567" w:type="dxa"/>
            <w:hideMark/>
          </w:tcPr>
          <w:p w14:paraId="12F421D9"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133141</w:t>
            </w:r>
            <w:r>
              <w:rPr>
                <w:rFonts w:ascii="Aptos" w:eastAsia="Times New Roman" w:hAnsi="Aptos" w:cs="Times New Roman"/>
              </w:rPr>
              <w:t xml:space="preserve"> (</w:t>
            </w:r>
            <w:r w:rsidRPr="003B7EC7">
              <w:rPr>
                <w:rFonts w:ascii="Aptos" w:eastAsia="Times New Roman" w:hAnsi="Aptos" w:cs="Times New Roman"/>
              </w:rPr>
              <w:t>15.</w:t>
            </w:r>
            <w:r>
              <w:rPr>
                <w:rFonts w:ascii="Aptos" w:eastAsia="Times New Roman" w:hAnsi="Aptos" w:cs="Times New Roman"/>
              </w:rPr>
              <w:t>48%)</w:t>
            </w:r>
          </w:p>
        </w:tc>
        <w:tc>
          <w:tcPr>
            <w:tcW w:w="3345" w:type="dxa"/>
            <w:vMerge/>
          </w:tcPr>
          <w:p w14:paraId="3AC33934"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0CF8542C" w14:textId="77777777" w:rsidTr="00DD356B">
        <w:trPr>
          <w:trHeight w:val="330"/>
        </w:trPr>
        <w:tc>
          <w:tcPr>
            <w:tcW w:w="2438" w:type="dxa"/>
            <w:hideMark/>
          </w:tcPr>
          <w:p w14:paraId="4EB33D37"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71-80</w:t>
            </w:r>
          </w:p>
        </w:tc>
        <w:tc>
          <w:tcPr>
            <w:tcW w:w="3567" w:type="dxa"/>
            <w:hideMark/>
          </w:tcPr>
          <w:p w14:paraId="4D4048C3"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33801</w:t>
            </w:r>
            <w:r>
              <w:rPr>
                <w:rFonts w:ascii="Aptos" w:eastAsia="Times New Roman" w:hAnsi="Aptos" w:cs="Times New Roman"/>
              </w:rPr>
              <w:t xml:space="preserve"> (3.93%)</w:t>
            </w:r>
          </w:p>
        </w:tc>
        <w:tc>
          <w:tcPr>
            <w:tcW w:w="3345" w:type="dxa"/>
            <w:vMerge/>
          </w:tcPr>
          <w:p w14:paraId="36343C41"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7758D20" w14:textId="77777777" w:rsidTr="00DD356B">
        <w:trPr>
          <w:trHeight w:val="330"/>
        </w:trPr>
        <w:tc>
          <w:tcPr>
            <w:tcW w:w="2438" w:type="dxa"/>
            <w:hideMark/>
          </w:tcPr>
          <w:p w14:paraId="2DC1C532"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81-90</w:t>
            </w:r>
          </w:p>
        </w:tc>
        <w:tc>
          <w:tcPr>
            <w:tcW w:w="3567" w:type="dxa"/>
            <w:hideMark/>
          </w:tcPr>
          <w:p w14:paraId="7DB6E541"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9753</w:t>
            </w:r>
            <w:r>
              <w:rPr>
                <w:rFonts w:ascii="Aptos" w:eastAsia="Times New Roman" w:hAnsi="Aptos" w:cs="Times New Roman"/>
              </w:rPr>
              <w:t xml:space="preserve"> (1.13%)</w:t>
            </w:r>
          </w:p>
        </w:tc>
        <w:tc>
          <w:tcPr>
            <w:tcW w:w="3345" w:type="dxa"/>
            <w:vMerge/>
          </w:tcPr>
          <w:p w14:paraId="6C85E380"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2C461D2" w14:textId="77777777" w:rsidTr="00DD356B">
        <w:trPr>
          <w:trHeight w:val="330"/>
        </w:trPr>
        <w:tc>
          <w:tcPr>
            <w:tcW w:w="2438" w:type="dxa"/>
            <w:hideMark/>
          </w:tcPr>
          <w:p w14:paraId="23B3E68F"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91-100</w:t>
            </w:r>
            <w:r>
              <w:rPr>
                <w:rFonts w:ascii="Aptos" w:eastAsia="Times New Roman" w:hAnsi="Aptos" w:cs="Times New Roman"/>
              </w:rPr>
              <w:t>+</w:t>
            </w:r>
          </w:p>
        </w:tc>
        <w:tc>
          <w:tcPr>
            <w:tcW w:w="3567" w:type="dxa"/>
            <w:hideMark/>
          </w:tcPr>
          <w:p w14:paraId="47A0BEEF"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1258</w:t>
            </w:r>
            <w:r>
              <w:rPr>
                <w:rFonts w:ascii="Aptos" w:eastAsia="Times New Roman" w:hAnsi="Aptos" w:cs="Times New Roman"/>
              </w:rPr>
              <w:t xml:space="preserve"> (0.15%)</w:t>
            </w:r>
          </w:p>
        </w:tc>
        <w:tc>
          <w:tcPr>
            <w:tcW w:w="3345" w:type="dxa"/>
            <w:vMerge/>
          </w:tcPr>
          <w:p w14:paraId="7CC9BF7F" w14:textId="77777777" w:rsidR="000154C4" w:rsidRPr="00183A38" w:rsidRDefault="000154C4" w:rsidP="00DD356B">
            <w:pPr>
              <w:jc w:val="center"/>
              <w:textAlignment w:val="baseline"/>
              <w:rPr>
                <w:rFonts w:ascii="Aptos" w:eastAsia="Times New Roman" w:hAnsi="Aptos" w:cs="Times New Roman"/>
              </w:rPr>
            </w:pPr>
          </w:p>
        </w:tc>
      </w:tr>
    </w:tbl>
    <w:p w14:paraId="22E9AAB4" w14:textId="16FAC57F" w:rsidR="000154C4" w:rsidRDefault="000154C4" w:rsidP="000154C4">
      <w:pPr>
        <w:pStyle w:val="paragraph"/>
        <w:spacing w:before="0" w:beforeAutospacing="0" w:after="0" w:afterAutospacing="0"/>
        <w:textAlignment w:val="baseline"/>
        <w:rPr>
          <w:rStyle w:val="normaltextrun"/>
          <w:rFonts w:ascii="Calibri" w:hAnsi="Calibri" w:cs="Calibri"/>
          <w:vertAlign w:val="superscript"/>
        </w:rPr>
      </w:pPr>
    </w:p>
    <w:p w14:paraId="0AE3C490" w14:textId="27B9F333" w:rsidR="000154C4" w:rsidRDefault="000154C4" w:rsidP="000154C4">
      <w:pPr>
        <w:rPr>
          <w:rStyle w:val="normaltextrun"/>
          <w:rFonts w:ascii="Calibri" w:hAnsi="Calibri" w:cs="Calibri"/>
          <w:b/>
          <w:bCs/>
        </w:rPr>
      </w:pPr>
    </w:p>
    <w:p w14:paraId="23B3AE97" w14:textId="1CE7F98C" w:rsidR="00742D70" w:rsidRDefault="00742D70" w:rsidP="000154C4">
      <w:pPr>
        <w:rPr>
          <w:rStyle w:val="normaltextrun"/>
          <w:rFonts w:ascii="Calibri" w:hAnsi="Calibri" w:cs="Calibri"/>
          <w:b/>
          <w:bCs/>
        </w:rPr>
      </w:pPr>
      <w:r>
        <w:rPr>
          <w:rStyle w:val="normaltextrun"/>
          <w:rFonts w:ascii="Calibri" w:hAnsi="Calibri" w:cs="Calibri"/>
          <w:b/>
          <w:bCs/>
        </w:rPr>
        <w:t>Deriving the transition probability from</w:t>
      </w:r>
      <w:r w:rsidR="00993993">
        <w:rPr>
          <w:rStyle w:val="normaltextrun"/>
          <w:rFonts w:ascii="Calibri" w:hAnsi="Calibri" w:cs="Calibri"/>
          <w:b/>
          <w:bCs/>
        </w:rPr>
        <w:t xml:space="preserve"> treated</w:t>
      </w:r>
      <w:r>
        <w:rPr>
          <w:rStyle w:val="normaltextrun"/>
          <w:rFonts w:ascii="Calibri" w:hAnsi="Calibri" w:cs="Calibri"/>
          <w:b/>
          <w:bCs/>
        </w:rPr>
        <w:t xml:space="preserve"> HCC to death by HCC stage</w:t>
      </w:r>
    </w:p>
    <w:p w14:paraId="6A53A332" w14:textId="6D0FE2FE" w:rsidR="00742D70" w:rsidRDefault="00742D70" w:rsidP="000154C4">
      <w:pPr>
        <w:rPr>
          <w:rStyle w:val="normaltextrun"/>
          <w:rFonts w:ascii="Calibri" w:hAnsi="Calibri" w:cs="Calibri"/>
        </w:rPr>
      </w:pPr>
    </w:p>
    <w:p w14:paraId="158419D8" w14:textId="2B66D2A8" w:rsidR="009518A5" w:rsidRDefault="009518A5" w:rsidP="000154C4">
      <w:pPr>
        <w:rPr>
          <w:rStyle w:val="normaltextrun"/>
          <w:rFonts w:ascii="Calibri" w:hAnsi="Calibri" w:cs="Calibri"/>
        </w:rPr>
      </w:pPr>
      <w:r>
        <w:rPr>
          <w:rStyle w:val="normaltextrun"/>
          <w:rFonts w:ascii="Calibri" w:hAnsi="Calibri" w:cs="Calibri"/>
        </w:rPr>
        <w:t>Proportion of patients receiving each type of treatment as the first or primary treatment by HCC stage. Data was derived from the SEER-Medicare database, looking only at HCC patients with MASLD.</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16"/>
        <w:gridCol w:w="2316"/>
        <w:gridCol w:w="2316"/>
        <w:gridCol w:w="2316"/>
      </w:tblGrid>
      <w:tr w:rsidR="00670DAD" w:rsidRPr="00580068" w14:paraId="7E7B6A7F" w14:textId="3A8C192D" w:rsidTr="00CB1D93">
        <w:trPr>
          <w:trHeight w:val="300"/>
        </w:trPr>
        <w:tc>
          <w:tcPr>
            <w:tcW w:w="2316" w:type="dxa"/>
            <w:vAlign w:val="bottom"/>
          </w:tcPr>
          <w:p w14:paraId="7062198F" w14:textId="77777777" w:rsidR="00670DAD" w:rsidRPr="009518A5" w:rsidRDefault="00670DAD" w:rsidP="00670DAD">
            <w:pPr>
              <w:rPr>
                <w:b/>
                <w:bCs/>
              </w:rPr>
            </w:pPr>
            <w:r w:rsidRPr="009518A5">
              <w:rPr>
                <w:rFonts w:ascii="Calibri" w:eastAsia="Calibri" w:hAnsi="Calibri" w:cs="Calibri"/>
                <w:b/>
                <w:bCs/>
                <w:color w:val="000000" w:themeColor="text1"/>
              </w:rPr>
              <w:t>First Treatment Type</w:t>
            </w:r>
          </w:p>
        </w:tc>
        <w:tc>
          <w:tcPr>
            <w:tcW w:w="2316" w:type="dxa"/>
          </w:tcPr>
          <w:p w14:paraId="74F41778" w14:textId="6E8A85A5" w:rsidR="00670DAD" w:rsidRPr="009518A5" w:rsidRDefault="00670DAD" w:rsidP="00670DAD">
            <w:pPr>
              <w:rPr>
                <w:rFonts w:ascii="Calibri" w:eastAsia="Calibri" w:hAnsi="Calibri" w:cs="Calibri"/>
                <w:b/>
                <w:bCs/>
                <w:color w:val="000000" w:themeColor="text1"/>
              </w:rPr>
            </w:pPr>
            <w:r w:rsidRPr="009518A5">
              <w:rPr>
                <w:rFonts w:ascii="Calibri" w:eastAsia="Calibri" w:hAnsi="Calibri" w:cs="Calibri"/>
                <w:b/>
                <w:bCs/>
                <w:color w:val="000000" w:themeColor="text1"/>
              </w:rPr>
              <w:t xml:space="preserve">Early </w:t>
            </w:r>
          </w:p>
        </w:tc>
        <w:tc>
          <w:tcPr>
            <w:tcW w:w="2316" w:type="dxa"/>
          </w:tcPr>
          <w:p w14:paraId="54AF63FC" w14:textId="5335F08B" w:rsidR="00670DAD" w:rsidRPr="009518A5" w:rsidRDefault="00670DAD" w:rsidP="00670DAD">
            <w:pPr>
              <w:spacing w:line="259" w:lineRule="auto"/>
              <w:rPr>
                <w:rFonts w:ascii="Calibri" w:eastAsia="Calibri" w:hAnsi="Calibri" w:cs="Calibri"/>
                <w:b/>
                <w:bCs/>
                <w:color w:val="000000" w:themeColor="text1"/>
              </w:rPr>
            </w:pPr>
            <w:r w:rsidRPr="009518A5">
              <w:rPr>
                <w:rFonts w:ascii="Calibri" w:eastAsia="Calibri" w:hAnsi="Calibri" w:cs="Calibri"/>
                <w:b/>
                <w:bCs/>
                <w:color w:val="000000" w:themeColor="text1"/>
              </w:rPr>
              <w:t xml:space="preserve">Intermediate </w:t>
            </w:r>
          </w:p>
        </w:tc>
        <w:tc>
          <w:tcPr>
            <w:tcW w:w="2316" w:type="dxa"/>
          </w:tcPr>
          <w:p w14:paraId="2BAEA5B2" w14:textId="5759EA06" w:rsidR="00670DAD" w:rsidRPr="009518A5" w:rsidRDefault="00670DAD" w:rsidP="00670DAD">
            <w:pPr>
              <w:spacing w:line="259" w:lineRule="auto"/>
              <w:rPr>
                <w:rFonts w:ascii="Calibri" w:eastAsia="Calibri" w:hAnsi="Calibri" w:cs="Calibri"/>
                <w:b/>
                <w:bCs/>
                <w:color w:val="000000" w:themeColor="text1"/>
              </w:rPr>
            </w:pPr>
            <w:r w:rsidRPr="009518A5">
              <w:rPr>
                <w:rFonts w:ascii="Calibri" w:eastAsia="Calibri" w:hAnsi="Calibri" w:cs="Calibri"/>
                <w:b/>
                <w:bCs/>
                <w:color w:val="000000" w:themeColor="text1"/>
              </w:rPr>
              <w:t xml:space="preserve">Late </w:t>
            </w:r>
          </w:p>
        </w:tc>
      </w:tr>
      <w:tr w:rsidR="00670DAD" w:rsidRPr="00580068" w14:paraId="3942FB49" w14:textId="6617690A" w:rsidTr="003E3DB2">
        <w:trPr>
          <w:trHeight w:val="300"/>
        </w:trPr>
        <w:tc>
          <w:tcPr>
            <w:tcW w:w="2316" w:type="dxa"/>
            <w:tcMar>
              <w:top w:w="15" w:type="dxa"/>
              <w:left w:w="15" w:type="dxa"/>
              <w:right w:w="15" w:type="dxa"/>
            </w:tcMar>
            <w:vAlign w:val="bottom"/>
          </w:tcPr>
          <w:p w14:paraId="5FB18B89" w14:textId="77777777" w:rsidR="00670DAD" w:rsidRPr="00580068" w:rsidRDefault="00670DAD" w:rsidP="00670DAD">
            <w:r w:rsidRPr="00580068">
              <w:rPr>
                <w:rFonts w:ascii="Calibri" w:eastAsia="Calibri" w:hAnsi="Calibri" w:cs="Calibri"/>
                <w:color w:val="000000" w:themeColor="text1"/>
              </w:rPr>
              <w:t>Ablation</w:t>
            </w:r>
          </w:p>
        </w:tc>
        <w:tc>
          <w:tcPr>
            <w:tcW w:w="2316" w:type="dxa"/>
            <w:vAlign w:val="bottom"/>
          </w:tcPr>
          <w:p w14:paraId="3EB1B47B" w14:textId="60C43AAD"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8.5%</w:t>
            </w:r>
          </w:p>
        </w:tc>
        <w:tc>
          <w:tcPr>
            <w:tcW w:w="2316" w:type="dxa"/>
            <w:vAlign w:val="bottom"/>
          </w:tcPr>
          <w:p w14:paraId="5A4FE0D4" w14:textId="2C932BE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6.6%</w:t>
            </w:r>
          </w:p>
        </w:tc>
        <w:tc>
          <w:tcPr>
            <w:tcW w:w="2316" w:type="dxa"/>
            <w:vAlign w:val="bottom"/>
          </w:tcPr>
          <w:p w14:paraId="2B259A7F" w14:textId="15246185"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0.7%</w:t>
            </w:r>
          </w:p>
        </w:tc>
      </w:tr>
      <w:tr w:rsidR="00670DAD" w:rsidRPr="00580068" w14:paraId="25795470" w14:textId="5CA4C942" w:rsidTr="003E3DB2">
        <w:trPr>
          <w:trHeight w:val="300"/>
        </w:trPr>
        <w:tc>
          <w:tcPr>
            <w:tcW w:w="2316" w:type="dxa"/>
            <w:tcMar>
              <w:top w:w="15" w:type="dxa"/>
              <w:left w:w="15" w:type="dxa"/>
              <w:right w:w="15" w:type="dxa"/>
            </w:tcMar>
            <w:vAlign w:val="bottom"/>
          </w:tcPr>
          <w:p w14:paraId="59AEE44D" w14:textId="77777777" w:rsidR="00670DAD" w:rsidRPr="00580068" w:rsidRDefault="00670DAD" w:rsidP="00670DAD">
            <w:r w:rsidRPr="00580068">
              <w:rPr>
                <w:rFonts w:ascii="Calibri" w:eastAsia="Calibri" w:hAnsi="Calibri" w:cs="Calibri"/>
                <w:color w:val="000000" w:themeColor="text1"/>
              </w:rPr>
              <w:t>Radiotherapy</w:t>
            </w:r>
          </w:p>
        </w:tc>
        <w:tc>
          <w:tcPr>
            <w:tcW w:w="2316" w:type="dxa"/>
            <w:vAlign w:val="bottom"/>
          </w:tcPr>
          <w:p w14:paraId="4F849A47" w14:textId="630BE93E"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0.9%</w:t>
            </w:r>
          </w:p>
        </w:tc>
        <w:tc>
          <w:tcPr>
            <w:tcW w:w="2316" w:type="dxa"/>
            <w:vAlign w:val="bottom"/>
          </w:tcPr>
          <w:p w14:paraId="1D692CA7" w14:textId="2507039F"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w:t>
            </w:r>
          </w:p>
        </w:tc>
        <w:tc>
          <w:tcPr>
            <w:tcW w:w="2316" w:type="dxa"/>
            <w:vAlign w:val="bottom"/>
          </w:tcPr>
          <w:p w14:paraId="38C9E1FD" w14:textId="2FBDEC95"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3.6%</w:t>
            </w:r>
          </w:p>
        </w:tc>
      </w:tr>
      <w:tr w:rsidR="00670DAD" w:rsidRPr="00580068" w14:paraId="0177F16C" w14:textId="33EF67CD" w:rsidTr="003E3DB2">
        <w:trPr>
          <w:trHeight w:val="300"/>
        </w:trPr>
        <w:tc>
          <w:tcPr>
            <w:tcW w:w="2316" w:type="dxa"/>
            <w:tcMar>
              <w:top w:w="15" w:type="dxa"/>
              <w:left w:w="15" w:type="dxa"/>
              <w:right w:w="15" w:type="dxa"/>
            </w:tcMar>
            <w:vAlign w:val="bottom"/>
          </w:tcPr>
          <w:p w14:paraId="3AA906D5" w14:textId="77777777" w:rsidR="00670DAD" w:rsidRPr="00580068" w:rsidRDefault="00670DAD" w:rsidP="00670DAD">
            <w:r w:rsidRPr="00580068">
              <w:rPr>
                <w:rFonts w:ascii="Calibri" w:eastAsia="Calibri" w:hAnsi="Calibri" w:cs="Calibri"/>
                <w:color w:val="000000" w:themeColor="text1"/>
              </w:rPr>
              <w:t>Resection</w:t>
            </w:r>
          </w:p>
        </w:tc>
        <w:tc>
          <w:tcPr>
            <w:tcW w:w="2316" w:type="dxa"/>
            <w:vAlign w:val="bottom"/>
          </w:tcPr>
          <w:p w14:paraId="293E54B5" w14:textId="5AFFED07"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34.0%</w:t>
            </w:r>
          </w:p>
        </w:tc>
        <w:tc>
          <w:tcPr>
            <w:tcW w:w="2316" w:type="dxa"/>
            <w:vAlign w:val="bottom"/>
          </w:tcPr>
          <w:p w14:paraId="23DF8AB1" w14:textId="1922BD09"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20%</w:t>
            </w:r>
          </w:p>
        </w:tc>
        <w:tc>
          <w:tcPr>
            <w:tcW w:w="2316" w:type="dxa"/>
            <w:vAlign w:val="bottom"/>
          </w:tcPr>
          <w:p w14:paraId="026DE27E" w14:textId="2429CBA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sz w:val="22"/>
                <w:szCs w:val="22"/>
              </w:rPr>
              <w:t>0%</w:t>
            </w:r>
          </w:p>
        </w:tc>
      </w:tr>
      <w:tr w:rsidR="00670DAD" w:rsidRPr="00580068" w14:paraId="43C0EE78" w14:textId="4C96A608" w:rsidTr="003E3DB2">
        <w:trPr>
          <w:trHeight w:val="300"/>
        </w:trPr>
        <w:tc>
          <w:tcPr>
            <w:tcW w:w="2316" w:type="dxa"/>
            <w:tcMar>
              <w:top w:w="15" w:type="dxa"/>
              <w:left w:w="15" w:type="dxa"/>
              <w:right w:w="15" w:type="dxa"/>
            </w:tcMar>
            <w:vAlign w:val="bottom"/>
          </w:tcPr>
          <w:p w14:paraId="7175801E" w14:textId="77777777" w:rsidR="00670DAD" w:rsidRPr="00580068" w:rsidRDefault="00670DAD" w:rsidP="00670DAD">
            <w:r w:rsidRPr="00580068">
              <w:rPr>
                <w:rFonts w:ascii="Calibri" w:eastAsia="Calibri" w:hAnsi="Calibri" w:cs="Calibri"/>
                <w:color w:val="000000" w:themeColor="text1"/>
              </w:rPr>
              <w:t>Systemic</w:t>
            </w:r>
          </w:p>
        </w:tc>
        <w:tc>
          <w:tcPr>
            <w:tcW w:w="2316" w:type="dxa"/>
            <w:vAlign w:val="bottom"/>
          </w:tcPr>
          <w:p w14:paraId="775CBB5D" w14:textId="273508E6"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23.6%</w:t>
            </w:r>
          </w:p>
        </w:tc>
        <w:tc>
          <w:tcPr>
            <w:tcW w:w="2316" w:type="dxa"/>
            <w:vAlign w:val="bottom"/>
          </w:tcPr>
          <w:p w14:paraId="76427C12" w14:textId="64BAC6AD"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37.8%</w:t>
            </w:r>
          </w:p>
        </w:tc>
        <w:tc>
          <w:tcPr>
            <w:tcW w:w="2316" w:type="dxa"/>
            <w:vAlign w:val="bottom"/>
          </w:tcPr>
          <w:p w14:paraId="4A6C6BD5" w14:textId="7275752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67.1%</w:t>
            </w:r>
          </w:p>
        </w:tc>
      </w:tr>
      <w:tr w:rsidR="00670DAD" w:rsidRPr="00580068" w14:paraId="3BC6C284" w14:textId="3C719C93" w:rsidTr="003E3DB2">
        <w:trPr>
          <w:trHeight w:val="300"/>
        </w:trPr>
        <w:tc>
          <w:tcPr>
            <w:tcW w:w="2316" w:type="dxa"/>
            <w:tcMar>
              <w:top w:w="15" w:type="dxa"/>
              <w:left w:w="15" w:type="dxa"/>
              <w:right w:w="15" w:type="dxa"/>
            </w:tcMar>
            <w:vAlign w:val="bottom"/>
          </w:tcPr>
          <w:p w14:paraId="5B894271" w14:textId="77777777" w:rsidR="00670DAD" w:rsidRPr="00580068" w:rsidRDefault="00670DAD" w:rsidP="00670DAD">
            <w:r w:rsidRPr="00580068">
              <w:rPr>
                <w:rFonts w:ascii="Calibri" w:eastAsia="Calibri" w:hAnsi="Calibri" w:cs="Calibri"/>
                <w:color w:val="000000" w:themeColor="text1"/>
              </w:rPr>
              <w:t>TACE</w:t>
            </w:r>
          </w:p>
        </w:tc>
        <w:tc>
          <w:tcPr>
            <w:tcW w:w="2316" w:type="dxa"/>
            <w:vAlign w:val="bottom"/>
          </w:tcPr>
          <w:p w14:paraId="2730B7A0" w14:textId="38A333DA"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30.7%</w:t>
            </w:r>
          </w:p>
        </w:tc>
        <w:tc>
          <w:tcPr>
            <w:tcW w:w="2316" w:type="dxa"/>
            <w:vAlign w:val="bottom"/>
          </w:tcPr>
          <w:p w14:paraId="37E2F287" w14:textId="6C64D4D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32.8%</w:t>
            </w:r>
          </w:p>
        </w:tc>
        <w:tc>
          <w:tcPr>
            <w:tcW w:w="2316" w:type="dxa"/>
            <w:vAlign w:val="bottom"/>
          </w:tcPr>
          <w:p w14:paraId="6D909734" w14:textId="1F1BD2E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28.6%</w:t>
            </w:r>
          </w:p>
        </w:tc>
      </w:tr>
      <w:tr w:rsidR="00670DAD" w:rsidRPr="00580068" w14:paraId="3781D470" w14:textId="5F05A3FE" w:rsidTr="003E3DB2">
        <w:trPr>
          <w:trHeight w:val="300"/>
        </w:trPr>
        <w:tc>
          <w:tcPr>
            <w:tcW w:w="2316" w:type="dxa"/>
            <w:tcMar>
              <w:top w:w="15" w:type="dxa"/>
              <w:left w:w="15" w:type="dxa"/>
              <w:right w:w="15" w:type="dxa"/>
            </w:tcMar>
            <w:vAlign w:val="bottom"/>
          </w:tcPr>
          <w:p w14:paraId="53211725" w14:textId="77777777" w:rsidR="00670DAD" w:rsidRPr="00580068" w:rsidRDefault="00670DAD" w:rsidP="00670DAD">
            <w:r w:rsidRPr="00580068">
              <w:rPr>
                <w:rFonts w:ascii="Calibri" w:eastAsia="Calibri" w:hAnsi="Calibri" w:cs="Calibri"/>
                <w:color w:val="000000" w:themeColor="text1"/>
              </w:rPr>
              <w:t>Transplant</w:t>
            </w:r>
          </w:p>
        </w:tc>
        <w:tc>
          <w:tcPr>
            <w:tcW w:w="2316" w:type="dxa"/>
            <w:vAlign w:val="bottom"/>
          </w:tcPr>
          <w:p w14:paraId="329E5E28" w14:textId="6808F2EE"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2.3%</w:t>
            </w:r>
          </w:p>
        </w:tc>
        <w:tc>
          <w:tcPr>
            <w:tcW w:w="2316" w:type="dxa"/>
            <w:vAlign w:val="bottom"/>
          </w:tcPr>
          <w:p w14:paraId="59950653" w14:textId="7345BE2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2.8%</w:t>
            </w:r>
          </w:p>
        </w:tc>
        <w:tc>
          <w:tcPr>
            <w:tcW w:w="2316" w:type="dxa"/>
            <w:vAlign w:val="bottom"/>
          </w:tcPr>
          <w:p w14:paraId="76713C15" w14:textId="0975AB5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w:t>
            </w:r>
          </w:p>
        </w:tc>
      </w:tr>
    </w:tbl>
    <w:p w14:paraId="151C034D" w14:textId="22AC5033" w:rsidR="00B136D1" w:rsidRDefault="00B136D1" w:rsidP="00B136D1">
      <w:pPr>
        <w:rPr>
          <w:rStyle w:val="normaltextrun"/>
          <w:rFonts w:ascii="Calibri" w:hAnsi="Calibri" w:cs="Calibri"/>
          <w:b/>
          <w:bCs/>
          <w:i/>
          <w:iCs/>
        </w:rPr>
      </w:pPr>
    </w:p>
    <w:p w14:paraId="478D7959" w14:textId="4F02F09C" w:rsidR="009518A5" w:rsidRPr="009518A5" w:rsidRDefault="009518A5" w:rsidP="00B136D1">
      <w:pPr>
        <w:rPr>
          <w:rStyle w:val="normaltextrun"/>
          <w:rFonts w:ascii="Calibri" w:hAnsi="Calibri" w:cs="Calibri"/>
        </w:rPr>
      </w:pPr>
      <w:r>
        <w:rPr>
          <w:rStyle w:val="normaltextrun"/>
          <w:rFonts w:ascii="Calibri" w:hAnsi="Calibri" w:cs="Calibri"/>
        </w:rPr>
        <w:t xml:space="preserve">The annual probability of deaths (below) </w:t>
      </w:r>
      <w:proofErr w:type="gramStart"/>
      <w:r>
        <w:rPr>
          <w:rStyle w:val="normaltextrun"/>
          <w:rFonts w:ascii="Calibri" w:hAnsi="Calibri" w:cs="Calibri"/>
        </w:rPr>
        <w:t>were</w:t>
      </w:r>
      <w:proofErr w:type="gramEnd"/>
      <w:r>
        <w:rPr>
          <w:rStyle w:val="normaltextrun"/>
          <w:rFonts w:ascii="Calibri" w:hAnsi="Calibri" w:cs="Calibri"/>
        </w:rPr>
        <w:t xml:space="preserve"> weighed by the distribution of patients receiving each type of treatment to get an aggregate overall probability of death for each HCC stage. </w:t>
      </w:r>
    </w:p>
    <w:tbl>
      <w:tblPr>
        <w:tblStyle w:val="TableGrid"/>
        <w:tblW w:w="9290" w:type="dxa"/>
        <w:tblLayout w:type="fixed"/>
        <w:tblLook w:val="06A0" w:firstRow="1" w:lastRow="0" w:firstColumn="1" w:lastColumn="0" w:noHBand="1" w:noVBand="1"/>
      </w:tblPr>
      <w:tblGrid>
        <w:gridCol w:w="3325"/>
        <w:gridCol w:w="2744"/>
        <w:gridCol w:w="3221"/>
      </w:tblGrid>
      <w:tr w:rsidR="009518A5" w14:paraId="21C34679" w14:textId="77777777" w:rsidTr="009518A5">
        <w:trPr>
          <w:trHeight w:val="420"/>
        </w:trPr>
        <w:tc>
          <w:tcPr>
            <w:tcW w:w="3325" w:type="dxa"/>
          </w:tcPr>
          <w:p w14:paraId="4FE7C427" w14:textId="0095B160" w:rsidR="009518A5" w:rsidRDefault="009518A5" w:rsidP="009518A5">
            <w:pPr>
              <w:rPr>
                <w:b/>
                <w:bCs/>
              </w:rPr>
            </w:pPr>
            <w:r w:rsidRPr="009518A5">
              <w:rPr>
                <w:rFonts w:ascii="Calibri" w:eastAsia="Calibri" w:hAnsi="Calibri" w:cs="Calibri"/>
                <w:b/>
                <w:bCs/>
                <w:color w:val="000000" w:themeColor="text1"/>
              </w:rPr>
              <w:t>First Treatment Type</w:t>
            </w:r>
          </w:p>
        </w:tc>
        <w:tc>
          <w:tcPr>
            <w:tcW w:w="2744" w:type="dxa"/>
          </w:tcPr>
          <w:p w14:paraId="4F4F059A" w14:textId="211D0064" w:rsidR="009518A5" w:rsidRPr="50448BAA" w:rsidRDefault="009518A5" w:rsidP="009518A5">
            <w:pPr>
              <w:rPr>
                <w:b/>
                <w:bCs/>
              </w:rPr>
            </w:pPr>
            <w:r>
              <w:rPr>
                <w:b/>
                <w:bCs/>
              </w:rPr>
              <w:t xml:space="preserve">Annual probability of death </w:t>
            </w:r>
          </w:p>
        </w:tc>
        <w:tc>
          <w:tcPr>
            <w:tcW w:w="3221" w:type="dxa"/>
          </w:tcPr>
          <w:p w14:paraId="2596B5A5" w14:textId="77777777" w:rsidR="009518A5" w:rsidRDefault="009518A5" w:rsidP="009518A5">
            <w:pPr>
              <w:rPr>
                <w:b/>
                <w:bCs/>
              </w:rPr>
            </w:pPr>
            <w:r w:rsidRPr="59961667">
              <w:rPr>
                <w:b/>
                <w:bCs/>
              </w:rPr>
              <w:t xml:space="preserve">Reference </w:t>
            </w:r>
          </w:p>
        </w:tc>
      </w:tr>
      <w:tr w:rsidR="009518A5" w14:paraId="47E47078" w14:textId="77777777" w:rsidTr="009518A5">
        <w:trPr>
          <w:trHeight w:val="420"/>
        </w:trPr>
        <w:tc>
          <w:tcPr>
            <w:tcW w:w="3325" w:type="dxa"/>
          </w:tcPr>
          <w:p w14:paraId="3CAAA8AF" w14:textId="77777777" w:rsidR="009518A5" w:rsidRDefault="009518A5" w:rsidP="009518A5">
            <w:pPr>
              <w:rPr>
                <w:b/>
                <w:bCs/>
              </w:rPr>
            </w:pPr>
            <w:proofErr w:type="gramStart"/>
            <w:r>
              <w:t>Early stage</w:t>
            </w:r>
            <w:proofErr w:type="gramEnd"/>
            <w:r>
              <w:t xml:space="preserve"> HCC</w:t>
            </w:r>
          </w:p>
        </w:tc>
        <w:tc>
          <w:tcPr>
            <w:tcW w:w="2744" w:type="dxa"/>
          </w:tcPr>
          <w:p w14:paraId="3C09EFFC" w14:textId="77777777" w:rsidR="009518A5" w:rsidRDefault="009518A5" w:rsidP="009518A5">
            <w:pPr>
              <w:rPr>
                <w:b/>
                <w:bCs/>
              </w:rPr>
            </w:pPr>
          </w:p>
        </w:tc>
        <w:tc>
          <w:tcPr>
            <w:tcW w:w="3221" w:type="dxa"/>
          </w:tcPr>
          <w:p w14:paraId="644861FF" w14:textId="77777777" w:rsidR="009518A5" w:rsidRDefault="009518A5" w:rsidP="009518A5">
            <w:pPr>
              <w:rPr>
                <w:b/>
                <w:bCs/>
              </w:rPr>
            </w:pPr>
          </w:p>
        </w:tc>
      </w:tr>
      <w:tr w:rsidR="009518A5" w14:paraId="4A155442" w14:textId="77777777" w:rsidTr="009518A5">
        <w:trPr>
          <w:trHeight w:val="420"/>
        </w:trPr>
        <w:tc>
          <w:tcPr>
            <w:tcW w:w="3325" w:type="dxa"/>
          </w:tcPr>
          <w:p w14:paraId="21BB7699" w14:textId="77777777" w:rsidR="009518A5" w:rsidRDefault="009518A5" w:rsidP="009518A5">
            <w:pPr>
              <w:ind w:left="720"/>
              <w:rPr>
                <w:color w:val="000000" w:themeColor="text1"/>
              </w:rPr>
            </w:pPr>
            <w:r w:rsidRPr="59961667">
              <w:rPr>
                <w:color w:val="000000" w:themeColor="text1"/>
              </w:rPr>
              <w:t>Transplant</w:t>
            </w:r>
          </w:p>
        </w:tc>
        <w:tc>
          <w:tcPr>
            <w:tcW w:w="2744" w:type="dxa"/>
          </w:tcPr>
          <w:p w14:paraId="31EE5DAD" w14:textId="77777777" w:rsidR="009518A5" w:rsidRDefault="009518A5" w:rsidP="009518A5">
            <w:r>
              <w:t xml:space="preserve">8.25% </w:t>
            </w:r>
            <w:r w:rsidRPr="50448BAA">
              <w:rPr>
                <w:rFonts w:ascii="Calibri" w:eastAsia="Calibri" w:hAnsi="Calibri" w:cs="Calibri"/>
                <w:sz w:val="22"/>
                <w:szCs w:val="22"/>
              </w:rPr>
              <w:t xml:space="preserve"> </w:t>
            </w:r>
          </w:p>
        </w:tc>
        <w:tc>
          <w:tcPr>
            <w:tcW w:w="3221" w:type="dxa"/>
          </w:tcPr>
          <w:p w14:paraId="208C869F" w14:textId="77777777" w:rsidR="009518A5" w:rsidRPr="001B1AD6" w:rsidRDefault="009518A5" w:rsidP="009518A5">
            <w:hyperlink r:id="rId55" w:history="1">
              <w:r w:rsidRPr="00971B99">
                <w:rPr>
                  <w:rStyle w:val="Hyperlink"/>
                </w:rPr>
                <w:t>American cancer society data</w:t>
              </w:r>
            </w:hyperlink>
          </w:p>
        </w:tc>
      </w:tr>
      <w:tr w:rsidR="009518A5" w14:paraId="47ED3DD2" w14:textId="77777777" w:rsidTr="009518A5">
        <w:trPr>
          <w:trHeight w:val="420"/>
        </w:trPr>
        <w:tc>
          <w:tcPr>
            <w:tcW w:w="3325" w:type="dxa"/>
          </w:tcPr>
          <w:p w14:paraId="2F4E414B" w14:textId="77777777" w:rsidR="009518A5" w:rsidRDefault="009518A5" w:rsidP="009518A5">
            <w:pPr>
              <w:ind w:left="720"/>
            </w:pPr>
            <w:r>
              <w:t>Resection</w:t>
            </w:r>
          </w:p>
        </w:tc>
        <w:tc>
          <w:tcPr>
            <w:tcW w:w="2744" w:type="dxa"/>
          </w:tcPr>
          <w:p w14:paraId="6CDFA1BC" w14:textId="77777777" w:rsidR="009518A5" w:rsidRDefault="009518A5" w:rsidP="009518A5">
            <w:r>
              <w:t>11.1%</w:t>
            </w:r>
          </w:p>
        </w:tc>
        <w:tc>
          <w:tcPr>
            <w:tcW w:w="3221" w:type="dxa"/>
          </w:tcPr>
          <w:p w14:paraId="5A4C9B43" w14:textId="77777777" w:rsidR="009518A5" w:rsidRPr="00535861" w:rsidRDefault="009518A5" w:rsidP="009518A5">
            <w:hyperlink r:id="rId56" w:history="1">
              <w:r w:rsidRPr="00971B99">
                <w:rPr>
                  <w:rStyle w:val="Hyperlink"/>
                </w:rPr>
                <w:t>Thornton 2022</w:t>
              </w:r>
            </w:hyperlink>
          </w:p>
        </w:tc>
      </w:tr>
      <w:tr w:rsidR="009518A5" w14:paraId="33CDA532" w14:textId="77777777" w:rsidTr="009518A5">
        <w:trPr>
          <w:trHeight w:val="420"/>
        </w:trPr>
        <w:tc>
          <w:tcPr>
            <w:tcW w:w="3325" w:type="dxa"/>
          </w:tcPr>
          <w:p w14:paraId="73696B04" w14:textId="77777777" w:rsidR="009518A5" w:rsidRDefault="009518A5" w:rsidP="009518A5">
            <w:pPr>
              <w:ind w:left="720"/>
            </w:pPr>
            <w:r>
              <w:t>TACE</w:t>
            </w:r>
          </w:p>
        </w:tc>
        <w:tc>
          <w:tcPr>
            <w:tcW w:w="2744" w:type="dxa"/>
          </w:tcPr>
          <w:p w14:paraId="3909A85E" w14:textId="77777777" w:rsidR="009518A5" w:rsidRDefault="009518A5" w:rsidP="009518A5">
            <w:r>
              <w:t>6.7%</w:t>
            </w:r>
          </w:p>
        </w:tc>
        <w:tc>
          <w:tcPr>
            <w:tcW w:w="3221" w:type="dxa"/>
          </w:tcPr>
          <w:p w14:paraId="428CEF85" w14:textId="77777777" w:rsidR="009518A5" w:rsidRPr="00D704F5" w:rsidRDefault="009518A5" w:rsidP="009518A5">
            <w:hyperlink r:id="rId57" w:history="1">
              <w:r w:rsidRPr="00971B99">
                <w:rPr>
                  <w:rStyle w:val="Hyperlink"/>
                </w:rPr>
                <w:t>Kim 2017</w:t>
              </w:r>
            </w:hyperlink>
          </w:p>
        </w:tc>
      </w:tr>
      <w:tr w:rsidR="009518A5" w14:paraId="41A3688A" w14:textId="77777777" w:rsidTr="009518A5">
        <w:trPr>
          <w:trHeight w:val="420"/>
        </w:trPr>
        <w:tc>
          <w:tcPr>
            <w:tcW w:w="3325" w:type="dxa"/>
          </w:tcPr>
          <w:p w14:paraId="73474DDF" w14:textId="77777777" w:rsidR="009518A5" w:rsidRDefault="009518A5" w:rsidP="009518A5">
            <w:pPr>
              <w:ind w:left="720"/>
            </w:pPr>
            <w:r>
              <w:t>Ablation</w:t>
            </w:r>
          </w:p>
        </w:tc>
        <w:tc>
          <w:tcPr>
            <w:tcW w:w="2744" w:type="dxa"/>
          </w:tcPr>
          <w:p w14:paraId="76527EA0" w14:textId="77777777" w:rsidR="009518A5" w:rsidRDefault="009518A5" w:rsidP="009518A5">
            <w:r>
              <w:t>15.5%</w:t>
            </w:r>
          </w:p>
        </w:tc>
        <w:tc>
          <w:tcPr>
            <w:tcW w:w="3221" w:type="dxa"/>
          </w:tcPr>
          <w:p w14:paraId="55D0ADAB" w14:textId="77777777" w:rsidR="009518A5" w:rsidRPr="00AA7A20" w:rsidRDefault="009518A5" w:rsidP="009518A5">
            <w:hyperlink r:id="rId58" w:history="1">
              <w:r w:rsidRPr="00971B99">
                <w:rPr>
                  <w:rStyle w:val="Hyperlink"/>
                </w:rPr>
                <w:t>Zhang 2021</w:t>
              </w:r>
            </w:hyperlink>
          </w:p>
        </w:tc>
      </w:tr>
      <w:tr w:rsidR="009518A5" w14:paraId="5EBBAFCD" w14:textId="77777777" w:rsidTr="009518A5">
        <w:trPr>
          <w:trHeight w:val="420"/>
        </w:trPr>
        <w:tc>
          <w:tcPr>
            <w:tcW w:w="3325" w:type="dxa"/>
          </w:tcPr>
          <w:p w14:paraId="34EE53CB" w14:textId="77777777" w:rsidR="009518A5" w:rsidRDefault="009518A5" w:rsidP="009518A5">
            <w:pPr>
              <w:ind w:left="720"/>
            </w:pPr>
            <w:r>
              <w:rPr>
                <w:color w:val="000000" w:themeColor="text1"/>
              </w:rPr>
              <w:t>S</w:t>
            </w:r>
            <w:r>
              <w:t>ystemic chemotherapy</w:t>
            </w:r>
          </w:p>
        </w:tc>
        <w:tc>
          <w:tcPr>
            <w:tcW w:w="2744" w:type="dxa"/>
          </w:tcPr>
          <w:p w14:paraId="55CA44CD" w14:textId="77777777" w:rsidR="009518A5" w:rsidRPr="50448BAA" w:rsidRDefault="009518A5" w:rsidP="009518A5">
            <w:r>
              <w:t>61.9%</w:t>
            </w:r>
          </w:p>
        </w:tc>
        <w:tc>
          <w:tcPr>
            <w:tcW w:w="3221" w:type="dxa"/>
          </w:tcPr>
          <w:p w14:paraId="4BBE4DCE" w14:textId="0DB83DE8" w:rsidR="009518A5" w:rsidRPr="00400CEF" w:rsidRDefault="009518A5" w:rsidP="009518A5">
            <w:r>
              <w:t>Derived from SEER-Medicare database</w:t>
            </w:r>
          </w:p>
        </w:tc>
      </w:tr>
      <w:tr w:rsidR="009518A5" w14:paraId="0636D561" w14:textId="77777777" w:rsidTr="009518A5">
        <w:trPr>
          <w:trHeight w:val="420"/>
        </w:trPr>
        <w:tc>
          <w:tcPr>
            <w:tcW w:w="3325" w:type="dxa"/>
          </w:tcPr>
          <w:p w14:paraId="61542EC0" w14:textId="77777777" w:rsidR="009518A5" w:rsidRDefault="009518A5" w:rsidP="009518A5">
            <w:pPr>
              <w:ind w:left="720"/>
            </w:pPr>
            <w:r>
              <w:t>Radiotherapy</w:t>
            </w:r>
          </w:p>
        </w:tc>
        <w:tc>
          <w:tcPr>
            <w:tcW w:w="2744" w:type="dxa"/>
            <w:shd w:val="clear" w:color="auto" w:fill="auto"/>
          </w:tcPr>
          <w:p w14:paraId="0DCA06EA" w14:textId="77777777" w:rsidR="009518A5" w:rsidRDefault="009518A5" w:rsidP="009518A5">
            <w:r>
              <w:t>11.0%</w:t>
            </w:r>
          </w:p>
        </w:tc>
        <w:tc>
          <w:tcPr>
            <w:tcW w:w="3221" w:type="dxa"/>
            <w:shd w:val="clear" w:color="auto" w:fill="auto"/>
          </w:tcPr>
          <w:p w14:paraId="1A77EFCA" w14:textId="77777777" w:rsidR="009518A5" w:rsidRPr="00047FD5" w:rsidRDefault="009518A5" w:rsidP="009518A5">
            <w:hyperlink r:id="rId59" w:history="1">
              <w:r w:rsidRPr="00AF634C">
                <w:rPr>
                  <w:rStyle w:val="Hyperlink"/>
                </w:rPr>
                <w:t>Hara 2019</w:t>
              </w:r>
            </w:hyperlink>
          </w:p>
        </w:tc>
      </w:tr>
      <w:tr w:rsidR="009518A5" w14:paraId="3D1EBB7C" w14:textId="77777777" w:rsidTr="009518A5">
        <w:trPr>
          <w:trHeight w:val="420"/>
        </w:trPr>
        <w:tc>
          <w:tcPr>
            <w:tcW w:w="3325" w:type="dxa"/>
          </w:tcPr>
          <w:p w14:paraId="7D7C4D9D" w14:textId="77777777" w:rsidR="009518A5" w:rsidRDefault="009518A5" w:rsidP="009518A5">
            <w:pPr>
              <w:rPr>
                <w:b/>
                <w:bCs/>
              </w:rPr>
            </w:pPr>
            <w:r>
              <w:t>Intermediate stage HCC</w:t>
            </w:r>
          </w:p>
        </w:tc>
        <w:tc>
          <w:tcPr>
            <w:tcW w:w="2744" w:type="dxa"/>
          </w:tcPr>
          <w:p w14:paraId="22355191" w14:textId="77777777" w:rsidR="009518A5" w:rsidRDefault="009518A5" w:rsidP="009518A5">
            <w:pPr>
              <w:rPr>
                <w:b/>
                <w:bCs/>
              </w:rPr>
            </w:pPr>
          </w:p>
        </w:tc>
        <w:tc>
          <w:tcPr>
            <w:tcW w:w="3221" w:type="dxa"/>
          </w:tcPr>
          <w:p w14:paraId="7286EC28" w14:textId="77777777" w:rsidR="009518A5" w:rsidRDefault="009518A5" w:rsidP="009518A5">
            <w:pPr>
              <w:rPr>
                <w:b/>
                <w:bCs/>
              </w:rPr>
            </w:pPr>
          </w:p>
        </w:tc>
      </w:tr>
      <w:tr w:rsidR="009518A5" w14:paraId="0658597D" w14:textId="77777777" w:rsidTr="009518A5">
        <w:trPr>
          <w:trHeight w:val="420"/>
        </w:trPr>
        <w:tc>
          <w:tcPr>
            <w:tcW w:w="3325" w:type="dxa"/>
          </w:tcPr>
          <w:p w14:paraId="5F0B4EC0" w14:textId="77777777" w:rsidR="009518A5" w:rsidRDefault="009518A5" w:rsidP="009518A5">
            <w:pPr>
              <w:ind w:left="720"/>
              <w:rPr>
                <w:color w:val="000000" w:themeColor="text1"/>
              </w:rPr>
            </w:pPr>
            <w:r w:rsidRPr="59961667">
              <w:rPr>
                <w:color w:val="000000" w:themeColor="text1"/>
              </w:rPr>
              <w:t>Transplant</w:t>
            </w:r>
          </w:p>
        </w:tc>
        <w:tc>
          <w:tcPr>
            <w:tcW w:w="2744" w:type="dxa"/>
          </w:tcPr>
          <w:p w14:paraId="51DF4D31" w14:textId="77777777" w:rsidR="009518A5" w:rsidRDefault="009518A5" w:rsidP="009518A5">
            <w:r>
              <w:t>12%</w:t>
            </w:r>
          </w:p>
        </w:tc>
        <w:tc>
          <w:tcPr>
            <w:tcW w:w="3221" w:type="dxa"/>
          </w:tcPr>
          <w:p w14:paraId="7EA12012" w14:textId="77777777" w:rsidR="009518A5" w:rsidRPr="00900522" w:rsidRDefault="009518A5" w:rsidP="009518A5">
            <w:hyperlink r:id="rId60" w:history="1">
              <w:r w:rsidRPr="00AF634C">
                <w:rPr>
                  <w:rStyle w:val="Hyperlink"/>
                </w:rPr>
                <w:t>Kamo 2018</w:t>
              </w:r>
            </w:hyperlink>
          </w:p>
        </w:tc>
      </w:tr>
      <w:tr w:rsidR="009518A5" w14:paraId="0F9C73DB" w14:textId="77777777" w:rsidTr="009518A5">
        <w:trPr>
          <w:trHeight w:val="420"/>
        </w:trPr>
        <w:tc>
          <w:tcPr>
            <w:tcW w:w="3325" w:type="dxa"/>
            <w:shd w:val="clear" w:color="auto" w:fill="auto"/>
          </w:tcPr>
          <w:p w14:paraId="066DC922" w14:textId="77777777" w:rsidR="009518A5" w:rsidRDefault="009518A5" w:rsidP="009518A5">
            <w:pPr>
              <w:ind w:left="720"/>
            </w:pPr>
            <w:r>
              <w:lastRenderedPageBreak/>
              <w:t>Resection</w:t>
            </w:r>
          </w:p>
        </w:tc>
        <w:tc>
          <w:tcPr>
            <w:tcW w:w="2744" w:type="dxa"/>
            <w:shd w:val="clear" w:color="auto" w:fill="auto"/>
          </w:tcPr>
          <w:p w14:paraId="283FE574" w14:textId="77777777" w:rsidR="009518A5" w:rsidRDefault="009518A5" w:rsidP="009518A5">
            <w:r>
              <w:t>8%</w:t>
            </w:r>
          </w:p>
        </w:tc>
        <w:tc>
          <w:tcPr>
            <w:tcW w:w="3221" w:type="dxa"/>
            <w:shd w:val="clear" w:color="auto" w:fill="auto"/>
          </w:tcPr>
          <w:p w14:paraId="3652553A" w14:textId="77777777" w:rsidR="009518A5" w:rsidRPr="00E653C7" w:rsidRDefault="009518A5" w:rsidP="009518A5">
            <w:hyperlink r:id="rId61" w:history="1">
              <w:r w:rsidRPr="00AF634C">
                <w:rPr>
                  <w:rStyle w:val="Hyperlink"/>
                </w:rPr>
                <w:t>Zhong 2015</w:t>
              </w:r>
            </w:hyperlink>
          </w:p>
        </w:tc>
      </w:tr>
      <w:tr w:rsidR="009518A5" w14:paraId="2E2BD442" w14:textId="77777777" w:rsidTr="009518A5">
        <w:trPr>
          <w:trHeight w:val="420"/>
        </w:trPr>
        <w:tc>
          <w:tcPr>
            <w:tcW w:w="3325" w:type="dxa"/>
          </w:tcPr>
          <w:p w14:paraId="00154D9D" w14:textId="77777777" w:rsidR="009518A5" w:rsidRDefault="009518A5" w:rsidP="009518A5">
            <w:pPr>
              <w:ind w:left="720"/>
            </w:pPr>
            <w:r>
              <w:t>TACE</w:t>
            </w:r>
          </w:p>
        </w:tc>
        <w:tc>
          <w:tcPr>
            <w:tcW w:w="2744" w:type="dxa"/>
          </w:tcPr>
          <w:p w14:paraId="132D94A6" w14:textId="77777777" w:rsidR="009518A5" w:rsidRDefault="009518A5" w:rsidP="009518A5">
            <w:pPr>
              <w:spacing w:line="259" w:lineRule="auto"/>
            </w:pPr>
            <w:r>
              <w:t>30%</w:t>
            </w:r>
          </w:p>
        </w:tc>
        <w:tc>
          <w:tcPr>
            <w:tcW w:w="3221" w:type="dxa"/>
          </w:tcPr>
          <w:p w14:paraId="56AC61AB" w14:textId="77777777" w:rsidR="009518A5" w:rsidRPr="005A171F" w:rsidRDefault="009518A5" w:rsidP="009518A5">
            <w:hyperlink r:id="rId62" w:history="1">
              <w:r w:rsidRPr="00AF634C">
                <w:rPr>
                  <w:rStyle w:val="Hyperlink"/>
                </w:rPr>
                <w:t>Prince 2020</w:t>
              </w:r>
            </w:hyperlink>
          </w:p>
        </w:tc>
      </w:tr>
      <w:tr w:rsidR="009518A5" w14:paraId="1B952F2B" w14:textId="77777777" w:rsidTr="009518A5">
        <w:trPr>
          <w:trHeight w:val="420"/>
        </w:trPr>
        <w:tc>
          <w:tcPr>
            <w:tcW w:w="3325" w:type="dxa"/>
          </w:tcPr>
          <w:p w14:paraId="627ABA79" w14:textId="77777777" w:rsidR="009518A5" w:rsidRDefault="009518A5" w:rsidP="009518A5">
            <w:pPr>
              <w:ind w:left="720"/>
            </w:pPr>
            <w:r>
              <w:t>Ablation</w:t>
            </w:r>
          </w:p>
        </w:tc>
        <w:tc>
          <w:tcPr>
            <w:tcW w:w="2744" w:type="dxa"/>
          </w:tcPr>
          <w:p w14:paraId="42487DB0" w14:textId="77777777" w:rsidR="009518A5" w:rsidRDefault="009518A5" w:rsidP="009518A5">
            <w:r>
              <w:t>7%</w:t>
            </w:r>
          </w:p>
        </w:tc>
        <w:tc>
          <w:tcPr>
            <w:tcW w:w="3221" w:type="dxa"/>
          </w:tcPr>
          <w:p w14:paraId="720A98CF" w14:textId="77777777" w:rsidR="009518A5" w:rsidRPr="00741505" w:rsidRDefault="009518A5" w:rsidP="009518A5">
            <w:hyperlink r:id="rId63" w:history="1">
              <w:r w:rsidRPr="00AF634C">
                <w:rPr>
                  <w:rStyle w:val="Hyperlink"/>
                </w:rPr>
                <w:t>Tanaka 2023</w:t>
              </w:r>
            </w:hyperlink>
          </w:p>
        </w:tc>
      </w:tr>
      <w:tr w:rsidR="009518A5" w14:paraId="08CC5CDE" w14:textId="77777777" w:rsidTr="009518A5">
        <w:trPr>
          <w:trHeight w:val="420"/>
        </w:trPr>
        <w:tc>
          <w:tcPr>
            <w:tcW w:w="3325" w:type="dxa"/>
          </w:tcPr>
          <w:p w14:paraId="453F42BD" w14:textId="77777777" w:rsidR="009518A5" w:rsidRDefault="009518A5" w:rsidP="009518A5">
            <w:pPr>
              <w:ind w:left="720"/>
            </w:pPr>
            <w:r>
              <w:t>Systemic chemotherapy</w:t>
            </w:r>
          </w:p>
        </w:tc>
        <w:tc>
          <w:tcPr>
            <w:tcW w:w="2744" w:type="dxa"/>
          </w:tcPr>
          <w:p w14:paraId="6397C9FA" w14:textId="77777777" w:rsidR="009518A5" w:rsidRDefault="009518A5" w:rsidP="009518A5">
            <w:r>
              <w:t>69.6%</w:t>
            </w:r>
          </w:p>
        </w:tc>
        <w:tc>
          <w:tcPr>
            <w:tcW w:w="3221" w:type="dxa"/>
          </w:tcPr>
          <w:p w14:paraId="2D5AA082" w14:textId="37B5EACF" w:rsidR="009518A5" w:rsidRPr="00DD2928" w:rsidRDefault="009518A5" w:rsidP="009518A5">
            <w:r>
              <w:t>Derived from SEER-Medicare database</w:t>
            </w:r>
          </w:p>
        </w:tc>
      </w:tr>
      <w:tr w:rsidR="009518A5" w14:paraId="322466F7" w14:textId="77777777" w:rsidTr="009518A5">
        <w:trPr>
          <w:trHeight w:val="420"/>
        </w:trPr>
        <w:tc>
          <w:tcPr>
            <w:tcW w:w="3325" w:type="dxa"/>
          </w:tcPr>
          <w:p w14:paraId="2313689F" w14:textId="77777777" w:rsidR="009518A5" w:rsidRDefault="009518A5" w:rsidP="009518A5">
            <w:pPr>
              <w:ind w:left="720"/>
            </w:pPr>
            <w:r>
              <w:t>Radiotherapy</w:t>
            </w:r>
          </w:p>
        </w:tc>
        <w:tc>
          <w:tcPr>
            <w:tcW w:w="2744" w:type="dxa"/>
          </w:tcPr>
          <w:p w14:paraId="5D5A9B70" w14:textId="77777777" w:rsidR="009518A5" w:rsidRDefault="009518A5" w:rsidP="009518A5">
            <w:r>
              <w:t>20.6%</w:t>
            </w:r>
          </w:p>
        </w:tc>
        <w:tc>
          <w:tcPr>
            <w:tcW w:w="3221" w:type="dxa"/>
          </w:tcPr>
          <w:p w14:paraId="7809FC63" w14:textId="77777777" w:rsidR="009518A5" w:rsidRPr="00076A2C" w:rsidRDefault="009518A5" w:rsidP="009518A5">
            <w:hyperlink r:id="rId64" w:history="1">
              <w:r w:rsidRPr="00AF634C">
                <w:rPr>
                  <w:rStyle w:val="Hyperlink"/>
                </w:rPr>
                <w:t>Prince 2020</w:t>
              </w:r>
            </w:hyperlink>
          </w:p>
        </w:tc>
      </w:tr>
      <w:tr w:rsidR="009518A5" w14:paraId="5C3ED63B" w14:textId="77777777" w:rsidTr="009518A5">
        <w:trPr>
          <w:trHeight w:val="420"/>
        </w:trPr>
        <w:tc>
          <w:tcPr>
            <w:tcW w:w="3325" w:type="dxa"/>
          </w:tcPr>
          <w:p w14:paraId="7310DB3C" w14:textId="77777777" w:rsidR="009518A5" w:rsidRDefault="009518A5" w:rsidP="009518A5">
            <w:pPr>
              <w:rPr>
                <w:b/>
                <w:bCs/>
              </w:rPr>
            </w:pPr>
            <w:proofErr w:type="gramStart"/>
            <w:r>
              <w:t>Late stage</w:t>
            </w:r>
            <w:proofErr w:type="gramEnd"/>
            <w:r>
              <w:t xml:space="preserve"> HCC</w:t>
            </w:r>
          </w:p>
        </w:tc>
        <w:tc>
          <w:tcPr>
            <w:tcW w:w="2744" w:type="dxa"/>
          </w:tcPr>
          <w:p w14:paraId="61FCE986" w14:textId="77777777" w:rsidR="009518A5" w:rsidRDefault="009518A5" w:rsidP="009518A5">
            <w:pPr>
              <w:rPr>
                <w:b/>
                <w:bCs/>
              </w:rPr>
            </w:pPr>
          </w:p>
        </w:tc>
        <w:tc>
          <w:tcPr>
            <w:tcW w:w="3221" w:type="dxa"/>
          </w:tcPr>
          <w:p w14:paraId="3E97AFC4" w14:textId="77777777" w:rsidR="009518A5" w:rsidRDefault="009518A5" w:rsidP="009518A5">
            <w:pPr>
              <w:rPr>
                <w:b/>
                <w:bCs/>
              </w:rPr>
            </w:pPr>
          </w:p>
        </w:tc>
      </w:tr>
      <w:tr w:rsidR="009518A5" w14:paraId="406AE45B" w14:textId="77777777" w:rsidTr="009518A5">
        <w:trPr>
          <w:trHeight w:val="420"/>
        </w:trPr>
        <w:tc>
          <w:tcPr>
            <w:tcW w:w="3325" w:type="dxa"/>
          </w:tcPr>
          <w:p w14:paraId="71AD8214" w14:textId="77777777" w:rsidR="009518A5" w:rsidRDefault="009518A5" w:rsidP="009518A5">
            <w:pPr>
              <w:ind w:left="720"/>
            </w:pPr>
            <w:r>
              <w:t>TACE</w:t>
            </w:r>
          </w:p>
        </w:tc>
        <w:tc>
          <w:tcPr>
            <w:tcW w:w="2744" w:type="dxa"/>
          </w:tcPr>
          <w:p w14:paraId="246B6B78" w14:textId="77777777" w:rsidR="009518A5" w:rsidRDefault="009518A5" w:rsidP="009518A5">
            <w:r>
              <w:t>66.7%</w:t>
            </w:r>
          </w:p>
        </w:tc>
        <w:tc>
          <w:tcPr>
            <w:tcW w:w="3221" w:type="dxa"/>
          </w:tcPr>
          <w:p w14:paraId="48069ABB" w14:textId="77777777" w:rsidR="009518A5" w:rsidRPr="00940076" w:rsidRDefault="009518A5" w:rsidP="009518A5">
            <w:hyperlink r:id="rId65" w:history="1">
              <w:r w:rsidRPr="00AF634C">
                <w:rPr>
                  <w:rStyle w:val="Hyperlink"/>
                </w:rPr>
                <w:t>Kong 2018</w:t>
              </w:r>
            </w:hyperlink>
          </w:p>
        </w:tc>
      </w:tr>
      <w:tr w:rsidR="009518A5" w14:paraId="6FF2622E" w14:textId="77777777" w:rsidTr="009518A5">
        <w:trPr>
          <w:trHeight w:val="420"/>
        </w:trPr>
        <w:tc>
          <w:tcPr>
            <w:tcW w:w="3325" w:type="dxa"/>
          </w:tcPr>
          <w:p w14:paraId="5FC74A87" w14:textId="77777777" w:rsidR="009518A5" w:rsidRDefault="009518A5" w:rsidP="009518A5">
            <w:pPr>
              <w:ind w:left="720"/>
            </w:pPr>
            <w:r>
              <w:t>Ablation</w:t>
            </w:r>
          </w:p>
        </w:tc>
        <w:tc>
          <w:tcPr>
            <w:tcW w:w="2744" w:type="dxa"/>
          </w:tcPr>
          <w:p w14:paraId="6C45B6C0" w14:textId="77777777" w:rsidR="009518A5" w:rsidRDefault="009518A5" w:rsidP="009518A5">
            <w:r>
              <w:t>26.9%</w:t>
            </w:r>
          </w:p>
        </w:tc>
        <w:tc>
          <w:tcPr>
            <w:tcW w:w="3221" w:type="dxa"/>
          </w:tcPr>
          <w:p w14:paraId="4980DEDB" w14:textId="77777777" w:rsidR="009518A5" w:rsidRPr="004D6F02" w:rsidRDefault="009518A5" w:rsidP="009518A5">
            <w:hyperlink r:id="rId66" w:history="1">
              <w:r w:rsidRPr="00AF634C">
                <w:rPr>
                  <w:rStyle w:val="Hyperlink"/>
                </w:rPr>
                <w:t>Dai 2014</w:t>
              </w:r>
            </w:hyperlink>
          </w:p>
        </w:tc>
      </w:tr>
      <w:tr w:rsidR="009518A5" w14:paraId="0DDF63E3" w14:textId="77777777" w:rsidTr="009518A5">
        <w:trPr>
          <w:trHeight w:val="420"/>
        </w:trPr>
        <w:tc>
          <w:tcPr>
            <w:tcW w:w="3325" w:type="dxa"/>
          </w:tcPr>
          <w:p w14:paraId="40AD6AC2" w14:textId="77777777" w:rsidR="009518A5" w:rsidRDefault="009518A5" w:rsidP="009518A5">
            <w:pPr>
              <w:ind w:left="720"/>
            </w:pPr>
            <w:r>
              <w:t>Systemic chemotherapy</w:t>
            </w:r>
          </w:p>
        </w:tc>
        <w:tc>
          <w:tcPr>
            <w:tcW w:w="2744" w:type="dxa"/>
          </w:tcPr>
          <w:p w14:paraId="175E6FC2" w14:textId="77777777" w:rsidR="009518A5" w:rsidRDefault="009518A5" w:rsidP="009518A5">
            <w:r>
              <w:t xml:space="preserve">86.2% </w:t>
            </w:r>
          </w:p>
        </w:tc>
        <w:tc>
          <w:tcPr>
            <w:tcW w:w="3221" w:type="dxa"/>
          </w:tcPr>
          <w:p w14:paraId="1CF21369" w14:textId="1A73F1CC" w:rsidR="009518A5" w:rsidRPr="004D0389" w:rsidRDefault="009518A5" w:rsidP="009518A5">
            <w:r>
              <w:t>Derived from SEER-Medicare database</w:t>
            </w:r>
          </w:p>
        </w:tc>
      </w:tr>
      <w:tr w:rsidR="009518A5" w14:paraId="06822CA6" w14:textId="77777777" w:rsidTr="009518A5">
        <w:trPr>
          <w:trHeight w:val="420"/>
        </w:trPr>
        <w:tc>
          <w:tcPr>
            <w:tcW w:w="3325" w:type="dxa"/>
          </w:tcPr>
          <w:p w14:paraId="4E07AC8B" w14:textId="77777777" w:rsidR="009518A5" w:rsidRDefault="009518A5" w:rsidP="009518A5">
            <w:pPr>
              <w:ind w:left="720"/>
            </w:pPr>
            <w:r>
              <w:t>Radiotherapy</w:t>
            </w:r>
          </w:p>
        </w:tc>
        <w:tc>
          <w:tcPr>
            <w:tcW w:w="2744" w:type="dxa"/>
          </w:tcPr>
          <w:p w14:paraId="38069899" w14:textId="77777777" w:rsidR="009518A5" w:rsidRDefault="009518A5" w:rsidP="009518A5">
            <w:r>
              <w:t>68.7%</w:t>
            </w:r>
          </w:p>
        </w:tc>
        <w:tc>
          <w:tcPr>
            <w:tcW w:w="3221" w:type="dxa"/>
          </w:tcPr>
          <w:p w14:paraId="7018E7D1" w14:textId="77777777" w:rsidR="009518A5" w:rsidRPr="00A972F3" w:rsidRDefault="009518A5" w:rsidP="009518A5">
            <w:hyperlink r:id="rId67" w:history="1">
              <w:r w:rsidRPr="00AF634C">
                <w:rPr>
                  <w:rStyle w:val="Hyperlink"/>
                </w:rPr>
                <w:t>Lin 2019</w:t>
              </w:r>
            </w:hyperlink>
          </w:p>
        </w:tc>
      </w:tr>
    </w:tbl>
    <w:p w14:paraId="113101B5" w14:textId="77777777" w:rsidR="009518A5" w:rsidRDefault="009518A5" w:rsidP="00B136D1">
      <w:pPr>
        <w:rPr>
          <w:rStyle w:val="normaltextrun"/>
          <w:rFonts w:ascii="Calibri" w:hAnsi="Calibri" w:cs="Calibri"/>
          <w:b/>
          <w:bCs/>
          <w:i/>
          <w:iCs/>
        </w:rPr>
      </w:pPr>
    </w:p>
    <w:p w14:paraId="383D335D" w14:textId="77777777" w:rsidR="007E145D" w:rsidRPr="00B136D1" w:rsidRDefault="007E145D" w:rsidP="00B136D1"/>
    <w:sectPr w:rsidR="007E145D" w:rsidRPr="00B1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32FDF"/>
    <w:multiLevelType w:val="hybridMultilevel"/>
    <w:tmpl w:val="7A929EF2"/>
    <w:lvl w:ilvl="0" w:tplc="6316DC34">
      <w:start w:val="238"/>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0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D1"/>
    <w:rsid w:val="0000482C"/>
    <w:rsid w:val="000133FB"/>
    <w:rsid w:val="000154C4"/>
    <w:rsid w:val="0007363B"/>
    <w:rsid w:val="001453A5"/>
    <w:rsid w:val="00161C02"/>
    <w:rsid w:val="003630DC"/>
    <w:rsid w:val="003C52FF"/>
    <w:rsid w:val="00433382"/>
    <w:rsid w:val="0055759A"/>
    <w:rsid w:val="00634904"/>
    <w:rsid w:val="00670DAD"/>
    <w:rsid w:val="006B2A3F"/>
    <w:rsid w:val="00742D70"/>
    <w:rsid w:val="007E145D"/>
    <w:rsid w:val="009518A5"/>
    <w:rsid w:val="00986962"/>
    <w:rsid w:val="00993993"/>
    <w:rsid w:val="00A14042"/>
    <w:rsid w:val="00A24E3B"/>
    <w:rsid w:val="00A47BA1"/>
    <w:rsid w:val="00B136D1"/>
    <w:rsid w:val="00C30F55"/>
    <w:rsid w:val="00D76D58"/>
    <w:rsid w:val="00E510A7"/>
    <w:rsid w:val="00E66248"/>
    <w:rsid w:val="00E82155"/>
    <w:rsid w:val="00FA7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2981"/>
  <w15:chartTrackingRefBased/>
  <w15:docId w15:val="{9413FB17-B798-46E8-9178-884F461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D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36D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136D1"/>
  </w:style>
  <w:style w:type="table" w:styleId="TableGrid">
    <w:name w:val="Table Grid"/>
    <w:basedOn w:val="TableNormal"/>
    <w:uiPriority w:val="39"/>
    <w:rsid w:val="00B136D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D1"/>
    <w:rPr>
      <w:color w:val="0000FF"/>
      <w:u w:val="single"/>
    </w:rPr>
  </w:style>
  <w:style w:type="character" w:styleId="FollowedHyperlink">
    <w:name w:val="FollowedHyperlink"/>
    <w:basedOn w:val="DefaultParagraphFont"/>
    <w:uiPriority w:val="99"/>
    <w:semiHidden/>
    <w:unhideWhenUsed/>
    <w:rsid w:val="00B136D1"/>
    <w:rPr>
      <w:color w:val="954F72" w:themeColor="followedHyperlink"/>
      <w:u w:val="single"/>
    </w:rPr>
  </w:style>
  <w:style w:type="paragraph" w:styleId="ListParagraph">
    <w:name w:val="List Paragraph"/>
    <w:basedOn w:val="Normal"/>
    <w:uiPriority w:val="34"/>
    <w:qFormat/>
    <w:rsid w:val="00993993"/>
    <w:pPr>
      <w:spacing w:after="160" w:line="278" w:lineRule="auto"/>
      <w:ind w:left="720"/>
      <w:contextualSpacing/>
    </w:pPr>
    <w:rPr>
      <w:rFonts w:eastAsiaTheme="minorEastAsia"/>
      <w:lang w:eastAsia="ja-JP"/>
    </w:rPr>
  </w:style>
  <w:style w:type="paragraph" w:styleId="CommentText">
    <w:name w:val="annotation text"/>
    <w:basedOn w:val="Normal"/>
    <w:link w:val="CommentTextChar"/>
    <w:uiPriority w:val="99"/>
    <w:unhideWhenUsed/>
    <w:rsid w:val="00993993"/>
    <w:rPr>
      <w:sz w:val="20"/>
      <w:szCs w:val="20"/>
    </w:rPr>
  </w:style>
  <w:style w:type="character" w:customStyle="1" w:styleId="CommentTextChar">
    <w:name w:val="Comment Text Char"/>
    <w:basedOn w:val="DefaultParagraphFont"/>
    <w:link w:val="CommentText"/>
    <w:uiPriority w:val="99"/>
    <w:rsid w:val="00993993"/>
    <w:rPr>
      <w:sz w:val="20"/>
      <w:szCs w:val="20"/>
    </w:rPr>
  </w:style>
  <w:style w:type="character" w:styleId="CommentReference">
    <w:name w:val="annotation reference"/>
    <w:basedOn w:val="DefaultParagraphFont"/>
    <w:uiPriority w:val="99"/>
    <w:semiHidden/>
    <w:unhideWhenUsed/>
    <w:rsid w:val="0099399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mc.ncbi.nlm.nih.gov/articles/PMC10026948/" TargetMode="External"/><Relationship Id="rId21" Type="http://schemas.openxmlformats.org/officeDocument/2006/relationships/hyperlink" Target="https://pubmed.ncbi.nlm.nih.gov/37395730/" TargetMode="External"/><Relationship Id="rId42" Type="http://schemas.openxmlformats.org/officeDocument/2006/relationships/hyperlink" Target="https://www.sciencedirect.com/science/article/pii/S1542356522010953" TargetMode="External"/><Relationship Id="rId47" Type="http://schemas.openxmlformats.org/officeDocument/2006/relationships/hyperlink" Target="https://pmc.ncbi.nlm.nih.gov/articles/PMC6279617/" TargetMode="External"/><Relationship Id="rId63" Type="http://schemas.openxmlformats.org/officeDocument/2006/relationships/hyperlink" Target="https://www.nature.com/articles/s41598-023-43516-w" TargetMode="External"/><Relationship Id="rId68" Type="http://schemas.openxmlformats.org/officeDocument/2006/relationships/fontTable" Target="fontTable.xml"/><Relationship Id="rId7" Type="http://schemas.openxmlformats.org/officeDocument/2006/relationships/hyperlink" Target="https://pubmed.ncbi.nlm.nih.gov/18822004/" TargetMode="External"/><Relationship Id="rId2" Type="http://schemas.openxmlformats.org/officeDocument/2006/relationships/styles" Target="styles.xml"/><Relationship Id="rId16" Type="http://schemas.openxmlformats.org/officeDocument/2006/relationships/hyperlink" Target="https://pmc.ncbi.nlm.nih.gov/articles/PMC6279617/" TargetMode="External"/><Relationship Id="rId29" Type="http://schemas.openxmlformats.org/officeDocument/2006/relationships/hyperlink" Target="https://pubmed.ncbi.nlm.nih.gov/27521507/" TargetMode="External"/><Relationship Id="rId11" Type="http://schemas.openxmlformats.org/officeDocument/2006/relationships/hyperlink" Target="https://www.sciencedirect.com/science/article/pii/S1542356524001988" TargetMode="External"/><Relationship Id="rId24" Type="http://schemas.openxmlformats.org/officeDocument/2006/relationships/hyperlink" Target="https://pmc.ncbi.nlm.nih.gov/articles/PMC5397356/" TargetMode="External"/><Relationship Id="rId32" Type="http://schemas.openxmlformats.org/officeDocument/2006/relationships/hyperlink" Target="https://pubmed.ncbi.nlm.nih.gov/38683607/" TargetMode="External"/><Relationship Id="rId37" Type="http://schemas.openxmlformats.org/officeDocument/2006/relationships/hyperlink" Target="https://pmc.ncbi.nlm.nih.gov/articles/PMC7541544/" TargetMode="External"/><Relationship Id="rId40" Type="http://schemas.openxmlformats.org/officeDocument/2006/relationships/hyperlink" Target="https://pmc.ncbi.nlm.nih.gov/articles/PMC7541544/" TargetMode="External"/><Relationship Id="rId45" Type="http://schemas.openxmlformats.org/officeDocument/2006/relationships/hyperlink" Target="https://pubmed.ncbi.nlm.nih.gov/18822004/" TargetMode="External"/><Relationship Id="rId53" Type="http://schemas.openxmlformats.org/officeDocument/2006/relationships/hyperlink" Target="https://journals.lww.com/jcge/fulltext/2024/08000/incidence_of_cirrhosis_and_hepatocellular.13.aspx" TargetMode="External"/><Relationship Id="rId58" Type="http://schemas.openxmlformats.org/officeDocument/2006/relationships/hyperlink" Target="https://jamanetwork.com/journals/jamanetworkopen/fullarticle/2784529" TargetMode="External"/><Relationship Id="rId66" Type="http://schemas.openxmlformats.org/officeDocument/2006/relationships/hyperlink" Target="https://pubmed.ncbi.nlm.nih.gov/25284590/" TargetMode="External"/><Relationship Id="rId5" Type="http://schemas.openxmlformats.org/officeDocument/2006/relationships/hyperlink" Target="https://pubmed.ncbi.nlm.nih.gov/22846843/" TargetMode="External"/><Relationship Id="rId61" Type="http://schemas.openxmlformats.org/officeDocument/2006/relationships/hyperlink" Target="https://www.nature.com/articles/nrclinonc.2014.122-c3" TargetMode="External"/><Relationship Id="rId19" Type="http://schemas.openxmlformats.org/officeDocument/2006/relationships/hyperlink" Target="https://pubmed.ncbi.nlm.nih.gov/20209604/" TargetMode="External"/><Relationship Id="rId14" Type="http://schemas.openxmlformats.org/officeDocument/2006/relationships/hyperlink" Target="https://journals.lww.com/hep/fulltext/2016/07000/global_epidemiology_of_nonalcoholic_fatty_liver.14.aspx" TargetMode="External"/><Relationship Id="rId22" Type="http://schemas.openxmlformats.org/officeDocument/2006/relationships/hyperlink" Target="https://pmc.ncbi.nlm.nih.gov/articles/PMC6279617/" TargetMode="External"/><Relationship Id="rId27" Type="http://schemas.openxmlformats.org/officeDocument/2006/relationships/hyperlink" Target="https://pubmed.ncbi.nlm.nih.gov/35513235/" TargetMode="External"/><Relationship Id="rId30" Type="http://schemas.openxmlformats.org/officeDocument/2006/relationships/hyperlink" Target="https://pubmed.ncbi.nlm.nih.gov/27521507/" TargetMode="External"/><Relationship Id="rId35" Type="http://schemas.openxmlformats.org/officeDocument/2006/relationships/hyperlink" Target="https://pmc.ncbi.nlm.nih.gov/articles/PMC7541544/" TargetMode="External"/><Relationship Id="rId43" Type="http://schemas.openxmlformats.org/officeDocument/2006/relationships/hyperlink" Target="https://acsjournals.onlinelibrary.wiley.com/doi/full/10.1002/cncr.29855" TargetMode="External"/><Relationship Id="rId48" Type="http://schemas.openxmlformats.org/officeDocument/2006/relationships/hyperlink" Target="https://journals.lww.com/jcge/fulltext/2024/08000/incidence_of_cirrhosis_and_hepatocellular.13.aspx" TargetMode="External"/><Relationship Id="rId56" Type="http://schemas.openxmlformats.org/officeDocument/2006/relationships/hyperlink" Target="https://pubmed.ncbi.nlm.nih.gov/35234371/" TargetMode="External"/><Relationship Id="rId64" Type="http://schemas.openxmlformats.org/officeDocument/2006/relationships/hyperlink" Target="https://pubmed.ncbi.nlm.nih.gov/33224278/" TargetMode="External"/><Relationship Id="rId69" Type="http://schemas.openxmlformats.org/officeDocument/2006/relationships/theme" Target="theme/theme1.xml"/><Relationship Id="rId8" Type="http://schemas.openxmlformats.org/officeDocument/2006/relationships/hyperlink" Target="https://pubmed.ncbi.nlm.nih.gov/30344803/" TargetMode="External"/><Relationship Id="rId51" Type="http://schemas.openxmlformats.org/officeDocument/2006/relationships/hyperlink" Target="https://journals.lww.com/jcge/fulltext/2024/08000/incidence_of_cirrhosis_and_hepatocellular.13.aspx" TargetMode="External"/><Relationship Id="rId3" Type="http://schemas.openxmlformats.org/officeDocument/2006/relationships/settings" Target="settings.xml"/><Relationship Id="rId12" Type="http://schemas.openxmlformats.org/officeDocument/2006/relationships/hyperlink" Target="https://journals.lww.com/jcge/fulltext/2024/08000/incidence_of_cirrhosis_and_hepatocellular.13.aspx" TargetMode="External"/><Relationship Id="rId17" Type="http://schemas.openxmlformats.org/officeDocument/2006/relationships/hyperlink" Target="https://www.cghjournal.org/article/S1542-3565(21)00505-X/fulltext" TargetMode="External"/><Relationship Id="rId25" Type="http://schemas.openxmlformats.org/officeDocument/2006/relationships/hyperlink" Target="https://journals.lww.com/hep/fulltext/2016/07000/global_epidemiology_of_nonalcoholic_fatty_liver.14.aspx" TargetMode="External"/><Relationship Id="rId33" Type="http://schemas.openxmlformats.org/officeDocument/2006/relationships/hyperlink" Target="https://pmc.ncbi.nlm.nih.gov/articles/PMC5013331/" TargetMode="External"/><Relationship Id="rId38" Type="http://schemas.openxmlformats.org/officeDocument/2006/relationships/hyperlink" Target="https://pmc.ncbi.nlm.nih.gov/articles/PMC2657973/" TargetMode="External"/><Relationship Id="rId46" Type="http://schemas.openxmlformats.org/officeDocument/2006/relationships/hyperlink" Target="https://journals.lww.com/jcge/fulltext/2024/08000/incidence_of_cirrhosis_and_hepatocellular.13.aspx" TargetMode="External"/><Relationship Id="rId59" Type="http://schemas.openxmlformats.org/officeDocument/2006/relationships/hyperlink" Target="https://pubmed.ncbi.nlm.nih.gov/30805950/" TargetMode="External"/><Relationship Id="rId67" Type="http://schemas.openxmlformats.org/officeDocument/2006/relationships/hyperlink" Target="https://pubmed.ncbi.nlm.nih.gov/30656831/" TargetMode="External"/><Relationship Id="rId20" Type="http://schemas.openxmlformats.org/officeDocument/2006/relationships/hyperlink" Target="https://www.cghjournal.org/article/S1542-3565(21)00505-X/fulltext" TargetMode="External"/><Relationship Id="rId41" Type="http://schemas.openxmlformats.org/officeDocument/2006/relationships/hyperlink" Target="https://pubmed.ncbi.nlm.nih.gov/37250870/" TargetMode="External"/><Relationship Id="rId54" Type="http://schemas.openxmlformats.org/officeDocument/2006/relationships/hyperlink" Target="https://pmc.ncbi.nlm.nih.gov/articles/PMC6279617/" TargetMode="External"/><Relationship Id="rId62" Type="http://schemas.openxmlformats.org/officeDocument/2006/relationships/hyperlink" Target="https://pubmed.ncbi.nlm.nih.gov/33224278/" TargetMode="External"/><Relationship Id="rId1" Type="http://schemas.openxmlformats.org/officeDocument/2006/relationships/numbering" Target="numbering.xml"/><Relationship Id="rId6" Type="http://schemas.openxmlformats.org/officeDocument/2006/relationships/hyperlink" Target="https://pubmed.ncbi.nlm.nih.gov/26784271/" TargetMode="External"/><Relationship Id="rId15" Type="http://schemas.openxmlformats.org/officeDocument/2006/relationships/hyperlink" Target="https://journals.lww.com/ajg/abstract/2012/02000/large_scale_long_term_follow_up_study_of_japanese.19.aspx" TargetMode="External"/><Relationship Id="rId23" Type="http://schemas.openxmlformats.org/officeDocument/2006/relationships/hyperlink" Target="https://pmc.ncbi.nlm.nih.gov/articles/PMC8078581/" TargetMode="External"/><Relationship Id="rId28" Type="http://schemas.openxmlformats.org/officeDocument/2006/relationships/hyperlink" Target="https://pubmed.ncbi.nlm.nih.gov/37378630/" TargetMode="External"/><Relationship Id="rId36" Type="http://schemas.openxmlformats.org/officeDocument/2006/relationships/hyperlink" Target="https://pmc.ncbi.nlm.nih.gov/articles/PMC7541544/" TargetMode="External"/><Relationship Id="rId49" Type="http://schemas.openxmlformats.org/officeDocument/2006/relationships/hyperlink" Target="https://pmc.ncbi.nlm.nih.gov/articles/PMC6279617/" TargetMode="External"/><Relationship Id="rId57" Type="http://schemas.openxmlformats.org/officeDocument/2006/relationships/hyperlink" Target="https://pubmed.ncbi.nlm.nih.gov/28263954/" TargetMode="External"/><Relationship Id="rId10" Type="http://schemas.openxmlformats.org/officeDocument/2006/relationships/hyperlink" Target="https://pmc.ncbi.nlm.nih.gov/articles/PMC11016479/" TargetMode="External"/><Relationship Id="rId31" Type="http://schemas.openxmlformats.org/officeDocument/2006/relationships/hyperlink" Target="https://pubmed.ncbi.nlm.nih.gov/27521507/" TargetMode="External"/><Relationship Id="rId44" Type="http://schemas.openxmlformats.org/officeDocument/2006/relationships/hyperlink" Target="https://acsjournals.onlinelibrary.wiley.com/doi/full/10.1002/cncr.29855" TargetMode="External"/><Relationship Id="rId52" Type="http://schemas.openxmlformats.org/officeDocument/2006/relationships/hyperlink" Target="https://pmc.ncbi.nlm.nih.gov/articles/PMC6279617/" TargetMode="External"/><Relationship Id="rId60" Type="http://schemas.openxmlformats.org/officeDocument/2006/relationships/hyperlink" Target="https://pmc.ncbi.nlm.nih.gov/articles/PMC5985555/" TargetMode="External"/><Relationship Id="rId65" Type="http://schemas.openxmlformats.org/officeDocument/2006/relationships/hyperlink" Target="https://pubmed.ncbi.nlm.nih.gov/30113483/" TargetMode="External"/><Relationship Id="rId4" Type="http://schemas.openxmlformats.org/officeDocument/2006/relationships/webSettings" Target="webSettings.xml"/><Relationship Id="rId9" Type="http://schemas.openxmlformats.org/officeDocument/2006/relationships/hyperlink" Target="https://karger.com/lic/article/13/6/643/909485/Cost-Effectiveness-of-a-Biomarker-Based-Screening" TargetMode="External"/><Relationship Id="rId13" Type="http://schemas.openxmlformats.org/officeDocument/2006/relationships/hyperlink" Target="https://pubmed.ncbi.nlm.nih.gov/37395730/" TargetMode="External"/><Relationship Id="rId18" Type="http://schemas.openxmlformats.org/officeDocument/2006/relationships/hyperlink" Target="https://journals.lww.com/jcge/fulltext/2024/08000/incidence_of_cirrhosis_and_hepatocellular.13.aspx" TargetMode="External"/><Relationship Id="rId39" Type="http://schemas.openxmlformats.org/officeDocument/2006/relationships/hyperlink" Target="https://pmc.ncbi.nlm.nih.gov/articles/PMC7541544/" TargetMode="External"/><Relationship Id="rId34" Type="http://schemas.openxmlformats.org/officeDocument/2006/relationships/hyperlink" Target="https://bmjopen.bmj.com/content/14/11/e080549.abstract" TargetMode="External"/><Relationship Id="rId50" Type="http://schemas.openxmlformats.org/officeDocument/2006/relationships/hyperlink" Target="https://pubmed.ncbi.nlm.nih.gov/26784271/" TargetMode="External"/><Relationship Id="rId55" Type="http://schemas.openxmlformats.org/officeDocument/2006/relationships/hyperlink" Target="https://www.cancer.org/cancer/types/liver-cancer/detection-diagnosis-staging/survival-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17</cp:revision>
  <dcterms:created xsi:type="dcterms:W3CDTF">2025-01-30T21:19:00Z</dcterms:created>
  <dcterms:modified xsi:type="dcterms:W3CDTF">2025-02-07T23:03:00Z</dcterms:modified>
</cp:coreProperties>
</file>