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35A6E" w14:textId="110ED344" w:rsidR="007E145D" w:rsidRPr="005E585A" w:rsidRDefault="005E585A">
      <w:pPr>
        <w:rPr>
          <w:rFonts w:ascii="Times New Roman" w:hAnsi="Times New Roman" w:cs="Times New Roman"/>
          <w:b/>
          <w:bCs/>
          <w:sz w:val="24"/>
          <w:szCs w:val="24"/>
        </w:rPr>
      </w:pPr>
      <w:r w:rsidRPr="005E585A">
        <w:rPr>
          <w:rFonts w:ascii="Times New Roman" w:hAnsi="Times New Roman" w:cs="Times New Roman"/>
          <w:b/>
          <w:bCs/>
          <w:sz w:val="24"/>
          <w:szCs w:val="24"/>
        </w:rPr>
        <w:t>Methods</w:t>
      </w:r>
    </w:p>
    <w:p w14:paraId="346F3313" w14:textId="5E8DD24D" w:rsidR="00A36B24" w:rsidRPr="00CE671C" w:rsidRDefault="005E585A">
      <w:pPr>
        <w:rPr>
          <w:rFonts w:ascii="Times New Roman" w:hAnsi="Times New Roman" w:cs="Times New Roman"/>
          <w:b/>
          <w:bCs/>
          <w:i/>
          <w:iCs/>
          <w:sz w:val="24"/>
          <w:szCs w:val="24"/>
        </w:rPr>
      </w:pPr>
      <w:r w:rsidRPr="00CE671C">
        <w:rPr>
          <w:rFonts w:ascii="Times New Roman" w:hAnsi="Times New Roman" w:cs="Times New Roman"/>
          <w:b/>
          <w:bCs/>
          <w:i/>
          <w:iCs/>
          <w:sz w:val="24"/>
          <w:szCs w:val="24"/>
        </w:rPr>
        <w:t>Comparators</w:t>
      </w:r>
    </w:p>
    <w:p w14:paraId="1F3D57A5" w14:textId="01AE0439" w:rsidR="00DB1EE1" w:rsidRDefault="00A36B24">
      <w:pPr>
        <w:rPr>
          <w:rFonts w:ascii="Times New Roman" w:hAnsi="Times New Roman" w:cs="Times New Roman"/>
          <w:sz w:val="24"/>
          <w:szCs w:val="24"/>
        </w:rPr>
      </w:pPr>
      <w:r>
        <w:rPr>
          <w:rFonts w:ascii="Times New Roman" w:hAnsi="Times New Roman" w:cs="Times New Roman"/>
          <w:sz w:val="24"/>
          <w:szCs w:val="24"/>
        </w:rPr>
        <w:t xml:space="preserve">In this study, we evaluate the cost-effectiveness of </w:t>
      </w:r>
      <w:r w:rsidR="00072EBF">
        <w:rPr>
          <w:rFonts w:ascii="Times New Roman" w:hAnsi="Times New Roman" w:cs="Times New Roman"/>
          <w:sz w:val="24"/>
          <w:szCs w:val="24"/>
        </w:rPr>
        <w:t xml:space="preserve">HCC </w:t>
      </w:r>
      <w:r>
        <w:rPr>
          <w:rFonts w:ascii="Times New Roman" w:hAnsi="Times New Roman" w:cs="Times New Roman"/>
          <w:sz w:val="24"/>
          <w:szCs w:val="24"/>
        </w:rPr>
        <w:t>screening</w:t>
      </w:r>
      <w:r w:rsidR="00072EBF">
        <w:rPr>
          <w:rFonts w:ascii="Times New Roman" w:hAnsi="Times New Roman" w:cs="Times New Roman"/>
          <w:sz w:val="24"/>
          <w:szCs w:val="24"/>
        </w:rPr>
        <w:t xml:space="preserve"> </w:t>
      </w:r>
      <w:r>
        <w:rPr>
          <w:rFonts w:ascii="Times New Roman" w:hAnsi="Times New Roman" w:cs="Times New Roman"/>
          <w:sz w:val="24"/>
          <w:szCs w:val="24"/>
        </w:rPr>
        <w:t xml:space="preserve">in patients with non-cirrhotic MASLD. </w:t>
      </w:r>
      <w:r w:rsidR="00FD1504">
        <w:rPr>
          <w:rFonts w:ascii="Times New Roman" w:hAnsi="Times New Roman" w:cs="Times New Roman"/>
          <w:sz w:val="24"/>
          <w:szCs w:val="24"/>
        </w:rPr>
        <w:t>The control arm</w:t>
      </w:r>
      <w:r w:rsidR="00A70D65">
        <w:rPr>
          <w:rFonts w:ascii="Times New Roman" w:hAnsi="Times New Roman" w:cs="Times New Roman"/>
          <w:sz w:val="24"/>
          <w:szCs w:val="24"/>
        </w:rPr>
        <w:t xml:space="preserve"> does not receive routine HCC</w:t>
      </w:r>
      <w:r w:rsidR="00FD1504">
        <w:rPr>
          <w:rFonts w:ascii="Times New Roman" w:hAnsi="Times New Roman" w:cs="Times New Roman"/>
          <w:sz w:val="24"/>
          <w:szCs w:val="24"/>
        </w:rPr>
        <w:t xml:space="preserve"> screening </w:t>
      </w:r>
      <w:r w:rsidR="00A70D65">
        <w:rPr>
          <w:rFonts w:ascii="Times New Roman" w:hAnsi="Times New Roman" w:cs="Times New Roman"/>
          <w:sz w:val="24"/>
          <w:szCs w:val="24"/>
        </w:rPr>
        <w:t>while</w:t>
      </w:r>
      <w:r w:rsidR="00FD1504">
        <w:rPr>
          <w:rFonts w:ascii="Times New Roman" w:hAnsi="Times New Roman" w:cs="Times New Roman"/>
          <w:sz w:val="24"/>
          <w:szCs w:val="24"/>
        </w:rPr>
        <w:t xml:space="preserve"> the intervention arm receives semiannual abdominal ultrasound and AFP test. </w:t>
      </w:r>
      <w:r w:rsidR="00DB1EE1" w:rsidRPr="00DB1EE1">
        <w:rPr>
          <w:rFonts w:ascii="Times New Roman" w:hAnsi="Times New Roman" w:cs="Times New Roman"/>
          <w:sz w:val="24"/>
          <w:szCs w:val="24"/>
        </w:rPr>
        <w:t xml:space="preserve">We conduct sub-group analyses to determine the cost effectiveness of conducting HCC screening in patients with </w:t>
      </w:r>
      <w:r w:rsidR="00DB1EE1" w:rsidRPr="00D41441">
        <w:rPr>
          <w:rFonts w:ascii="Times New Roman" w:hAnsi="Times New Roman" w:cs="Times New Roman"/>
          <w:sz w:val="24"/>
          <w:szCs w:val="24"/>
          <w:highlight w:val="yellow"/>
        </w:rPr>
        <w:t>various combinations of demographic and clinical characteristics, including older age, male sex, and presence of diabetes</w:t>
      </w:r>
      <w:r w:rsidR="00DB1EE1">
        <w:rPr>
          <w:rFonts w:ascii="Times New Roman" w:hAnsi="Times New Roman" w:cs="Times New Roman"/>
          <w:sz w:val="24"/>
          <w:szCs w:val="24"/>
        </w:rPr>
        <w:t>,</w:t>
      </w:r>
      <w:r w:rsidR="00DB1EE1" w:rsidRPr="00DB1EE1">
        <w:rPr>
          <w:rFonts w:ascii="Times New Roman" w:hAnsi="Times New Roman" w:cs="Times New Roman"/>
          <w:sz w:val="24"/>
          <w:szCs w:val="24"/>
        </w:rPr>
        <w:t xml:space="preserve"> that could impose higher HCC incidence.</w:t>
      </w:r>
      <w:r w:rsidR="00072EBF">
        <w:rPr>
          <w:rFonts w:ascii="Times New Roman" w:hAnsi="Times New Roman" w:cs="Times New Roman"/>
          <w:sz w:val="24"/>
          <w:szCs w:val="24"/>
        </w:rPr>
        <w:t xml:space="preserve"> </w:t>
      </w:r>
    </w:p>
    <w:p w14:paraId="3903A5EB" w14:textId="42ADEE3D" w:rsidR="005E585A" w:rsidRPr="00D63244" w:rsidRDefault="005E585A">
      <w:pPr>
        <w:rPr>
          <w:rFonts w:ascii="Times New Roman" w:hAnsi="Times New Roman" w:cs="Times New Roman"/>
          <w:b/>
          <w:bCs/>
          <w:i/>
          <w:iCs/>
          <w:sz w:val="24"/>
          <w:szCs w:val="24"/>
        </w:rPr>
      </w:pPr>
      <w:r w:rsidRPr="00D63244">
        <w:rPr>
          <w:rFonts w:ascii="Times New Roman" w:hAnsi="Times New Roman" w:cs="Times New Roman"/>
          <w:b/>
          <w:bCs/>
          <w:i/>
          <w:iCs/>
          <w:sz w:val="24"/>
          <w:szCs w:val="24"/>
        </w:rPr>
        <w:t>Overview of Model</w:t>
      </w:r>
    </w:p>
    <w:p w14:paraId="2D8EC428" w14:textId="60F0EB0F" w:rsidR="008C14E6" w:rsidRDefault="00D63244">
      <w:pPr>
        <w:rPr>
          <w:rFonts w:ascii="Times New Roman" w:eastAsia="Symbol" w:hAnsi="Times New Roman" w:cs="Times New Roman"/>
          <w:sz w:val="24"/>
          <w:szCs w:val="24"/>
        </w:rPr>
      </w:pPr>
      <w:r>
        <w:rPr>
          <w:rFonts w:ascii="Times New Roman" w:hAnsi="Times New Roman" w:cs="Times New Roman"/>
          <w:sz w:val="24"/>
          <w:szCs w:val="24"/>
        </w:rPr>
        <w:t>We use a Markov model to simulate the health state transitions of a s</w:t>
      </w:r>
      <w:r w:rsidR="00A70D65">
        <w:rPr>
          <w:rFonts w:ascii="Times New Roman" w:hAnsi="Times New Roman" w:cs="Times New Roman"/>
          <w:sz w:val="24"/>
          <w:szCs w:val="24"/>
        </w:rPr>
        <w:t xml:space="preserve">tarting population of 1,000,000 adult </w:t>
      </w:r>
      <w:r w:rsidR="00A70D65">
        <w:rPr>
          <w:rFonts w:ascii="Times New Roman" w:eastAsia="Symbol" w:hAnsi="Times New Roman" w:cs="Times New Roman"/>
          <w:sz w:val="24"/>
          <w:szCs w:val="24"/>
        </w:rPr>
        <w:t xml:space="preserve">patients </w:t>
      </w:r>
      <w:r w:rsidR="00A70D65" w:rsidRPr="00A70D65">
        <w:rPr>
          <w:sz w:val="24"/>
          <w:szCs w:val="24"/>
        </w:rPr>
        <w:t>(</w:t>
      </w:r>
      <w:r w:rsidR="00A70D65" w:rsidRPr="00A70D65">
        <w:rPr>
          <w:rFonts w:ascii="Symbol" w:eastAsia="Symbol" w:hAnsi="Symbol" w:cs="Symbol"/>
          <w:sz w:val="24"/>
          <w:szCs w:val="24"/>
        </w:rPr>
        <w:t>³</w:t>
      </w:r>
      <w:r w:rsidR="00A70D65" w:rsidRPr="00A70D65">
        <w:rPr>
          <w:rFonts w:ascii="Times New Roman" w:eastAsia="Symbol" w:hAnsi="Times New Roman" w:cs="Times New Roman"/>
          <w:sz w:val="24"/>
          <w:szCs w:val="24"/>
        </w:rPr>
        <w:t>18 years)</w:t>
      </w:r>
      <w:r w:rsidR="00A70D65">
        <w:rPr>
          <w:rFonts w:ascii="Times New Roman" w:eastAsia="Symbol" w:hAnsi="Times New Roman" w:cs="Times New Roman"/>
          <w:sz w:val="24"/>
          <w:szCs w:val="24"/>
        </w:rPr>
        <w:t xml:space="preserve"> in the U.S. who have non-cirrhotic (or undiagnosed) cirrhosis. </w:t>
      </w:r>
      <w:r w:rsidR="00D41441">
        <w:rPr>
          <w:rFonts w:ascii="Times New Roman" w:eastAsia="Symbol" w:hAnsi="Times New Roman" w:cs="Times New Roman"/>
          <w:sz w:val="24"/>
          <w:szCs w:val="24"/>
        </w:rPr>
        <w:t>Patients start at the</w:t>
      </w:r>
      <w:r w:rsidR="005C0972">
        <w:rPr>
          <w:rFonts w:ascii="Times New Roman" w:eastAsia="Symbol" w:hAnsi="Times New Roman" w:cs="Times New Roman"/>
          <w:sz w:val="24"/>
          <w:szCs w:val="24"/>
        </w:rPr>
        <w:t xml:space="preserve"> non-cirrhotic</w:t>
      </w:r>
      <w:r w:rsidR="00D41441">
        <w:rPr>
          <w:rFonts w:ascii="Times New Roman" w:eastAsia="Symbol" w:hAnsi="Times New Roman" w:cs="Times New Roman"/>
          <w:sz w:val="24"/>
          <w:szCs w:val="24"/>
        </w:rPr>
        <w:t xml:space="preserve"> MASLD node</w:t>
      </w:r>
      <w:r w:rsidR="00B8672C">
        <w:rPr>
          <w:rFonts w:ascii="Times New Roman" w:eastAsia="Symbol" w:hAnsi="Times New Roman" w:cs="Times New Roman"/>
          <w:sz w:val="24"/>
          <w:szCs w:val="24"/>
        </w:rPr>
        <w:t xml:space="preserve"> and may transition to other states including HCC, false positive HCC, treated or untreated HCC, cirrhosis (at which point they are censored),</w:t>
      </w:r>
      <w:r w:rsidR="00D41441">
        <w:rPr>
          <w:rFonts w:ascii="Times New Roman" w:eastAsia="Symbol" w:hAnsi="Times New Roman" w:cs="Times New Roman"/>
          <w:sz w:val="24"/>
          <w:szCs w:val="24"/>
        </w:rPr>
        <w:t xml:space="preserve"> </w:t>
      </w:r>
      <w:r w:rsidR="00B8672C">
        <w:rPr>
          <w:rFonts w:ascii="Times New Roman" w:eastAsia="Symbol" w:hAnsi="Times New Roman" w:cs="Times New Roman"/>
          <w:sz w:val="24"/>
          <w:szCs w:val="24"/>
        </w:rPr>
        <w:t>and death</w:t>
      </w:r>
      <w:r>
        <w:rPr>
          <w:rFonts w:ascii="Times New Roman" w:eastAsia="Symbol" w:hAnsi="Times New Roman" w:cs="Times New Roman"/>
          <w:sz w:val="24"/>
          <w:szCs w:val="24"/>
        </w:rPr>
        <w:t xml:space="preserve"> (</w:t>
      </w:r>
      <w:r>
        <w:rPr>
          <w:rFonts w:ascii="Times New Roman" w:eastAsia="Symbol" w:hAnsi="Times New Roman" w:cs="Times New Roman"/>
          <w:b/>
          <w:bCs/>
          <w:sz w:val="24"/>
          <w:szCs w:val="24"/>
        </w:rPr>
        <w:t>Figure 1</w:t>
      </w:r>
      <w:r>
        <w:rPr>
          <w:rFonts w:ascii="Times New Roman" w:eastAsia="Symbol" w:hAnsi="Times New Roman" w:cs="Times New Roman"/>
          <w:sz w:val="24"/>
          <w:szCs w:val="24"/>
        </w:rPr>
        <w:t>)</w:t>
      </w:r>
      <w:r w:rsidR="00B8672C">
        <w:rPr>
          <w:rFonts w:ascii="Times New Roman" w:eastAsia="Symbol" w:hAnsi="Times New Roman" w:cs="Times New Roman"/>
          <w:sz w:val="24"/>
          <w:szCs w:val="24"/>
        </w:rPr>
        <w:t xml:space="preserve">. Patients who transition to the false positive HCC node will stay for one cycle then return to the </w:t>
      </w:r>
      <w:r w:rsidR="005C0972">
        <w:rPr>
          <w:rFonts w:ascii="Times New Roman" w:eastAsia="Symbol" w:hAnsi="Times New Roman" w:cs="Times New Roman"/>
          <w:sz w:val="24"/>
          <w:szCs w:val="24"/>
        </w:rPr>
        <w:t xml:space="preserve">non-cirrhotic </w:t>
      </w:r>
      <w:r w:rsidR="00B8672C">
        <w:rPr>
          <w:rFonts w:ascii="Times New Roman" w:eastAsia="Symbol" w:hAnsi="Times New Roman" w:cs="Times New Roman"/>
          <w:sz w:val="24"/>
          <w:szCs w:val="24"/>
        </w:rPr>
        <w:t xml:space="preserve">MASLD node. </w:t>
      </w:r>
    </w:p>
    <w:p w14:paraId="32DFE065" w14:textId="6C42BEA0" w:rsidR="000D04B9" w:rsidRDefault="00B8672C">
      <w:pPr>
        <w:rPr>
          <w:rFonts w:ascii="Times New Roman" w:eastAsia="Symbol" w:hAnsi="Times New Roman" w:cs="Times New Roman"/>
          <w:sz w:val="24"/>
          <w:szCs w:val="24"/>
        </w:rPr>
      </w:pPr>
      <w:r>
        <w:rPr>
          <w:rFonts w:ascii="Times New Roman" w:eastAsia="Symbol" w:hAnsi="Times New Roman" w:cs="Times New Roman"/>
          <w:sz w:val="24"/>
          <w:szCs w:val="24"/>
        </w:rPr>
        <w:t xml:space="preserve">The health states are based upon clinical diagnosis; for example, patients in the </w:t>
      </w:r>
      <w:r w:rsidR="005C0972">
        <w:rPr>
          <w:rFonts w:ascii="Times New Roman" w:eastAsia="Symbol" w:hAnsi="Times New Roman" w:cs="Times New Roman"/>
          <w:sz w:val="24"/>
          <w:szCs w:val="24"/>
        </w:rPr>
        <w:t xml:space="preserve">non-cirrhotic </w:t>
      </w:r>
      <w:r>
        <w:rPr>
          <w:rFonts w:ascii="Times New Roman" w:eastAsia="Symbol" w:hAnsi="Times New Roman" w:cs="Times New Roman"/>
          <w:sz w:val="24"/>
          <w:szCs w:val="24"/>
        </w:rPr>
        <w:t>MASLD node may truly be non-cirrho</w:t>
      </w:r>
      <w:r w:rsidR="005C0972">
        <w:rPr>
          <w:rFonts w:ascii="Times New Roman" w:eastAsia="Symbol" w:hAnsi="Times New Roman" w:cs="Times New Roman"/>
          <w:sz w:val="24"/>
          <w:szCs w:val="24"/>
        </w:rPr>
        <w:t>tic</w:t>
      </w:r>
      <w:r>
        <w:rPr>
          <w:rFonts w:ascii="Times New Roman" w:eastAsia="Symbol" w:hAnsi="Times New Roman" w:cs="Times New Roman"/>
          <w:sz w:val="24"/>
          <w:szCs w:val="24"/>
        </w:rPr>
        <w:t xml:space="preserve"> or have undiagnosed cirrhosis and patients move to the HCC node when they are diagnosed with HCC.</w:t>
      </w:r>
      <w:r w:rsidR="008C14E6">
        <w:rPr>
          <w:rFonts w:ascii="Times New Roman" w:eastAsia="Symbol" w:hAnsi="Times New Roman" w:cs="Times New Roman"/>
          <w:sz w:val="24"/>
          <w:szCs w:val="24"/>
        </w:rPr>
        <w:t xml:space="preserve"> </w:t>
      </w:r>
      <w:r w:rsidR="00120C84">
        <w:rPr>
          <w:rFonts w:ascii="Times New Roman" w:eastAsia="Symbol" w:hAnsi="Times New Roman" w:cs="Times New Roman"/>
          <w:sz w:val="24"/>
          <w:szCs w:val="24"/>
        </w:rPr>
        <w:t xml:space="preserve">Because patients in the </w:t>
      </w:r>
      <w:r w:rsidR="005C0972">
        <w:rPr>
          <w:rFonts w:ascii="Times New Roman" w:eastAsia="Symbol" w:hAnsi="Times New Roman" w:cs="Times New Roman"/>
          <w:sz w:val="24"/>
          <w:szCs w:val="24"/>
        </w:rPr>
        <w:t xml:space="preserve">non-cirrhotic </w:t>
      </w:r>
      <w:r w:rsidR="00120C84">
        <w:rPr>
          <w:rFonts w:ascii="Times New Roman" w:eastAsia="Symbol" w:hAnsi="Times New Roman" w:cs="Times New Roman"/>
          <w:sz w:val="24"/>
          <w:szCs w:val="24"/>
        </w:rPr>
        <w:t>MASLD node may be truly non-cirrhotic or have undiagnosed cirrhosis, the</w:t>
      </w:r>
      <w:r w:rsidR="008C14E6">
        <w:rPr>
          <w:rFonts w:ascii="Times New Roman" w:eastAsia="Symbol" w:hAnsi="Times New Roman" w:cs="Times New Roman"/>
          <w:sz w:val="24"/>
          <w:szCs w:val="24"/>
        </w:rPr>
        <w:t xml:space="preserve"> transition probabilities from</w:t>
      </w:r>
      <w:r w:rsidR="005C0972">
        <w:rPr>
          <w:rFonts w:ascii="Times New Roman" w:eastAsia="Symbol" w:hAnsi="Times New Roman" w:cs="Times New Roman"/>
          <w:sz w:val="24"/>
          <w:szCs w:val="24"/>
        </w:rPr>
        <w:t xml:space="preserve"> non-cirrhotic</w:t>
      </w:r>
      <w:r w:rsidR="008C14E6">
        <w:rPr>
          <w:rFonts w:ascii="Times New Roman" w:eastAsia="Symbol" w:hAnsi="Times New Roman" w:cs="Times New Roman"/>
          <w:sz w:val="24"/>
          <w:szCs w:val="24"/>
        </w:rPr>
        <w:t xml:space="preserve"> MASLD to HCC and </w:t>
      </w:r>
      <w:r w:rsidR="005C0972">
        <w:rPr>
          <w:rFonts w:ascii="Times New Roman" w:eastAsia="Symbol" w:hAnsi="Times New Roman" w:cs="Times New Roman"/>
          <w:sz w:val="24"/>
          <w:szCs w:val="24"/>
        </w:rPr>
        <w:t xml:space="preserve">non-cirrhotic MASLD </w:t>
      </w:r>
      <w:r w:rsidR="008C14E6">
        <w:rPr>
          <w:rFonts w:ascii="Times New Roman" w:eastAsia="Symbol" w:hAnsi="Times New Roman" w:cs="Times New Roman"/>
          <w:sz w:val="24"/>
          <w:szCs w:val="24"/>
        </w:rPr>
        <w:t xml:space="preserve">to death </w:t>
      </w:r>
      <w:r w:rsidR="005C0972">
        <w:rPr>
          <w:rFonts w:ascii="Times New Roman" w:eastAsia="Symbol" w:hAnsi="Times New Roman" w:cs="Times New Roman"/>
          <w:sz w:val="24"/>
          <w:szCs w:val="24"/>
        </w:rPr>
        <w:t xml:space="preserve">are </w:t>
      </w:r>
      <w:r w:rsidR="00120C84">
        <w:rPr>
          <w:rFonts w:ascii="Times New Roman" w:eastAsia="Symbol" w:hAnsi="Times New Roman" w:cs="Times New Roman"/>
          <w:sz w:val="24"/>
          <w:szCs w:val="24"/>
        </w:rPr>
        <w:t>weighed by the proportion of patients with undiagnosed cirrhosis</w:t>
      </w:r>
      <w:r w:rsidR="00D63244">
        <w:rPr>
          <w:rFonts w:ascii="Times New Roman" w:eastAsia="Symbol" w:hAnsi="Times New Roman" w:cs="Times New Roman"/>
          <w:sz w:val="24"/>
          <w:szCs w:val="24"/>
        </w:rPr>
        <w:t xml:space="preserve"> (based on literature)</w:t>
      </w:r>
      <w:r w:rsidR="00120C84">
        <w:rPr>
          <w:rFonts w:ascii="Times New Roman" w:eastAsia="Symbol" w:hAnsi="Times New Roman" w:cs="Times New Roman"/>
          <w:sz w:val="24"/>
          <w:szCs w:val="24"/>
        </w:rPr>
        <w:t xml:space="preserve">. All other transition </w:t>
      </w:r>
      <w:r w:rsidR="0068298B">
        <w:rPr>
          <w:rFonts w:ascii="Times New Roman" w:eastAsia="Symbol" w:hAnsi="Times New Roman" w:cs="Times New Roman"/>
          <w:sz w:val="24"/>
          <w:szCs w:val="24"/>
        </w:rPr>
        <w:t>probabilities, in addition to</w:t>
      </w:r>
      <w:r w:rsidR="00120C84">
        <w:rPr>
          <w:rFonts w:ascii="Times New Roman" w:eastAsia="Symbol" w:hAnsi="Times New Roman" w:cs="Times New Roman"/>
          <w:sz w:val="24"/>
          <w:szCs w:val="24"/>
        </w:rPr>
        <w:t xml:space="preserve"> all costs and utilities</w:t>
      </w:r>
      <w:r w:rsidR="0068298B">
        <w:rPr>
          <w:rFonts w:ascii="Times New Roman" w:eastAsia="Symbol" w:hAnsi="Times New Roman" w:cs="Times New Roman"/>
          <w:sz w:val="24"/>
          <w:szCs w:val="24"/>
        </w:rPr>
        <w:t>,</w:t>
      </w:r>
      <w:r w:rsidR="00120C84">
        <w:rPr>
          <w:rFonts w:ascii="Times New Roman" w:eastAsia="Symbol" w:hAnsi="Times New Roman" w:cs="Times New Roman"/>
          <w:sz w:val="24"/>
          <w:szCs w:val="24"/>
        </w:rPr>
        <w:t xml:space="preserve"> are not weighed</w:t>
      </w:r>
      <w:r w:rsidR="007D7939">
        <w:rPr>
          <w:rFonts w:ascii="Times New Roman" w:eastAsia="Symbol" w:hAnsi="Times New Roman" w:cs="Times New Roman"/>
          <w:sz w:val="24"/>
          <w:szCs w:val="24"/>
        </w:rPr>
        <w:t xml:space="preserve"> by the proportion of undiagnosed cirrhosis</w:t>
      </w:r>
      <w:r w:rsidR="0068298B">
        <w:rPr>
          <w:rFonts w:ascii="Times New Roman" w:eastAsia="Symbol" w:hAnsi="Times New Roman" w:cs="Times New Roman"/>
          <w:sz w:val="24"/>
          <w:szCs w:val="24"/>
        </w:rPr>
        <w:t xml:space="preserve"> as we assume these to be the similar for both patients with undiagnosed cirrhosis and no cirrhosis</w:t>
      </w:r>
      <w:r w:rsidR="00120C84">
        <w:rPr>
          <w:rFonts w:ascii="Times New Roman" w:eastAsia="Symbol" w:hAnsi="Times New Roman" w:cs="Times New Roman"/>
          <w:sz w:val="24"/>
          <w:szCs w:val="24"/>
        </w:rPr>
        <w:t>.</w:t>
      </w:r>
    </w:p>
    <w:p w14:paraId="22002767" w14:textId="3C260B2E" w:rsidR="00B8672C" w:rsidRPr="0068298B" w:rsidRDefault="000D04B9">
      <w:pPr>
        <w:rPr>
          <w:rFonts w:ascii="Times New Roman" w:eastAsia="Symbol" w:hAnsi="Times New Roman" w:cs="Times New Roman"/>
          <w:sz w:val="24"/>
          <w:szCs w:val="24"/>
        </w:rPr>
      </w:pPr>
      <w:r w:rsidRPr="000D04B9">
        <w:rPr>
          <w:rFonts w:ascii="Times New Roman" w:eastAsia="Symbol" w:hAnsi="Times New Roman" w:cs="Times New Roman"/>
          <w:sz w:val="24"/>
          <w:szCs w:val="24"/>
        </w:rPr>
        <w:t xml:space="preserve">We model all HCC states </w:t>
      </w:r>
      <w:r w:rsidR="0068298B">
        <w:rPr>
          <w:rFonts w:ascii="Times New Roman" w:eastAsia="Symbol" w:hAnsi="Times New Roman" w:cs="Times New Roman"/>
          <w:sz w:val="24"/>
          <w:szCs w:val="24"/>
        </w:rPr>
        <w:t>(</w:t>
      </w:r>
      <w:r w:rsidRPr="000D04B9">
        <w:rPr>
          <w:rFonts w:ascii="Times New Roman" w:eastAsia="Symbol" w:hAnsi="Times New Roman" w:cs="Times New Roman"/>
          <w:sz w:val="24"/>
          <w:szCs w:val="24"/>
        </w:rPr>
        <w:t xml:space="preserve">early, intermediate, </w:t>
      </w:r>
      <w:r w:rsidR="0068298B">
        <w:rPr>
          <w:rFonts w:ascii="Times New Roman" w:eastAsia="Symbol" w:hAnsi="Times New Roman" w:cs="Times New Roman"/>
          <w:sz w:val="24"/>
          <w:szCs w:val="24"/>
        </w:rPr>
        <w:t xml:space="preserve">and </w:t>
      </w:r>
      <w:r w:rsidRPr="000D04B9">
        <w:rPr>
          <w:rFonts w:ascii="Times New Roman" w:eastAsia="Symbol" w:hAnsi="Times New Roman" w:cs="Times New Roman"/>
          <w:sz w:val="24"/>
          <w:szCs w:val="24"/>
        </w:rPr>
        <w:t>late</w:t>
      </w:r>
      <w:r w:rsidR="0068298B">
        <w:rPr>
          <w:rFonts w:ascii="Times New Roman" w:eastAsia="Symbol" w:hAnsi="Times New Roman" w:cs="Times New Roman"/>
          <w:sz w:val="24"/>
          <w:szCs w:val="24"/>
        </w:rPr>
        <w:t>)</w:t>
      </w:r>
      <w:r w:rsidRPr="000D04B9">
        <w:rPr>
          <w:rFonts w:ascii="Times New Roman" w:eastAsia="Symbol" w:hAnsi="Times New Roman" w:cs="Times New Roman"/>
          <w:sz w:val="24"/>
          <w:szCs w:val="24"/>
        </w:rPr>
        <w:t xml:space="preserve"> as a single HCC node. </w:t>
      </w:r>
      <w:r>
        <w:rPr>
          <w:rFonts w:ascii="Times New Roman" w:eastAsia="Symbol" w:hAnsi="Times New Roman" w:cs="Times New Roman"/>
          <w:sz w:val="24"/>
          <w:szCs w:val="24"/>
        </w:rPr>
        <w:t>The utilities, costs, and probability of being treated in the HCC node are weighed by the distribution of patients diagnosed at the early, intermediate, and late stages</w:t>
      </w:r>
      <w:r w:rsidR="0068298B">
        <w:rPr>
          <w:rFonts w:ascii="Times New Roman" w:eastAsia="Symbol" w:hAnsi="Times New Roman" w:cs="Times New Roman"/>
          <w:sz w:val="24"/>
          <w:szCs w:val="24"/>
        </w:rPr>
        <w:t xml:space="preserve">. We estimate these distributions for patients who </w:t>
      </w:r>
      <w:r w:rsidR="0071523B">
        <w:rPr>
          <w:rFonts w:ascii="Times New Roman" w:eastAsia="Symbol" w:hAnsi="Times New Roman" w:cs="Times New Roman"/>
          <w:sz w:val="24"/>
          <w:szCs w:val="24"/>
        </w:rPr>
        <w:t xml:space="preserve">were diagnosed with HCC upon screening and those who were </w:t>
      </w:r>
      <w:r w:rsidR="004A4B4A">
        <w:rPr>
          <w:rFonts w:ascii="Times New Roman" w:eastAsia="Symbol" w:hAnsi="Times New Roman" w:cs="Times New Roman"/>
          <w:sz w:val="24"/>
          <w:szCs w:val="24"/>
        </w:rPr>
        <w:t>not</w:t>
      </w:r>
      <w:r w:rsidR="0071523B">
        <w:rPr>
          <w:rFonts w:ascii="Times New Roman" w:eastAsia="Symbol" w:hAnsi="Times New Roman" w:cs="Times New Roman"/>
          <w:sz w:val="24"/>
          <w:szCs w:val="24"/>
        </w:rPr>
        <w:t xml:space="preserve">, </w:t>
      </w:r>
      <w:r w:rsidR="0068298B">
        <w:rPr>
          <w:rFonts w:ascii="Times New Roman" w:eastAsia="Symbol" w:hAnsi="Times New Roman" w:cs="Times New Roman"/>
          <w:sz w:val="24"/>
          <w:szCs w:val="24"/>
        </w:rPr>
        <w:t>according to</w:t>
      </w:r>
      <w:r w:rsidR="004A4B4A">
        <w:rPr>
          <w:rFonts w:ascii="Times New Roman" w:eastAsia="Symbol" w:hAnsi="Times New Roman" w:cs="Times New Roman"/>
          <w:sz w:val="24"/>
          <w:szCs w:val="24"/>
        </w:rPr>
        <w:t xml:space="preserve"> </w:t>
      </w:r>
      <w:r w:rsidR="00396A92">
        <w:rPr>
          <w:rFonts w:ascii="Times New Roman" w:eastAsia="Symbol" w:hAnsi="Times New Roman" w:cs="Times New Roman"/>
          <w:sz w:val="24"/>
          <w:szCs w:val="24"/>
        </w:rPr>
        <w:t>the literature</w:t>
      </w:r>
      <w:r>
        <w:rPr>
          <w:rFonts w:ascii="Times New Roman" w:eastAsia="Symbol" w:hAnsi="Times New Roman" w:cs="Times New Roman"/>
          <w:sz w:val="24"/>
          <w:szCs w:val="24"/>
        </w:rPr>
        <w:t xml:space="preserve">. We differentiate between the </w:t>
      </w:r>
      <w:r w:rsidR="00D63244">
        <w:rPr>
          <w:rFonts w:ascii="Times New Roman" w:eastAsia="Symbol" w:hAnsi="Times New Roman" w:cs="Times New Roman"/>
          <w:sz w:val="24"/>
          <w:szCs w:val="24"/>
        </w:rPr>
        <w:t xml:space="preserve">outcomes of the </w:t>
      </w:r>
      <w:r>
        <w:rPr>
          <w:rFonts w:ascii="Times New Roman" w:eastAsia="Symbol" w:hAnsi="Times New Roman" w:cs="Times New Roman"/>
          <w:sz w:val="24"/>
          <w:szCs w:val="24"/>
        </w:rPr>
        <w:t>control and intervention group</w:t>
      </w:r>
      <w:r w:rsidR="00D63244">
        <w:rPr>
          <w:rFonts w:ascii="Times New Roman" w:eastAsia="Symbol" w:hAnsi="Times New Roman" w:cs="Times New Roman"/>
          <w:sz w:val="24"/>
          <w:szCs w:val="24"/>
        </w:rPr>
        <w:t>s</w:t>
      </w:r>
      <w:r>
        <w:rPr>
          <w:rFonts w:ascii="Times New Roman" w:eastAsia="Symbol" w:hAnsi="Times New Roman" w:cs="Times New Roman"/>
          <w:sz w:val="24"/>
          <w:szCs w:val="24"/>
        </w:rPr>
        <w:t xml:space="preserve"> by applying a </w:t>
      </w:r>
      <w:r w:rsidR="00D63244">
        <w:rPr>
          <w:rFonts w:ascii="Times New Roman" w:eastAsia="Symbol" w:hAnsi="Times New Roman" w:cs="Times New Roman"/>
          <w:sz w:val="24"/>
          <w:szCs w:val="24"/>
        </w:rPr>
        <w:t xml:space="preserve">different distribution of patients being diagnosed in each HCC stage, with the intervention group having a higher proportion of patients being diagnosed at an earlier stage. The details for this and the related data inputs can be found in the </w:t>
      </w:r>
      <w:r w:rsidR="00D63244">
        <w:rPr>
          <w:rFonts w:ascii="Times New Roman" w:eastAsia="Symbol" w:hAnsi="Times New Roman" w:cs="Times New Roman"/>
          <w:b/>
          <w:bCs/>
          <w:sz w:val="24"/>
          <w:szCs w:val="24"/>
        </w:rPr>
        <w:t xml:space="preserve">Supplementary Methods. </w:t>
      </w:r>
      <w:r w:rsidR="0068298B">
        <w:rPr>
          <w:rFonts w:ascii="Times New Roman" w:eastAsia="Symbol" w:hAnsi="Times New Roman" w:cs="Times New Roman"/>
          <w:sz w:val="24"/>
          <w:szCs w:val="24"/>
        </w:rPr>
        <w:t xml:space="preserve">After patients transition to the HCC node, they stay for one cycle, then transition either to the treated HCC or untreated HCC node, where they stay until death. </w:t>
      </w:r>
      <w:r w:rsidR="00386164">
        <w:rPr>
          <w:rFonts w:ascii="Times New Roman" w:eastAsia="Symbol" w:hAnsi="Times New Roman" w:cs="Times New Roman"/>
          <w:sz w:val="24"/>
          <w:szCs w:val="24"/>
        </w:rPr>
        <w:t xml:space="preserve">The annual probability of death from the treated or untreated HCC nodes are also weighed by the </w:t>
      </w:r>
    </w:p>
    <w:p w14:paraId="3D6EEFB0" w14:textId="2B7BD32B" w:rsidR="005E585A" w:rsidRPr="00D63244" w:rsidRDefault="005E585A">
      <w:pPr>
        <w:rPr>
          <w:rFonts w:ascii="Times New Roman" w:hAnsi="Times New Roman" w:cs="Times New Roman"/>
          <w:b/>
          <w:bCs/>
          <w:i/>
          <w:iCs/>
          <w:sz w:val="24"/>
          <w:szCs w:val="24"/>
        </w:rPr>
      </w:pPr>
      <w:r w:rsidRPr="00D63244">
        <w:rPr>
          <w:rFonts w:ascii="Times New Roman" w:hAnsi="Times New Roman" w:cs="Times New Roman"/>
          <w:b/>
          <w:bCs/>
          <w:i/>
          <w:iCs/>
          <w:sz w:val="24"/>
          <w:szCs w:val="24"/>
        </w:rPr>
        <w:t>Modeling parameters</w:t>
      </w:r>
    </w:p>
    <w:p w14:paraId="1DDDE181" w14:textId="4C4BC498" w:rsidR="00386164" w:rsidRDefault="00D63244">
      <w:pPr>
        <w:rPr>
          <w:rFonts w:ascii="Times New Roman" w:hAnsi="Times New Roman" w:cs="Times New Roman"/>
          <w:sz w:val="24"/>
          <w:szCs w:val="24"/>
        </w:rPr>
      </w:pPr>
      <w:r>
        <w:rPr>
          <w:rFonts w:ascii="Times New Roman" w:hAnsi="Times New Roman" w:cs="Times New Roman"/>
          <w:sz w:val="24"/>
          <w:szCs w:val="24"/>
        </w:rPr>
        <w:t xml:space="preserve">All modeling parameters are </w:t>
      </w:r>
      <w:r w:rsidR="00E77132">
        <w:rPr>
          <w:rFonts w:ascii="Times New Roman" w:hAnsi="Times New Roman" w:cs="Times New Roman"/>
          <w:sz w:val="24"/>
          <w:szCs w:val="24"/>
        </w:rPr>
        <w:t xml:space="preserve">estimated </w:t>
      </w:r>
      <w:r>
        <w:rPr>
          <w:rFonts w:ascii="Times New Roman" w:hAnsi="Times New Roman" w:cs="Times New Roman"/>
          <w:sz w:val="24"/>
          <w:szCs w:val="24"/>
        </w:rPr>
        <w:t xml:space="preserve">from current literature or </w:t>
      </w:r>
      <w:r w:rsidR="00E77132">
        <w:rPr>
          <w:rFonts w:ascii="Times New Roman" w:hAnsi="Times New Roman" w:cs="Times New Roman"/>
          <w:sz w:val="24"/>
          <w:szCs w:val="24"/>
        </w:rPr>
        <w:t xml:space="preserve">derived from </w:t>
      </w:r>
      <w:r w:rsidR="00386164">
        <w:rPr>
          <w:rFonts w:ascii="Times New Roman" w:hAnsi="Times New Roman" w:cs="Times New Roman"/>
          <w:sz w:val="24"/>
          <w:szCs w:val="24"/>
        </w:rPr>
        <w:t xml:space="preserve">the </w:t>
      </w:r>
      <w:r w:rsidR="00386164" w:rsidRPr="00386164">
        <w:rPr>
          <w:rFonts w:ascii="Times New Roman" w:hAnsi="Times New Roman" w:cs="Times New Roman"/>
          <w:sz w:val="24"/>
          <w:szCs w:val="24"/>
        </w:rPr>
        <w:t xml:space="preserve">Truven Health Analytics </w:t>
      </w:r>
      <w:proofErr w:type="spellStart"/>
      <w:r w:rsidR="00386164" w:rsidRPr="00386164">
        <w:rPr>
          <w:rFonts w:ascii="Times New Roman" w:hAnsi="Times New Roman" w:cs="Times New Roman"/>
          <w:sz w:val="24"/>
          <w:szCs w:val="24"/>
        </w:rPr>
        <w:t>MarketScan</w:t>
      </w:r>
      <w:proofErr w:type="spellEnd"/>
      <w:r w:rsidR="00386164" w:rsidRPr="00386164">
        <w:rPr>
          <w:rFonts w:ascii="Times New Roman" w:hAnsi="Times New Roman" w:cs="Times New Roman"/>
          <w:sz w:val="24"/>
          <w:szCs w:val="24"/>
        </w:rPr>
        <w:t xml:space="preserve"> Databases</w:t>
      </w:r>
      <w:r w:rsidR="00386164">
        <w:rPr>
          <w:rFonts w:ascii="Times New Roman" w:hAnsi="Times New Roman" w:cs="Times New Roman"/>
          <w:sz w:val="24"/>
          <w:szCs w:val="24"/>
        </w:rPr>
        <w:t xml:space="preserve"> and the </w:t>
      </w:r>
      <w:r w:rsidR="00386164" w:rsidRPr="00386164">
        <w:rPr>
          <w:rFonts w:ascii="Times New Roman" w:hAnsi="Times New Roman" w:cs="Times New Roman"/>
          <w:sz w:val="24"/>
          <w:szCs w:val="24"/>
        </w:rPr>
        <w:t>linked Surveillance, Epidemiology, and End Results Program (SEER) and Medicare enrollment database (2000-2017)</w:t>
      </w:r>
      <w:r w:rsidR="00E77132">
        <w:rPr>
          <w:rFonts w:ascii="Times New Roman" w:hAnsi="Times New Roman" w:cs="Times New Roman"/>
          <w:sz w:val="24"/>
          <w:szCs w:val="24"/>
        </w:rPr>
        <w:t xml:space="preserve">. </w:t>
      </w:r>
    </w:p>
    <w:p w14:paraId="7E686ABA" w14:textId="7D87F30E" w:rsidR="00D63244" w:rsidRDefault="00D63244">
      <w:pPr>
        <w:rPr>
          <w:rFonts w:ascii="Times New Roman" w:hAnsi="Times New Roman" w:cs="Times New Roman"/>
          <w:sz w:val="24"/>
          <w:szCs w:val="24"/>
        </w:rPr>
      </w:pPr>
      <w:r>
        <w:rPr>
          <w:rFonts w:ascii="Times New Roman" w:hAnsi="Times New Roman" w:cs="Times New Roman"/>
          <w:sz w:val="24"/>
          <w:szCs w:val="24"/>
        </w:rPr>
        <w:lastRenderedPageBreak/>
        <w:t xml:space="preserve">---- insert input tables ---- </w:t>
      </w:r>
    </w:p>
    <w:p w14:paraId="68F302AE" w14:textId="77777777" w:rsidR="00B05BE5" w:rsidRPr="00CE671C" w:rsidRDefault="00B05BE5" w:rsidP="00B05BE5">
      <w:pPr>
        <w:rPr>
          <w:rFonts w:ascii="Times New Roman" w:hAnsi="Times New Roman" w:cs="Times New Roman"/>
          <w:b/>
          <w:bCs/>
          <w:i/>
          <w:iCs/>
          <w:sz w:val="24"/>
          <w:szCs w:val="24"/>
        </w:rPr>
      </w:pPr>
      <w:r w:rsidRPr="00CE671C">
        <w:rPr>
          <w:rFonts w:ascii="Times New Roman" w:hAnsi="Times New Roman" w:cs="Times New Roman"/>
          <w:b/>
          <w:bCs/>
          <w:i/>
          <w:iCs/>
          <w:sz w:val="24"/>
          <w:szCs w:val="24"/>
        </w:rPr>
        <w:t xml:space="preserve">Measurement of effectiveness </w:t>
      </w:r>
      <w:r>
        <w:rPr>
          <w:rFonts w:ascii="Times New Roman" w:hAnsi="Times New Roman" w:cs="Times New Roman"/>
          <w:b/>
          <w:bCs/>
          <w:i/>
          <w:iCs/>
          <w:sz w:val="24"/>
          <w:szCs w:val="24"/>
        </w:rPr>
        <w:t xml:space="preserve">and costs </w:t>
      </w:r>
    </w:p>
    <w:p w14:paraId="4DBAAFD1" w14:textId="77777777" w:rsidR="00B05BE5" w:rsidRPr="00D41441" w:rsidRDefault="00B05BE5" w:rsidP="00B05BE5">
      <w:pPr>
        <w:rPr>
          <w:rFonts w:ascii="Times New Roman" w:hAnsi="Times New Roman" w:cs="Times New Roman"/>
          <w:sz w:val="24"/>
          <w:szCs w:val="24"/>
        </w:rPr>
      </w:pPr>
      <w:r>
        <w:rPr>
          <w:rFonts w:ascii="Times New Roman" w:hAnsi="Times New Roman" w:cs="Times New Roman"/>
          <w:sz w:val="24"/>
          <w:szCs w:val="24"/>
        </w:rPr>
        <w:t xml:space="preserve">The utility and costs will be evaluated across a lifetime horizon for each patient. One cycle length is defined to be one year. </w:t>
      </w:r>
      <w:r w:rsidRPr="00D41441">
        <w:rPr>
          <w:rFonts w:ascii="Times New Roman" w:hAnsi="Times New Roman" w:cs="Times New Roman"/>
          <w:sz w:val="24"/>
          <w:szCs w:val="24"/>
        </w:rPr>
        <w:t xml:space="preserve">The quality adjusted life years (QALYs) will be calculated using the estimated quality (quantified value ranging from 0-1) and length of life. All costs will be determined from the payer’s perspective and will be converted to USD in 2024. </w:t>
      </w:r>
      <w:r>
        <w:rPr>
          <w:rFonts w:ascii="Times New Roman" w:hAnsi="Times New Roman" w:cs="Times New Roman"/>
          <w:sz w:val="24"/>
          <w:szCs w:val="24"/>
        </w:rPr>
        <w:t xml:space="preserve">A </w:t>
      </w:r>
      <w:r w:rsidRPr="00D41441">
        <w:rPr>
          <w:rFonts w:ascii="Times New Roman" w:hAnsi="Times New Roman" w:cs="Times New Roman"/>
          <w:sz w:val="24"/>
          <w:szCs w:val="24"/>
        </w:rPr>
        <w:t xml:space="preserve">3% annual decrease in both cost and utility </w:t>
      </w:r>
      <w:r>
        <w:rPr>
          <w:rFonts w:ascii="Times New Roman" w:hAnsi="Times New Roman" w:cs="Times New Roman"/>
          <w:sz w:val="24"/>
          <w:szCs w:val="24"/>
        </w:rPr>
        <w:t xml:space="preserve">is applied </w:t>
      </w:r>
      <w:r w:rsidRPr="00D41441">
        <w:rPr>
          <w:rFonts w:ascii="Times New Roman" w:hAnsi="Times New Roman" w:cs="Times New Roman"/>
          <w:sz w:val="24"/>
          <w:szCs w:val="24"/>
        </w:rPr>
        <w:t>as recommended by the Public Health Service Panel on Cost-Effectiveness in Medicine</w:t>
      </w:r>
      <w:r>
        <w:rPr>
          <w:rFonts w:ascii="Times New Roman" w:hAnsi="Times New Roman" w:cs="Times New Roman"/>
          <w:sz w:val="24"/>
          <w:szCs w:val="24"/>
        </w:rPr>
        <w:t xml:space="preserve"> [reference: </w:t>
      </w:r>
      <w:r w:rsidRPr="00D41441">
        <w:rPr>
          <w:rFonts w:ascii="Times New Roman" w:hAnsi="Times New Roman" w:cs="Times New Roman"/>
          <w:sz w:val="24"/>
          <w:szCs w:val="24"/>
        </w:rPr>
        <w:t>Lipscomb et al., 1996</w:t>
      </w:r>
      <w:r>
        <w:rPr>
          <w:rFonts w:ascii="Times New Roman" w:hAnsi="Times New Roman" w:cs="Times New Roman"/>
          <w:sz w:val="24"/>
          <w:szCs w:val="24"/>
        </w:rPr>
        <w:t>].</w:t>
      </w:r>
    </w:p>
    <w:p w14:paraId="4329F39C" w14:textId="0ACEDE12" w:rsidR="005E585A" w:rsidRPr="00D63244" w:rsidRDefault="005E585A">
      <w:pPr>
        <w:rPr>
          <w:rFonts w:ascii="Times New Roman" w:hAnsi="Times New Roman" w:cs="Times New Roman"/>
          <w:b/>
          <w:bCs/>
          <w:i/>
          <w:iCs/>
          <w:sz w:val="24"/>
          <w:szCs w:val="24"/>
        </w:rPr>
      </w:pPr>
      <w:r w:rsidRPr="00D63244">
        <w:rPr>
          <w:rFonts w:ascii="Times New Roman" w:hAnsi="Times New Roman" w:cs="Times New Roman"/>
          <w:b/>
          <w:bCs/>
          <w:i/>
          <w:iCs/>
          <w:sz w:val="24"/>
          <w:szCs w:val="24"/>
        </w:rPr>
        <w:t>Measuring cost-effectiveness in base-case analysis</w:t>
      </w:r>
    </w:p>
    <w:p w14:paraId="546B9C0A" w14:textId="713B16D3" w:rsidR="00B05BE5" w:rsidRDefault="00B05BE5" w:rsidP="00526552">
      <w:pPr>
        <w:rPr>
          <w:rFonts w:ascii="Times New Roman" w:hAnsi="Times New Roman" w:cs="Times New Roman"/>
          <w:sz w:val="24"/>
          <w:szCs w:val="24"/>
        </w:rPr>
      </w:pPr>
      <w:r>
        <w:rPr>
          <w:rFonts w:ascii="Times New Roman" w:hAnsi="Times New Roman" w:cs="Times New Roman"/>
          <w:sz w:val="24"/>
          <w:szCs w:val="24"/>
        </w:rPr>
        <w:t xml:space="preserve">The primary outcome is the </w:t>
      </w:r>
      <w:r w:rsidRPr="00D41441">
        <w:rPr>
          <w:rFonts w:ascii="Times New Roman" w:hAnsi="Times New Roman" w:cs="Times New Roman"/>
          <w:sz w:val="24"/>
          <w:szCs w:val="24"/>
        </w:rPr>
        <w:t>incremental cost effectiveness ratio (ICER</w:t>
      </w:r>
      <w:r>
        <w:rPr>
          <w:rFonts w:ascii="Times New Roman" w:hAnsi="Times New Roman" w:cs="Times New Roman"/>
          <w:sz w:val="24"/>
          <w:szCs w:val="24"/>
        </w:rPr>
        <w:t xml:space="preserve">) </w:t>
      </w:r>
      <w:r w:rsidRPr="00D41441">
        <w:rPr>
          <w:rFonts w:ascii="Times New Roman" w:hAnsi="Times New Roman" w:cs="Times New Roman"/>
          <w:sz w:val="24"/>
          <w:szCs w:val="24"/>
        </w:rPr>
        <w:t>calculated for the intervention arms compared to the control</w:t>
      </w:r>
      <w:r>
        <w:rPr>
          <w:rFonts w:ascii="Times New Roman" w:hAnsi="Times New Roman" w:cs="Times New Roman"/>
          <w:sz w:val="24"/>
          <w:szCs w:val="24"/>
        </w:rPr>
        <w:t xml:space="preserve">. </w:t>
      </w:r>
      <w:r w:rsidR="00526552">
        <w:rPr>
          <w:rFonts w:ascii="Times New Roman" w:hAnsi="Times New Roman" w:cs="Times New Roman"/>
          <w:sz w:val="24"/>
          <w:szCs w:val="24"/>
        </w:rPr>
        <w:t>To evaluate the ICER, we find the ratio of the average incremental cost and average incremental effectiveness of the control and intervention arms, each consisting of 1,000,000 simulated patients.</w:t>
      </w:r>
      <w:r>
        <w:rPr>
          <w:rFonts w:ascii="Times New Roman" w:hAnsi="Times New Roman" w:cs="Times New Roman"/>
          <w:sz w:val="24"/>
          <w:szCs w:val="24"/>
        </w:rPr>
        <w:t xml:space="preserve"> The ICER is then </w:t>
      </w:r>
      <w:r w:rsidRPr="00D41441">
        <w:rPr>
          <w:rFonts w:ascii="Times New Roman" w:hAnsi="Times New Roman" w:cs="Times New Roman"/>
          <w:sz w:val="24"/>
          <w:szCs w:val="24"/>
        </w:rPr>
        <w:t xml:space="preserve">interpreted with reference to the contemporary willingness to pay threshold (WTP) of $100,000 or $150,000. </w:t>
      </w:r>
    </w:p>
    <w:p w14:paraId="02E79B6F" w14:textId="3658C5E1" w:rsidR="00246301" w:rsidRPr="00B05BE5" w:rsidRDefault="00246301" w:rsidP="00526552">
      <w:pPr>
        <w:rPr>
          <w:rFonts w:ascii="Times New Roman" w:hAnsi="Times New Roman" w:cs="Times New Roman"/>
          <w:sz w:val="24"/>
          <w:szCs w:val="24"/>
        </w:rPr>
      </w:pPr>
      <w:r>
        <w:rPr>
          <w:rFonts w:ascii="Times New Roman" w:hAnsi="Times New Roman" w:cs="Times New Roman"/>
          <w:sz w:val="24"/>
          <w:szCs w:val="24"/>
        </w:rPr>
        <w:t xml:space="preserve">We use a screening adherence rate of 60% in the base-case analysis </w:t>
      </w:r>
      <w:commentRangeStart w:id="0"/>
      <w:r>
        <w:rPr>
          <w:rFonts w:ascii="Times New Roman" w:hAnsi="Times New Roman" w:cs="Times New Roman"/>
          <w:sz w:val="24"/>
          <w:szCs w:val="24"/>
        </w:rPr>
        <w:t xml:space="preserve">[reference]. </w:t>
      </w:r>
      <w:commentRangeEnd w:id="0"/>
      <w:r>
        <w:rPr>
          <w:rStyle w:val="CommentReference"/>
        </w:rPr>
        <w:commentReference w:id="0"/>
      </w:r>
    </w:p>
    <w:p w14:paraId="630E8213" w14:textId="2965795D" w:rsidR="00526552" w:rsidRDefault="00526552" w:rsidP="00526552">
      <w:pPr>
        <w:rPr>
          <w:rFonts w:ascii="Times New Roman" w:eastAsia="Symbol" w:hAnsi="Times New Roman" w:cs="Times New Roman"/>
          <w:sz w:val="24"/>
          <w:szCs w:val="24"/>
        </w:rPr>
      </w:pPr>
      <w:r>
        <w:rPr>
          <w:rFonts w:ascii="Times New Roman" w:hAnsi="Times New Roman" w:cs="Times New Roman"/>
          <w:sz w:val="24"/>
          <w:szCs w:val="24"/>
        </w:rPr>
        <w:t>In our analysis of the overall cohort, we</w:t>
      </w:r>
      <w:r>
        <w:rPr>
          <w:rFonts w:ascii="Times New Roman" w:eastAsia="Symbol" w:hAnsi="Times New Roman" w:cs="Times New Roman"/>
          <w:sz w:val="24"/>
          <w:szCs w:val="24"/>
        </w:rPr>
        <w:t xml:space="preserve"> assume an equal proportion of male and female patients. The starting age of patients reflects the distribution of age upon MASLD diagnosis (18-30, 31-40, 41-50, 51-60, …, 91-100+) according to a large nationwide claims database [reference: Truven]. </w:t>
      </w:r>
      <w:r w:rsidRPr="00D41441">
        <w:rPr>
          <w:rFonts w:ascii="Times New Roman" w:eastAsia="Symbol" w:hAnsi="Times New Roman" w:cs="Times New Roman"/>
          <w:sz w:val="24"/>
          <w:szCs w:val="24"/>
        </w:rPr>
        <w:t>The age-dependent probability of death</w:t>
      </w:r>
      <w:r>
        <w:rPr>
          <w:rFonts w:ascii="Times New Roman" w:eastAsia="Symbol" w:hAnsi="Times New Roman" w:cs="Times New Roman"/>
          <w:sz w:val="24"/>
          <w:szCs w:val="24"/>
        </w:rPr>
        <w:t xml:space="preserve"> is determined from </w:t>
      </w:r>
      <w:r w:rsidRPr="00D41441">
        <w:rPr>
          <w:rFonts w:ascii="Times New Roman" w:eastAsia="Symbol" w:hAnsi="Times New Roman" w:cs="Times New Roman"/>
          <w:sz w:val="24"/>
          <w:szCs w:val="24"/>
        </w:rPr>
        <w:t xml:space="preserve">the </w:t>
      </w:r>
      <w:r>
        <w:rPr>
          <w:rFonts w:ascii="Times New Roman" w:eastAsia="Symbol" w:hAnsi="Times New Roman" w:cs="Times New Roman"/>
          <w:sz w:val="24"/>
          <w:szCs w:val="24"/>
        </w:rPr>
        <w:t>A</w:t>
      </w:r>
      <w:r w:rsidRPr="00D41441">
        <w:rPr>
          <w:rFonts w:ascii="Times New Roman" w:eastAsia="Symbol" w:hAnsi="Times New Roman" w:cs="Times New Roman"/>
          <w:sz w:val="24"/>
          <w:szCs w:val="24"/>
        </w:rPr>
        <w:t xml:space="preserve">ctuarial </w:t>
      </w:r>
      <w:r>
        <w:rPr>
          <w:rFonts w:ascii="Times New Roman" w:eastAsia="Symbol" w:hAnsi="Times New Roman" w:cs="Times New Roman"/>
          <w:sz w:val="24"/>
          <w:szCs w:val="24"/>
        </w:rPr>
        <w:t>L</w:t>
      </w:r>
      <w:r w:rsidRPr="00D41441">
        <w:rPr>
          <w:rFonts w:ascii="Times New Roman" w:eastAsia="Symbol" w:hAnsi="Times New Roman" w:cs="Times New Roman"/>
          <w:sz w:val="24"/>
          <w:szCs w:val="24"/>
        </w:rPr>
        <w:t xml:space="preserve">ife </w:t>
      </w:r>
      <w:r>
        <w:rPr>
          <w:rFonts w:ascii="Times New Roman" w:eastAsia="Symbol" w:hAnsi="Times New Roman" w:cs="Times New Roman"/>
          <w:sz w:val="24"/>
          <w:szCs w:val="24"/>
        </w:rPr>
        <w:t>T</w:t>
      </w:r>
      <w:r w:rsidRPr="00D41441">
        <w:rPr>
          <w:rFonts w:ascii="Times New Roman" w:eastAsia="Symbol" w:hAnsi="Times New Roman" w:cs="Times New Roman"/>
          <w:sz w:val="24"/>
          <w:szCs w:val="24"/>
        </w:rPr>
        <w:t xml:space="preserve">able provided by the Social Security (2021 period life table for the Social Security area population, as used in the 2024 Trustees Report (TR): </w:t>
      </w:r>
      <w:hyperlink r:id="rId8" w:history="1">
        <w:r w:rsidRPr="00B413E5">
          <w:rPr>
            <w:rStyle w:val="Hyperlink"/>
            <w:rFonts w:ascii="Times New Roman" w:eastAsia="Symbol" w:hAnsi="Times New Roman" w:cs="Times New Roman"/>
            <w:sz w:val="24"/>
            <w:szCs w:val="24"/>
          </w:rPr>
          <w:t>https://www.ssa.gov/oact/STATS/table4c6.html</w:t>
        </w:r>
      </w:hyperlink>
      <w:r w:rsidRPr="00D41441">
        <w:rPr>
          <w:rFonts w:ascii="Times New Roman" w:eastAsia="Symbol" w:hAnsi="Times New Roman" w:cs="Times New Roman"/>
          <w:sz w:val="24"/>
          <w:szCs w:val="24"/>
        </w:rPr>
        <w:t>).</w:t>
      </w:r>
      <w:r>
        <w:rPr>
          <w:rFonts w:ascii="Times New Roman" w:eastAsia="Symbol" w:hAnsi="Times New Roman" w:cs="Times New Roman"/>
          <w:sz w:val="24"/>
          <w:szCs w:val="24"/>
        </w:rPr>
        <w:t xml:space="preserve"> This</w:t>
      </w:r>
      <w:r w:rsidRPr="00D41441">
        <w:rPr>
          <w:rFonts w:ascii="Times New Roman" w:eastAsia="Symbol" w:hAnsi="Times New Roman" w:cs="Times New Roman"/>
          <w:sz w:val="24"/>
          <w:szCs w:val="24"/>
        </w:rPr>
        <w:t xml:space="preserve"> is added onto the annual rate of </w:t>
      </w:r>
      <w:r>
        <w:rPr>
          <w:rFonts w:ascii="Times New Roman" w:eastAsia="Symbol" w:hAnsi="Times New Roman" w:cs="Times New Roman"/>
          <w:sz w:val="24"/>
          <w:szCs w:val="24"/>
        </w:rPr>
        <w:t xml:space="preserve">liver-related </w:t>
      </w:r>
      <w:r w:rsidRPr="00D41441">
        <w:rPr>
          <w:rFonts w:ascii="Times New Roman" w:eastAsia="Symbol" w:hAnsi="Times New Roman" w:cs="Times New Roman"/>
          <w:sz w:val="24"/>
          <w:szCs w:val="24"/>
        </w:rPr>
        <w:t xml:space="preserve">death for patients in the MASLD </w:t>
      </w:r>
      <w:r>
        <w:rPr>
          <w:rFonts w:ascii="Times New Roman" w:eastAsia="Symbol" w:hAnsi="Times New Roman" w:cs="Times New Roman"/>
          <w:sz w:val="24"/>
          <w:szCs w:val="24"/>
        </w:rPr>
        <w:t>node</w:t>
      </w:r>
      <w:r w:rsidRPr="00D41441">
        <w:rPr>
          <w:rFonts w:ascii="Times New Roman" w:eastAsia="Symbol" w:hAnsi="Times New Roman" w:cs="Times New Roman"/>
          <w:sz w:val="24"/>
          <w:szCs w:val="24"/>
        </w:rPr>
        <w:t>. Once a patient reaches an age of 100, the patient is transitioned to the death node regardless of their health state.</w:t>
      </w:r>
      <w:r>
        <w:rPr>
          <w:rFonts w:ascii="Times New Roman" w:eastAsia="Symbol" w:hAnsi="Times New Roman" w:cs="Times New Roman"/>
          <w:sz w:val="24"/>
          <w:szCs w:val="24"/>
        </w:rPr>
        <w:t xml:space="preserve"> More details regarding the age distribution and age-adjusted probability of death can be found in the </w:t>
      </w:r>
      <w:r w:rsidRPr="00B8672C">
        <w:rPr>
          <w:rFonts w:ascii="Times New Roman" w:eastAsia="Symbol" w:hAnsi="Times New Roman" w:cs="Times New Roman"/>
          <w:b/>
          <w:bCs/>
          <w:sz w:val="24"/>
          <w:szCs w:val="24"/>
        </w:rPr>
        <w:t>Supplementary Methods</w:t>
      </w:r>
      <w:r>
        <w:rPr>
          <w:rFonts w:ascii="Times New Roman" w:eastAsia="Symbol" w:hAnsi="Times New Roman" w:cs="Times New Roman"/>
          <w:sz w:val="24"/>
          <w:szCs w:val="24"/>
        </w:rPr>
        <w:t xml:space="preserve">. </w:t>
      </w:r>
    </w:p>
    <w:p w14:paraId="34EDAF57" w14:textId="6BEC2D21" w:rsidR="00060BBD" w:rsidRPr="00060BBD" w:rsidRDefault="00060BBD" w:rsidP="00526552">
      <w:pPr>
        <w:rPr>
          <w:rFonts w:ascii="Times New Roman" w:hAnsi="Times New Roman" w:cs="Times New Roman"/>
          <w:b/>
          <w:bCs/>
          <w:i/>
          <w:iCs/>
          <w:sz w:val="24"/>
          <w:szCs w:val="24"/>
        </w:rPr>
      </w:pPr>
      <w:r w:rsidRPr="00D63244">
        <w:rPr>
          <w:rFonts w:ascii="Times New Roman" w:hAnsi="Times New Roman" w:cs="Times New Roman"/>
          <w:b/>
          <w:bCs/>
          <w:i/>
          <w:iCs/>
          <w:sz w:val="24"/>
          <w:szCs w:val="24"/>
        </w:rPr>
        <w:t xml:space="preserve">Measuring cost-effectiveness in </w:t>
      </w:r>
      <w:r>
        <w:rPr>
          <w:rFonts w:ascii="Times New Roman" w:hAnsi="Times New Roman" w:cs="Times New Roman"/>
          <w:b/>
          <w:bCs/>
          <w:i/>
          <w:iCs/>
          <w:sz w:val="24"/>
          <w:szCs w:val="24"/>
        </w:rPr>
        <w:t>subgroups of high-risk populations</w:t>
      </w:r>
    </w:p>
    <w:p w14:paraId="603B6E97" w14:textId="0607D34A" w:rsidR="00526552" w:rsidRPr="00060BBD" w:rsidRDefault="00526552">
      <w:pPr>
        <w:rPr>
          <w:rFonts w:ascii="Times New Roman" w:eastAsia="Symbol" w:hAnsi="Times New Roman" w:cs="Times New Roman"/>
          <w:sz w:val="24"/>
          <w:szCs w:val="24"/>
        </w:rPr>
      </w:pPr>
      <w:r>
        <w:rPr>
          <w:rFonts w:ascii="Times New Roman" w:eastAsia="Symbol" w:hAnsi="Times New Roman" w:cs="Times New Roman"/>
          <w:sz w:val="24"/>
          <w:szCs w:val="24"/>
        </w:rPr>
        <w:t xml:space="preserve">In our subgroup analysis of only male patients, we use the age-dependent probability of death for male individuals. </w:t>
      </w:r>
      <w:r w:rsidR="00AF61B1">
        <w:rPr>
          <w:rFonts w:ascii="Times New Roman" w:eastAsia="Symbol" w:hAnsi="Times New Roman" w:cs="Times New Roman"/>
          <w:sz w:val="24"/>
          <w:szCs w:val="24"/>
        </w:rPr>
        <w:t xml:space="preserve">In our subgroup analysis of only older patients, we adjusted the age distribution to be only patients 60 years of age or above. </w:t>
      </w:r>
      <w:r>
        <w:rPr>
          <w:rFonts w:ascii="Times New Roman" w:eastAsia="Symbol" w:hAnsi="Times New Roman" w:cs="Times New Roman"/>
          <w:sz w:val="24"/>
          <w:szCs w:val="24"/>
        </w:rPr>
        <w:t xml:space="preserve">We also adjust the transition probability from non-cirrhotic MASLD to cirrhosis and </w:t>
      </w:r>
      <w:r w:rsidR="00AF61B1">
        <w:rPr>
          <w:rFonts w:ascii="Times New Roman" w:eastAsia="Symbol" w:hAnsi="Times New Roman" w:cs="Times New Roman"/>
          <w:sz w:val="24"/>
          <w:szCs w:val="24"/>
        </w:rPr>
        <w:t xml:space="preserve">non-cirrhotic MASLD to </w:t>
      </w:r>
      <w:r>
        <w:rPr>
          <w:rFonts w:ascii="Times New Roman" w:eastAsia="Symbol" w:hAnsi="Times New Roman" w:cs="Times New Roman"/>
          <w:sz w:val="24"/>
          <w:szCs w:val="24"/>
        </w:rPr>
        <w:t xml:space="preserve">HCC, and the proportion of patients with undiagnosed cirrhosis </w:t>
      </w:r>
      <w:r w:rsidR="00AF61B1">
        <w:rPr>
          <w:rFonts w:ascii="Times New Roman" w:eastAsia="Symbol" w:hAnsi="Times New Roman" w:cs="Times New Roman"/>
          <w:sz w:val="24"/>
          <w:szCs w:val="24"/>
        </w:rPr>
        <w:t>for each of these subgroups (</w:t>
      </w:r>
      <w:r w:rsidR="00AF61B1">
        <w:rPr>
          <w:rFonts w:ascii="Times New Roman" w:eastAsia="Symbol" w:hAnsi="Times New Roman" w:cs="Times New Roman"/>
          <w:b/>
          <w:bCs/>
          <w:sz w:val="24"/>
          <w:szCs w:val="24"/>
        </w:rPr>
        <w:t>Table X</w:t>
      </w:r>
      <w:r w:rsidR="00AF61B1">
        <w:rPr>
          <w:rFonts w:ascii="Times New Roman" w:eastAsia="Symbol" w:hAnsi="Times New Roman" w:cs="Times New Roman"/>
          <w:sz w:val="24"/>
          <w:szCs w:val="24"/>
        </w:rPr>
        <w:t xml:space="preserve">). </w:t>
      </w:r>
    </w:p>
    <w:p w14:paraId="05896659" w14:textId="21EDD5B6" w:rsidR="005E585A" w:rsidRPr="00060BBD" w:rsidRDefault="005E585A">
      <w:pPr>
        <w:rPr>
          <w:rFonts w:ascii="Times New Roman" w:hAnsi="Times New Roman" w:cs="Times New Roman"/>
          <w:b/>
          <w:bCs/>
          <w:i/>
          <w:iCs/>
          <w:sz w:val="24"/>
          <w:szCs w:val="24"/>
        </w:rPr>
      </w:pPr>
      <w:r w:rsidRPr="00060BBD">
        <w:rPr>
          <w:rFonts w:ascii="Times New Roman" w:hAnsi="Times New Roman" w:cs="Times New Roman"/>
          <w:b/>
          <w:bCs/>
          <w:i/>
          <w:iCs/>
          <w:sz w:val="24"/>
          <w:szCs w:val="24"/>
        </w:rPr>
        <w:t xml:space="preserve">Characterizing uncertainty and heterogeneity </w:t>
      </w:r>
    </w:p>
    <w:p w14:paraId="3C2C792A" w14:textId="52D5891E" w:rsidR="00A92A90" w:rsidRDefault="00A92A90">
      <w:pPr>
        <w:rPr>
          <w:rFonts w:ascii="Times New Roman" w:hAnsi="Times New Roman" w:cs="Times New Roman"/>
          <w:sz w:val="24"/>
          <w:szCs w:val="24"/>
        </w:rPr>
      </w:pPr>
      <w:r>
        <w:rPr>
          <w:rFonts w:ascii="Times New Roman" w:hAnsi="Times New Roman" w:cs="Times New Roman"/>
          <w:sz w:val="24"/>
          <w:szCs w:val="24"/>
        </w:rPr>
        <w:t xml:space="preserve">One-way sensitivity analysis is performed by varying the value of a parameter across a range of possible values, derived from current literature or reasonable assumption. This is conducted for each parameter individually, such that only one parameter is changed while the others remain fixed at the base case value. The net monetary benefit (NMB) is calculated across each parameter’s range and plotted in a tornado diagram. </w:t>
      </w:r>
    </w:p>
    <w:p w14:paraId="64FA2215" w14:textId="7651CA2A" w:rsidR="00A92A90" w:rsidRDefault="00A92A90">
      <w:pPr>
        <w:rPr>
          <w:rFonts w:ascii="Times New Roman" w:hAnsi="Times New Roman" w:cs="Times New Roman"/>
          <w:sz w:val="24"/>
          <w:szCs w:val="24"/>
        </w:rPr>
      </w:pPr>
      <w:r>
        <w:rPr>
          <w:rFonts w:ascii="Times New Roman" w:hAnsi="Times New Roman" w:cs="Times New Roman"/>
          <w:sz w:val="24"/>
          <w:szCs w:val="24"/>
        </w:rPr>
        <w:lastRenderedPageBreak/>
        <w:t xml:space="preserve">Additionally, probabilistic sensitivity analysis is conducted by </w:t>
      </w:r>
      <w:r w:rsidR="008678E2">
        <w:rPr>
          <w:rFonts w:ascii="Times New Roman" w:hAnsi="Times New Roman" w:cs="Times New Roman"/>
          <w:sz w:val="24"/>
          <w:szCs w:val="24"/>
        </w:rPr>
        <w:t xml:space="preserve">randomly sampling </w:t>
      </w:r>
      <w:r w:rsidR="008678E2" w:rsidRPr="00FD3C2A">
        <w:rPr>
          <w:rFonts w:ascii="Times New Roman" w:hAnsi="Times New Roman" w:cs="Times New Roman"/>
          <w:sz w:val="24"/>
          <w:szCs w:val="24"/>
          <w:highlight w:val="yellow"/>
        </w:rPr>
        <w:t>10,000</w:t>
      </w:r>
      <w:r w:rsidR="008678E2">
        <w:rPr>
          <w:rFonts w:ascii="Times New Roman" w:hAnsi="Times New Roman" w:cs="Times New Roman"/>
          <w:sz w:val="24"/>
          <w:szCs w:val="24"/>
        </w:rPr>
        <w:t xml:space="preserve"> values within the range for </w:t>
      </w:r>
      <w:r w:rsidR="00366D1D">
        <w:rPr>
          <w:rFonts w:ascii="Times New Roman" w:hAnsi="Times New Roman" w:cs="Times New Roman"/>
          <w:sz w:val="24"/>
          <w:szCs w:val="24"/>
        </w:rPr>
        <w:t>every</w:t>
      </w:r>
      <w:r>
        <w:rPr>
          <w:rFonts w:ascii="Times New Roman" w:hAnsi="Times New Roman" w:cs="Times New Roman"/>
          <w:sz w:val="24"/>
          <w:szCs w:val="24"/>
        </w:rPr>
        <w:t xml:space="preserve"> parameter for </w:t>
      </w:r>
      <w:r w:rsidR="00366D1D">
        <w:rPr>
          <w:rFonts w:ascii="Times New Roman" w:hAnsi="Times New Roman" w:cs="Times New Roman"/>
          <w:sz w:val="24"/>
          <w:szCs w:val="24"/>
        </w:rPr>
        <w:t>all</w:t>
      </w:r>
      <w:r>
        <w:rPr>
          <w:rFonts w:ascii="Times New Roman" w:hAnsi="Times New Roman" w:cs="Times New Roman"/>
          <w:sz w:val="24"/>
          <w:szCs w:val="24"/>
        </w:rPr>
        <w:t xml:space="preserve"> 1,000,000 patients</w:t>
      </w:r>
      <w:r w:rsidR="00366D1D">
        <w:rPr>
          <w:rFonts w:ascii="Times New Roman" w:hAnsi="Times New Roman" w:cs="Times New Roman"/>
          <w:sz w:val="24"/>
          <w:szCs w:val="24"/>
        </w:rPr>
        <w:t xml:space="preserve">. </w:t>
      </w:r>
    </w:p>
    <w:p w14:paraId="3AC5A1C6" w14:textId="09737AD5" w:rsidR="00ED5D92" w:rsidRDefault="00ED5D92">
      <w:pPr>
        <w:rPr>
          <w:rFonts w:ascii="Times New Roman" w:hAnsi="Times New Roman" w:cs="Times New Roman"/>
          <w:sz w:val="24"/>
          <w:szCs w:val="24"/>
        </w:rPr>
      </w:pPr>
      <w:r>
        <w:rPr>
          <w:rFonts w:ascii="Times New Roman" w:hAnsi="Times New Roman" w:cs="Times New Roman"/>
          <w:sz w:val="24"/>
          <w:szCs w:val="24"/>
        </w:rPr>
        <w:t xml:space="preserve">Both one-way ad probabilistic sensitivity analysis is conducted for the overall cohort and in subgroups </w:t>
      </w:r>
      <w:r w:rsidRPr="00FD3C2A">
        <w:rPr>
          <w:rFonts w:ascii="Times New Roman" w:hAnsi="Times New Roman" w:cs="Times New Roman"/>
          <w:sz w:val="24"/>
          <w:szCs w:val="24"/>
          <w:highlight w:val="yellow"/>
        </w:rPr>
        <w:t>by age, sex, and the presence of diabetes</w:t>
      </w:r>
      <w:r w:rsidR="0036730B" w:rsidRPr="00FD3C2A">
        <w:rPr>
          <w:rFonts w:ascii="Times New Roman" w:hAnsi="Times New Roman" w:cs="Times New Roman"/>
          <w:sz w:val="24"/>
          <w:szCs w:val="24"/>
          <w:highlight w:val="yellow"/>
        </w:rPr>
        <w:t>.</w:t>
      </w:r>
      <w:r w:rsidR="0036730B">
        <w:rPr>
          <w:rFonts w:ascii="Times New Roman" w:hAnsi="Times New Roman" w:cs="Times New Roman"/>
          <w:sz w:val="24"/>
          <w:szCs w:val="24"/>
        </w:rPr>
        <w:t xml:space="preserve"> </w:t>
      </w:r>
    </w:p>
    <w:p w14:paraId="6B003A39" w14:textId="563A4228" w:rsidR="005E585A" w:rsidRDefault="005E585A">
      <w:pPr>
        <w:rPr>
          <w:rFonts w:ascii="Times New Roman" w:hAnsi="Times New Roman" w:cs="Times New Roman"/>
          <w:sz w:val="24"/>
          <w:szCs w:val="24"/>
        </w:rPr>
      </w:pPr>
    </w:p>
    <w:p w14:paraId="666A8FCF" w14:textId="77777777" w:rsidR="005E585A" w:rsidRPr="005E585A" w:rsidRDefault="005E585A">
      <w:pPr>
        <w:rPr>
          <w:rFonts w:ascii="Times New Roman" w:hAnsi="Times New Roman" w:cs="Times New Roman"/>
          <w:sz w:val="24"/>
          <w:szCs w:val="24"/>
        </w:rPr>
      </w:pPr>
    </w:p>
    <w:sectPr w:rsidR="005E585A" w:rsidRPr="005E58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anne Kimiko Liu" w:date="2025-02-06T16:13:00Z" w:initials="JKL">
    <w:p w14:paraId="06AC0D4D" w14:textId="0C784560" w:rsidR="00246301" w:rsidRDefault="00246301">
      <w:pPr>
        <w:pStyle w:val="CommentText"/>
      </w:pPr>
      <w:r>
        <w:rPr>
          <w:rStyle w:val="CommentReference"/>
        </w:rPr>
        <w:annotationRef/>
      </w:r>
      <w:r>
        <w:t>Describe the hcc stage 2-parameter sensitivity analysis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AC0D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4F5E23" w16cex:dateUtc="2025-02-07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AC0D4D" w16cid:durableId="2B4F5E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anne Kimiko Liu">
    <w15:presenceInfo w15:providerId="AD" w15:userId="S::joannekl@stanford.edu::7f179e67-cd76-4111-a7a8-703337675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B9"/>
    <w:rsid w:val="0000482C"/>
    <w:rsid w:val="00060BBD"/>
    <w:rsid w:val="00072EBF"/>
    <w:rsid w:val="000D04B9"/>
    <w:rsid w:val="00112782"/>
    <w:rsid w:val="00120C84"/>
    <w:rsid w:val="00246301"/>
    <w:rsid w:val="00366D1D"/>
    <w:rsid w:val="0036730B"/>
    <w:rsid w:val="00386164"/>
    <w:rsid w:val="00396A92"/>
    <w:rsid w:val="00497D9F"/>
    <w:rsid w:val="004A4B4A"/>
    <w:rsid w:val="005062B9"/>
    <w:rsid w:val="00526552"/>
    <w:rsid w:val="005C0972"/>
    <w:rsid w:val="005E585A"/>
    <w:rsid w:val="0068298B"/>
    <w:rsid w:val="006B2A3F"/>
    <w:rsid w:val="0071523B"/>
    <w:rsid w:val="007D7939"/>
    <w:rsid w:val="007E145D"/>
    <w:rsid w:val="008678E2"/>
    <w:rsid w:val="008C14E6"/>
    <w:rsid w:val="00A24E3B"/>
    <w:rsid w:val="00A36B24"/>
    <w:rsid w:val="00A47BA1"/>
    <w:rsid w:val="00A70D65"/>
    <w:rsid w:val="00A858AF"/>
    <w:rsid w:val="00A92A90"/>
    <w:rsid w:val="00AF61B1"/>
    <w:rsid w:val="00B05BE5"/>
    <w:rsid w:val="00B8672C"/>
    <w:rsid w:val="00C46CF8"/>
    <w:rsid w:val="00CE671C"/>
    <w:rsid w:val="00D41441"/>
    <w:rsid w:val="00D63244"/>
    <w:rsid w:val="00D76B18"/>
    <w:rsid w:val="00DB1EE1"/>
    <w:rsid w:val="00E77132"/>
    <w:rsid w:val="00ED5D92"/>
    <w:rsid w:val="00FD1504"/>
    <w:rsid w:val="00FD3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10E4"/>
  <w15:chartTrackingRefBased/>
  <w15:docId w15:val="{F7EBE665-A482-4E3F-A829-27A80661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441"/>
    <w:rPr>
      <w:color w:val="0563C1" w:themeColor="hyperlink"/>
      <w:u w:val="single"/>
    </w:rPr>
  </w:style>
  <w:style w:type="character" w:styleId="CommentReference">
    <w:name w:val="annotation reference"/>
    <w:basedOn w:val="DefaultParagraphFont"/>
    <w:uiPriority w:val="99"/>
    <w:semiHidden/>
    <w:unhideWhenUsed/>
    <w:rsid w:val="00D41441"/>
    <w:rPr>
      <w:sz w:val="16"/>
      <w:szCs w:val="16"/>
    </w:rPr>
  </w:style>
  <w:style w:type="character" w:styleId="UnresolvedMention">
    <w:name w:val="Unresolved Mention"/>
    <w:basedOn w:val="DefaultParagraphFont"/>
    <w:uiPriority w:val="99"/>
    <w:semiHidden/>
    <w:unhideWhenUsed/>
    <w:rsid w:val="00D41441"/>
    <w:rPr>
      <w:color w:val="605E5C"/>
      <w:shd w:val="clear" w:color="auto" w:fill="E1DFDD"/>
    </w:rPr>
  </w:style>
  <w:style w:type="paragraph" w:styleId="CommentText">
    <w:name w:val="annotation text"/>
    <w:basedOn w:val="Normal"/>
    <w:link w:val="CommentTextChar"/>
    <w:uiPriority w:val="99"/>
    <w:semiHidden/>
    <w:unhideWhenUsed/>
    <w:rsid w:val="00246301"/>
    <w:pPr>
      <w:spacing w:line="240" w:lineRule="auto"/>
    </w:pPr>
    <w:rPr>
      <w:sz w:val="20"/>
      <w:szCs w:val="20"/>
    </w:rPr>
  </w:style>
  <w:style w:type="character" w:customStyle="1" w:styleId="CommentTextChar">
    <w:name w:val="Comment Text Char"/>
    <w:basedOn w:val="DefaultParagraphFont"/>
    <w:link w:val="CommentText"/>
    <w:uiPriority w:val="99"/>
    <w:semiHidden/>
    <w:rsid w:val="00246301"/>
    <w:rPr>
      <w:sz w:val="20"/>
      <w:szCs w:val="20"/>
    </w:rPr>
  </w:style>
  <w:style w:type="paragraph" w:styleId="CommentSubject">
    <w:name w:val="annotation subject"/>
    <w:basedOn w:val="CommentText"/>
    <w:next w:val="CommentText"/>
    <w:link w:val="CommentSubjectChar"/>
    <w:uiPriority w:val="99"/>
    <w:semiHidden/>
    <w:unhideWhenUsed/>
    <w:rsid w:val="00246301"/>
    <w:rPr>
      <w:b/>
      <w:bCs/>
    </w:rPr>
  </w:style>
  <w:style w:type="character" w:customStyle="1" w:styleId="CommentSubjectChar">
    <w:name w:val="Comment Subject Char"/>
    <w:basedOn w:val="CommentTextChar"/>
    <w:link w:val="CommentSubject"/>
    <w:uiPriority w:val="99"/>
    <w:semiHidden/>
    <w:rsid w:val="002463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a.gov/oact/STATS/table4c6.html"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Kimiko Liu</dc:creator>
  <cp:keywords/>
  <dc:description/>
  <cp:lastModifiedBy>Joanne Kimiko Liu</cp:lastModifiedBy>
  <cp:revision>31</cp:revision>
  <dcterms:created xsi:type="dcterms:W3CDTF">2025-02-06T20:20:00Z</dcterms:created>
  <dcterms:modified xsi:type="dcterms:W3CDTF">2025-02-13T02:40:00Z</dcterms:modified>
</cp:coreProperties>
</file>